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Payment Domain PRD — demo-bank</w:t>
      </w:r>
    </w:p>
    <w:p>
      <w:r>
        <w:t xml:space="preserve">Sample product requirements document bundled with the server seed (SPEC T3).</w:t>
      </w:r>
    </w:p>
    <w:p>
      <w:r>
        <w:rPr>
          <w:b/>
        </w:rPr>
        <w:t xml:space="preserve">Section: Balance display (#balance-display)</w:t>
      </w:r>
    </w:p>
    <w:p>
      <w:r>
        <w:t xml:space="preserve">After a successful login the dashboard must show the account balance on a dedicated balance card.</w:t>
      </w:r>
    </w:p>
    <w:p>
      <w:r>
        <w:t xml:space="preserve">The card renders the balance with exactly two decimal places and a currency code (default USD).</w:t>
      </w:r>
    </w:p>
    <w:p>
      <w:r>
        <w:t xml:space="preserve">The web frontend, the HTTP endpoint GET /api/balance and the gRPC service BalanceService/GetBalance must always report the same value. Any drift between the three sides is a defect.</w:t>
      </w:r>
    </w:p>
    <w:p>
      <w:r>
        <w:rPr>
          <w:b/>
        </w:rPr>
        <w:t xml:space="preserve">Section: Transfer (#transfer)</w:t>
      </w:r>
    </w:p>
    <w:p>
      <w:r>
        <w:t xml:space="preserve">From the dashboard the user can transfer an amount to another account.</w:t>
      </w:r>
    </w:p>
    <w:p>
      <w:r>
        <w:t xml:space="preserve">On success the UI shows a confirmation toast with the transferred amount and the new balance.</w:t>
      </w:r>
    </w:p>
    <w:p>
      <w:r>
        <w:t xml:space="preserve">POST /api/transfer and the UI must agree on the resulting balance; the balance endpoints must report the updated value everywhere.</w:t>
      </w:r>
    </w:p>
  </w:body>
</w:document>
</file>