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appears</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resembles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organize eighteen published</w:t>
      </w:r>
      <w:r>
        <w:rPr>
          <w:lang w:val="en-GB"/>
        </w:rPr>
        <w:t xml:space="preserve"> </w:t>
      </w:r>
      <w:r>
        <w:rPr>
          <w:lang w:val="en-GB"/>
        </w:rPr>
        <w:t xml:space="preserve">systems, in fifteen lines, on two questions: whether gradients reach the oscillator dynamics and</w:t>
      </w:r>
      <w:r>
        <w:rPr>
          <w:lang w:val="en-GB"/>
        </w:rPr>
        <w:t xml:space="preserve"> </w:t>
      </w:r>
      <w:r>
        <w:rPr>
          <w:lang w:val="en-GB"/>
        </w:rPr>
        <w:t xml:space="preserve">whether a conventional encoder or decoder is trained around it, which separates designed</w:t>
      </w:r>
      <w:r>
        <w:rPr>
          <w:lang w:val="en-GB"/>
        </w:rPr>
        <w:t xml:space="preserve"> </w:t>
      </w:r>
      <w:r>
        <w:rPr>
          <w:lang w:val="en-GB"/>
        </w:rPr>
        <w:t xml:space="preserve">dynamics that are never learned, apparent learning via untrained dynamics with a trained</w:t>
      </w:r>
      <w:r>
        <w:rPr>
          <w:lang w:val="en-GB"/>
        </w:rPr>
        <w:t xml:space="preserve"> </w:t>
      </w:r>
      <w:r>
        <w:rPr>
          <w:lang w:val="en-GB"/>
        </w:rPr>
        <w:t xml:space="preserve">readout, and trained dynamics with and without a conventional network wrapped around them. For</w:t>
      </w:r>
      <w:r>
        <w:rPr>
          <w:lang w:val="en-GB"/>
        </w:rPr>
        <w:t xml:space="preserve"> </w:t>
      </w:r>
      <w:r>
        <w:rPr>
          <w:lang w:val="en-GB"/>
        </w:rPr>
        <w:t xml:space="preserve">each model classification we record the task, the data used, the controls, and how it compares</w:t>
      </w:r>
      <w:r>
        <w:rPr>
          <w:lang w:val="en-GB"/>
        </w:rPr>
        <w:t xml:space="preserve"> </w:t>
      </w:r>
      <w:r>
        <w:rPr>
          <w:lang w:val="en-GB"/>
        </w:rPr>
        <w:t xml:space="preserve">against conventional artificial neural network (ANN) baselines at comparable parameter budgets,</w:t>
      </w:r>
      <w:r>
        <w:rPr>
          <w:lang w:val="en-GB"/>
        </w:rPr>
        <w:t xml:space="preserve"> </w:t>
      </w:r>
      <w:r>
        <w:rPr>
          <w:lang w:val="en-GB"/>
        </w:rPr>
        <w:t xml:space="preserve">tasks 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sixty-five applicable control comparisons the five give across the surveyed systems, sixteen</w:t>
      </w:r>
      <w:r>
        <w:rPr>
          <w:lang w:val="en-GB"/>
        </w:rPr>
        <w:t xml:space="preserve"> </w:t>
      </w:r>
      <w:r>
        <w:rPr>
          <w:lang w:val="en-GB"/>
        </w:rPr>
        <w:t xml:space="preserve">have been run, ten of them by three systems; the coupling term has been removed as a single</w:t>
      </w:r>
      <w:r>
        <w:rPr>
          <w:lang w:val="en-GB"/>
        </w:rPr>
        <w:t xml:space="preserve"> </w:t>
      </w:r>
      <w:r>
        <w:rPr>
          <w:lang w:val="en-GB"/>
        </w:rPr>
        <w:t xml:space="preserve">variable three times, once without a reported number, once on a single dataset, and once only as</w:t>
      </w:r>
      <w:r>
        <w:rPr>
          <w:lang w:val="en-GB"/>
        </w:rPr>
        <w:t xml:space="preserve"> </w:t>
      </w:r>
      <w:r>
        <w:rPr>
          <w:lang w:val="en-GB"/>
        </w:rPr>
        <w:t xml:space="preserve">a retrained model; and no report varies coupling range or boundary conditions as a single</w:t>
      </w:r>
      <w:r>
        <w:rPr>
          <w:lang w:val="en-GB"/>
        </w:rPr>
        <w:t xml:space="preserve"> </w:t>
      </w:r>
      <w:r>
        <w:rPr>
          <w:lang w:val="en-GB"/>
        </w:rPr>
        <w:t xml:space="preserve">variable. We identify these gaps in greater detail and close with eight concrete directions for</w:t>
      </w:r>
      <w:r>
        <w:rPr>
          <w:lang w:val="en-GB"/>
        </w:rPr>
        <w:t xml:space="preserve"> </w:t>
      </w:r>
      <w:r>
        <w:rPr>
          <w:lang w:val="en-GB"/>
        </w:rPr>
        <w:t xml:space="preserve">the field that we believe would help the field establish more cross-referential data, tasks,</w:t>
      </w:r>
      <w:r>
        <w:rPr>
          <w:lang w:val="en-GB"/>
        </w:rPr>
        <w:t xml:space="preserve"> </w:t>
      </w:r>
      <w:r>
        <w:rPr>
          <w:lang w:val="en-GB"/>
        </w:rPr>
        <w:t xml:space="preserve">training and model architecture parity from which to baseline future ONN research efforts with</w:t>
      </w:r>
      <w:r>
        <w:rPr>
          <w:lang w:val="en-GB"/>
        </w:rPr>
        <w:t xml:space="preserve"> </w:t>
      </w:r>
      <w:r>
        <w:rPr>
          <w:lang w:val="en-GB"/>
        </w:rPr>
        <w:t xml:space="preserve">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but as damped or linear oscillators without the amplitude-restoring term that makes a limit cycle self-sustaining: started from rest, as all of them are, they oscillate with whatever amplitude the input gives them rather than returning to a rhythm of their own. Only coRNN among them is damped in the model itself; UnICORNN is undamped by construction and LinOSS has no damping term, a distinction Section 2.3.1 returns to.</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 (Miyato et al., 2025) and, through it, HoloGraph (Dan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and, through it,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through its own learned weight,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a ring with a finite coupling range connects each unit only to units near it; a lattice arranges the units in space and couples neighbours through a shared kernel,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and the convolutional variant of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attention connects every pair through weights recomputed from the current state, as in AKOrN’s attentive variant and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second-order oscillator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a network of coupled, damped, nonlinear oscillators: its hidden units interact through full weight matrices inside the nonlinearity, its damping bounds the energy of the hidden state, and its gradient bounds follow from a structure-preserving discretization under a condition that ties the time step to the weight norms, rather than from gating.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keeps the second-order form but drops both the damping and the coupling within a layer: each unit is an independent undamped oscillator, y’’ = −[σ(w y + Vu + b) + αy] with w a vector applied elementwise, the system is Hamiltonian, and a symplectic discretization conserves phase-space volume, which is what its gradient bounds rest on; layers are stacked densely, each unit carries a trainable time step, and the result runs thirty to forty times faster than coRNN. One consequence matters for Section 2.3.2: UnICORNN trains nonlinear dynamics with full backpropagation through the 17,984-step EigenWorms sequences and reaches 90.3% there, a record set in 2021.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a bank of uncoupled forced harmonic oscillators, y’’ = −Ay + Bu + b with A diagonal and no damping term, that is stable for any non-negative A, reaches sequences of roughly fifty thousand steps by parallel scan, and comes in two discretizations, a conservative one and an implicit one whose numerical dissipation the authors read as a forgetting mechanism;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adds an explicit learnable damping term and proves that this enlarges the reachable dynamics from a measure-zero set of eigenvalues, which the earlier discretizations tie to frequency, to the full unit disk. The family has universality theorems, and their construction is a fixed bank of uncoupled forced harmonic oscillators followed by a nonlinear readout</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LinOSS proves its own for its continuous-time model. Two wording notes are worth recording, because they misled an earlier draft of this survey and may mislead a reader. The UnICORNN paper twice calls its parameter α</w:t>
      </w:r>
      <w:r>
        <w:rPr>
          <w:lang w:val="en-GB"/>
        </w:rPr>
        <w:t xml:space="preserve"> </w:t>
      </w:r>
      <w:r>
        <w:rPr>
          <w:lang w:val="en-GB"/>
        </w:rPr>
        <w:t xml:space="preserve">“the damping parameter”</w:t>
      </w:r>
      <w:r>
        <w:rPr>
          <w:lang w:val="en-GB"/>
        </w:rPr>
        <w:t xml:space="preserve"> </w:t>
      </w:r>
      <w:r>
        <w:rPr>
          <w:lang w:val="en-GB"/>
        </w:rPr>
        <w:t xml:space="preserve">in its experiments section, while its model section calls the same α the oscillation frequency and states that the system has no damping or friction term; α multiplies the position, enters the Hamiltonian as the restoring potential, and cannot dissipate energy, so we read the model as the undamped one its name declares. And the LinOSS paper never uses the word damping, while D-LinOSS describes its predecessors as undamped harmonic oscillators whose discretization couples frequency and damping: the dissipation in question belongs to the implicit integrator, not to a term of the model.</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with the coupling defined by a convolution kernel or by attention rather than by a free all-to-all matrix, and reports its gains on object discovery, adversarial and corruption robustness, calibration and Sudoku rather than on clean classification accuracy, where it trails a ResNet-18.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Its authors describe it as the first synchronization architecture to scale competitively to ImageNet-1K, and the qualifier matters, since their own table trains AKOrN on ImageNet-1K at 67.45%; it is also the only system in the survey evaluated on path finding, and one of two on Sudoku. On Maze-hard it reports 76.2% in a single pass and 80.1% when the lowest-energy of 32 sampled trajectories is selected, at 0.396M parameters. The paper frames this as 1% of the parameters of the prior state of the art, but the best result in its own table is TRM-Att at 85.3% with 7M parameters, so the reading we take is a model eighteen times smaller that trails the best result by five points and beats the 27M-parameter HRM by two to six.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publishes a frozen-dynamics control, a decoder-only control and a randomized-structure twin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runs Kuramoto dynamics on the phases of a complex-valued CNN’s first layer, with a coupling kernel trained through a synchrony loss on ground-truth object masks, and reports the most complete set of controls in the survey: a twin trained without the Kuramoto step, a twin whose coupling kernel is held at a fixed Gaussian, and parameter-matched real-valued and Transformer baselines. Its headline margin of 10 to 15% over the real-valued model is measured on overlapping and noisy digits; in distribution the synchronization step is worth two to three points.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keeps the query-key selection of an attention layer and replaces its value path with a single Kuramoto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that value pathway from static frustration angles, Daido harmonics and an anticipating delay term at once, arguing that consensus records where the attended context is rather than what followed it, so it suits retrieval but not prediction.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AKOrN’s vector-valued oscillators with a feedback term, aimed at the over-smoothing repeated diffusion causes; it is the one peer-reviewed system in this group whose ablations concern spectral features and depth rather than the dynamics.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replace coRNN’s dense coupling matrices with a convolution kernel over a lattice, so each oscillator couples only to its neighbours, and report travelling waves along with a parameter saving that follows from the locality by construction.</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2062385"/>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2062385"/>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consensus records where the attended context is rather than what followed it,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through the structure of the dynamics rather than with gates, a dissipative energy bound and a structure-preserving discretization in coRNN, conservation of phase-space volume in UnICORNN, which is why both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roughly fifty thousand steps; UnICORNN’s 17,984 is the longest for a nonlinear one.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that lacks a proven gradient bound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regression over fifty-thousand-step windows (LinOSS), object discovery and Sudoku (AKOrN), and character- and byte-level language modelling (Kuramoto Attention, preprint). What these results establish is that the dynamics can be trained at these scales at all; the long-sequence result has a 2021 precedent in UnICORNN’s 17,984-step classification, and the rest were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convolutional or attention-defined, with Un-0’s sparsity study the only one to vary connectivity on purpose,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Eighteen load-bearing systems meet that definition and are tabulated in Appendix D as fifteen rows, since three pairs share an architecture and a control record: the echo-state network and the liquid state machine,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a thin conventional encoder or decoder may remain, and in Un-0 it is under 13% of the parameters.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read out by a convolutional decoder and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generalized Winfree coupling, writes the input into the natural frequencies through a learned embedding rather than adding it as a drive, and updates those frequencies once per layer. Both are the field’s scale demonstrations, and both are also where the attribution question is cleanest, because there is comparatively little conventional machinery to which a result could be misattributed, which is also what makes a decoder-only control meaningful for Un-0. Un-0 publishes the controls this quadrant makes possible: a frozen-reservoir control, against which its trained dynamics wins clearly, with single-step learned dynamics performing near the untrained level on CIFAR-10, and a decoder-only control that does worse than either (blog-published). WONN publishes neither.</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beat a leaky echo-state network on every benchmark they run, and to beat fully trained recurrent models, including a trained version of themselves, on chaotic forecasting and on small-parameter classification, while losing to the trained models on the long-memory classification tasks; the trainable parameters are matched, which the paper enforces, and the random reservoir then carries about fifty times more units than the trained networks. That is a trained-versus-untrained comparison in the untrained direction, and the paper’s trained twin is the frozen-twin control of Section 2.3.3 run in reverse.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fixed bank of forced harmonic oscillators with a nonlinear readout, in continuous time, rather than for the Kuramoto-family models most of the surveyed systems use, and a discretization inherits it only for small time steps,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5051964"/>
            <wp:effectExtent b="0" l="0" r="0" t="0"/>
            <wp:docPr descr="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505196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(LinOSS; coRNN, inside its nonlinearity),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at the smallest ImageNet-64 size the best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bounds the energy of its hidden state, which its gradient analysis then rests on, while its authors offer only heuristics and a robustness sweep on what damping does for expressivity; D-LinOSS learns its damping to widen the reachable spectrum, and keeps its eigenvalues inside the unit disk by constraining the frequency given the damping and time step rather than by the damping itself; and a speech-oscillator study built on coRNN sweeps its frequency and damping ranges together and finds the low-frequency band decisive</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on byte-level code, and RON reports beating echo-state and fully trained recurrent baselines on chaotic forecasting.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3557175"/>
            <wp:effectExtent b="0" l="0" r="0" t="0"/>
            <wp:docPr descr="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3557175"/>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for images, six layers of three, and a single layer of 24 or 16 steps for Maze-hard and Sudoku; AKOrN settles for 3 to 16 steps per block; KomplexNet runs 15; Kuramoto Attention takes one dynamics step per layer; Kuramoto Orientation Diffusion never trains a long chain at all. The oscillator systems that do handle long horizons each brought a guarantee with them rather than a recipe: coRNN bounds its hidden-state energy through damping and its gradients through a structure-preserving discretization with a time-step condition, and trains to five thousand steps; UnICORNN removes the damping, integrates a Hamiltonian system symplectically so that phase-space volume is conserved, and trains with full backpropagation through 17,984-step sequences, made affordable by inverting the recurrence instead of storing it; LinOSS makes the dynamics linear and stable for any non-negative frequency, and reaches fifty thousand; D-LinOSS constrains its eigenvalues to the unit disk. Two of those four are nonlinear, so the wall is not nonlinearity as such; it is nonlinear dynamics without a proof.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 Damping is not one of the five, but the record holds two ablations of it that span a pair of papers (Section 2.3.3).</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Damping is not one of the five, but the record holds two ablations of it that span a pair of papers (Section 2.3.3)."/>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 (an external reimplementation exists but is not matched; Section 2.3.4)</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 (ItrConv and ItrSA: the same iterated layers without the Kuramoto update)</w:t>
            </w:r>
          </w:p>
        </w:tc>
        <w:tc>
          <w:tcPr/>
          <w:p>
            <w:pPr>
              <w:pStyle w:val="Compact"/>
            </w:pPr>
            <w:r>
              <w:rPr>
                <w:lang w:val="en-GB"/>
              </w:rPr>
              <w:t xml:space="preserve">—</w:t>
            </w:r>
          </w:p>
        </w:tc>
        <w:tc>
          <w:tcPr/>
          <w:p>
            <w:pPr>
              <w:pStyle w:val="Compact"/>
            </w:pPr>
            <w:r>
              <w:rPr>
                <w:lang w:val="en-GB"/>
              </w:rPr>
              <w:t xml:space="preserve">≈ (those baselines at matched FLOPs and memory and</w:t>
            </w:r>
            <w:r>
              <w:rPr>
                <w:lang w:val="en-GB"/>
              </w:rPr>
              <w:t xml:space="preserve"> </w:t>
            </w:r>
            <w:r>
              <w:rPr>
                <w:lang w:val="en-GB"/>
              </w:rPr>
              <w:t xml:space="preserve">“roughly the same number of parameters”</w:t>
            </w:r>
            <w:r>
              <w:rPr>
                <w:lang w:val="en-GB"/>
              </w:rPr>
              <w:t xml:space="preserve">; counts not printed)</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(ResNet-18 at 11.7M against 12.3M on ImageNet-1K, an off-the-shelf baseline under a different training recipe)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(parameter-matched Transformers at 1M and 5M)</w:t>
            </w:r>
          </w:p>
        </w:tc>
        <w:tc>
          <w:tcPr/>
          <w:p>
            <w:pPr>
              <w:pStyle w:val="Compact"/>
            </w:pPr>
            <w:r>
              <w:rPr>
                <w:lang w:val="en-GB"/>
              </w:rPr>
              <w:t xml:space="preserve">≈ (a learned value projection in place of the Kuramoto step, +0.25 BPC; the matched Transformer is the no-synchronization model)</w:t>
            </w:r>
          </w:p>
        </w:tc>
      </w:tr>
      <w:tr>
        <w:tc>
          <w:tcPr/>
          <w:p>
            <w:pPr>
              <w:pStyle w:val="Compact"/>
            </w:pPr>
            <w:r>
              <w:rPr>
                <w:lang w:val="en-GB"/>
              </w:rPr>
              <w:t xml:space="preserve">KomplexNet</w:t>
            </w:r>
          </w:p>
        </w:tc>
        <w:tc>
          <w:tcPr/>
          <w:p>
            <w:pPr>
              <w:pStyle w:val="Compact"/>
            </w:pPr>
            <w:r>
              <w:rPr>
                <w:lang w:val="en-GB"/>
              </w:rPr>
              <w:t xml:space="preserve">✓ (coupling kernel held at a fixed Gaussian)</w:t>
            </w:r>
          </w:p>
        </w:tc>
        <w:tc>
          <w:tcPr/>
          <w:p>
            <w:pPr>
              <w:pStyle w:val="Compact"/>
            </w:pPr>
            <w:r>
              <w:rPr>
                <w:lang w:val="en-GB"/>
              </w:rPr>
              <w:t xml:space="preserve">✓ (real-valued twin; complex twin without the Kuramoto step)</w:t>
            </w:r>
          </w:p>
        </w:tc>
        <w:tc>
          <w:tcPr/>
          <w:p>
            <w:pPr>
              <w:pStyle w:val="Compact"/>
            </w:pPr>
            <w:r>
              <w:rPr>
                <w:lang w:val="en-GB"/>
              </w:rPr>
              <w:t xml:space="preserve">—</w:t>
            </w:r>
          </w:p>
        </w:tc>
        <w:tc>
          <w:tcPr/>
          <w:p>
            <w:pPr>
              <w:pStyle w:val="Compact"/>
            </w:pPr>
            <w:r>
              <w:rPr>
                <w:lang w:val="en-GB"/>
              </w:rPr>
              <w:t xml:space="preserve">✓ (parameter-matched real-valued model, and a ViT of comparable size)</w:t>
            </w:r>
          </w:p>
        </w:tc>
        <w:tc>
          <w:tcPr/>
          <w:p>
            <w:pPr>
              <w:pStyle w:val="Compact"/>
            </w:pPr>
            <w:r>
              <w:rPr>
                <w:lang w:val="en-GB"/>
              </w:rPr>
              <w:t xml:space="preserve">✓ (retrained without the Kuramoto step,</w:t>
            </w:r>
            <w:r>
              <w:rPr>
                <w:lang w:val="en-GB"/>
              </w:rPr>
              <w:t xml:space="preserve"> </w:t>
            </w:r>
            <w:r>
              <w:rPr>
                <w:lang w:val="en-GB"/>
              </w:rPr>
              <w:t xml:space="preserve">“random phases at the first layer”</w:t>
            </w:r>
            <w:r>
              <w:rPr>
                <w:lang w:val="en-GB"/>
              </w:rPr>
              <w:t xml:space="preserve">; not also zeroed at evaluation)</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 (Gaussian score model with the same U-Net)</w:t>
            </w:r>
          </w:p>
        </w:tc>
        <w:tc>
          <w:tcPr/>
          <w:p>
            <w:pPr>
              <w:pStyle w:val="Compact"/>
            </w:pPr>
            <w:r>
              <w:rPr>
                <w:lang w:val="en-GB"/>
              </w:rPr>
              <w:t xml:space="preserve">—</w:t>
            </w:r>
          </w:p>
        </w:tc>
        <w:tc>
          <w:tcPr/>
          <w:p>
            <w:pPr>
              <w:pStyle w:val="Compact"/>
            </w:pPr>
            <w:r>
              <w:rPr>
                <w:lang w:val="en-GB"/>
              </w:rPr>
              <w:t xml:space="preserve">✓ (the same U-Net; the same experiment as the previous cell)</w:t>
            </w:r>
          </w:p>
        </w:tc>
        <w:tc>
          <w:tcPr/>
          <w:p>
            <w:pPr>
              <w:pStyle w:val="Compact"/>
            </w:pPr>
            <w:r>
              <w:rPr>
                <w:lang w:val="en-GB"/>
              </w:rPr>
              <w:t xml:space="preserve">✓ (K(t) = 0 in the forward process, reported numerically on one dataset)</w:t>
            </w:r>
          </w:p>
        </w:tc>
      </w:tr>
      <w:tr>
        <w:tc>
          <w:tcPr/>
          <w:p>
            <w:pPr>
              <w:pStyle w:val="Compact"/>
            </w:pPr>
            <w:r>
              <w:rPr>
                <w:lang w:val="en-GB"/>
              </w:rPr>
              <w:t xml:space="preserve">HoloGraph</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globally coupled coRNN it is compared with shares hyperparameters, not a parameter count)</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9k-parameter LSTM on Lorenz-96, in the supplement, where coRNN loses)</w:t>
            </w:r>
          </w:p>
        </w:tc>
        <w:tc>
          <w:tcPr/>
          <w:p>
            <w:pPr>
              <w:pStyle w:val="Compact"/>
            </w:pPr>
            <w:r>
              <w:rPr>
                <w:lang w:val="en-GB"/>
              </w:rPr>
              <w:t xml:space="preserve">—</w:t>
            </w:r>
          </w:p>
        </w:tc>
      </w:tr>
      <w:tr>
        <w:tc>
          <w:tcPr/>
          <w:p>
            <w:pPr>
              <w:pStyle w:val="Compact"/>
            </w:pPr>
            <w:r>
              <w:rPr>
                <w:lang w:val="en-GB"/>
              </w:rPr>
              <w:t xml:space="preserve">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same 9k-parameter Lorenz-96 comparison, where UnICORNN loses)</w:t>
            </w:r>
          </w:p>
        </w:tc>
        <w:tc>
          <w:tcPr/>
          <w:p>
            <w:pPr>
              <w:pStyle w:val="Compact"/>
            </w:pPr>
            <w:r>
              <w:rPr>
                <w:lang w:val="en-GB"/>
              </w:rPr>
              <w:t xml:space="preserve">n/a (no coupling within a layer)</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(counts reported and unmatched)</w:t>
            </w:r>
          </w:p>
        </w:tc>
        <w:tc>
          <w:tcPr/>
          <w:p>
            <w:pPr>
              <w:pStyle w:val="Compact"/>
            </w:pPr>
            <w:r>
              <w:rPr>
                <w:lang w:val="en-GB"/>
              </w:rPr>
              <w:t xml:space="preserve">n/a (diagonal state matrices; D-LinOSS against LinOSS-IMEX ablates damping, not coupling)</w:t>
            </w:r>
          </w:p>
        </w:tc>
      </w:tr>
      <w:tr>
        <w:tc>
          <w:tcPr/>
          <w:p>
            <w:pPr>
              <w:pStyle w:val="Compact"/>
            </w:pPr>
            <w:r>
              <w:rPr>
                <w:lang w:val="en-GB"/>
              </w:rPr>
              <w:t xml:space="preserve">RON</w:t>
            </w:r>
          </w:p>
        </w:tc>
        <w:tc>
          <w:tcPr/>
          <w:p>
            <w:pPr>
              <w:pStyle w:val="Compact"/>
            </w:pPr>
            <w:r>
              <w:rPr>
                <w:lang w:val="en-GB"/>
              </w:rPr>
              <w:t xml:space="preserve">n/a (untrained by construction; its trained twin hcoRNN is the same comparison run in reverse)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 at matched trainable parameters)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Three systems remove the coupling term as a single variable, and the way each does it is itself a finding. Kuramoto Orientation Diffusion sets K(t) = 0 in its forward process and reports the result in a table: on Brodatz textures the hundred-step FID rises from 18.5 to 33.8, though the reference-only process still beats the Gaussian baseline at 38.3, so part of the gain belongs to the periodic design rather than to the coupling, and the ablation is one dataset with single runs. KomplexNet trains a copy of its network without the Kuramoto step,</w:t>
      </w:r>
      <w:r>
        <w:rPr>
          <w:lang w:val="en-GB"/>
        </w:rPr>
        <w:t xml:space="preserve"> </w:t>
      </w:r>
      <w:r>
        <w:rPr>
          <w:lang w:val="en-GB"/>
        </w:rPr>
        <w:t xml:space="preserve">“random phases at the first layer”</w:t>
      </w:r>
      <w:r>
        <w:rPr>
          <w:lang w:val="en-GB"/>
        </w:rPr>
        <w:t xml:space="preserve">; because the phase update has no other term, deleting the coupling and freezing the phases are the same operation, and the retrained model loses two to three points in distribution, five to six under overlap and about thirty under Gaussian noise.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None of the three is what a shared protocol would ask for: a retrained and a zeroed-at-test variant side by side, on more than one dataset, with seeds. Damping, which is not among the five controls, has been ablated twice, each time across a pair of papers by the same group. UnICORNN is coRNN with the damping and the within-layer coupling removed and a layer stack added, and D-LinOSS with its damping set to zero recovers LinOSS’s conservative discretization exactly, so the two papers of each pair publish both sides of a comparison that neither runs alone. That the authors published both sides at all is to their credit, and the second pair is the cleaner instance, since only one term moves, though its LinOSS numbers are carried over from the earlier paper rather than re-run; we would still prefer the two sides in one paper under one protocol, which is what Section 3.2 asks for. Of the sixty-five applicable control comparisons these five give across the fourteen rows, sixteen have been run, ten of them by three systems, plus three near-instances; Appendix F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reimplementation on MNIST, 512 oscillators trained for 800 epochs against a class-conditional DCGAN that its own write-up puts at roughly ten times the parameters, judges the DCGAN the visibly stronger generator without reporting a metric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not a matched-budget comparison, and it agrees with rather than overturns the authors’ own statement that conventional generators remain stronger.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it beats a ResNet-18 of similar size by seven points and trails a ResNet-50 of twice the size by a tenth of a point, under training recipes the paper does not match and with baseline ViTs well below their published best. Its reasoning results are the sharper claim, and they need the same care: 76.2% on Maze-hard in one pass, 80.1% with best-of-32 energy voting, at 0.396M parameters, against 85.3% for the 7M-parameter TRM-Att and 74.5% for the 27M-parameter HRM. That is a parameter-efficiency margin rather than an accuracy win, and not a matched-budget comparison in the sense of Section 2.3.3. AKOrN’s reported advantages are adversarial and corruption robustness, calibration and Sudoku rather than clean-accuracy dominance, where it trails a ResNet-18 by three to five points.</w:t>
      </w:r>
    </w:p>
    <w:p>
      <w:pPr>
        <w:pStyle w:val="BodyText"/>
      </w:pPr>
      <w:r>
        <w:rPr>
          <w:lang w:val="en-GB"/>
        </w:rPr>
        <w:t xml:space="preserve">The wins that exist are niche-shaped, and the niches are real. LinOSS beats state-space baselines on extreme-length sequences: 95.0% on the 17,984-step EigenWorms task against 70.9% for Mamba, the weakest baseline, and 87.8% for LRU, the strongest, and half of Mamba’s error on fifty-thousand-step heart-rate windows. It is the clearest protocol-matched oscillator win in the survey and sits exactly where a fixed-size dynamical state should have the advantage over attention, with three caveats the paper itself supplies: the win belongs to the dissipative implicit variant, since the conservative variant scores 80.0% on EigenWorms and loses to five baselines there; the parameter budgets are not matched, with LinOSS at five to nine times the parameters of Mamba and S6 on that task; and the baseline numbers are carried over from prior work rather than re-run. The first of those is evidence for this survey’s own reading in Section 3.1.4 that dissipation, rather than oscillation, is doing the work. Kuramoto Attention beats a parameter-matched Transformer at the 5M scale on byte-level code, by median only on enwik8, and trails it at 1M (preprint). Untrained oscillator reservoirs beat trained RNNs on some time-series benchmarks. KomplexNet wins on multi-object binding robustness at small scale. A single physical oscillator does spoken digits at roughly 99.6% with one device. Neural Wave Machines report a parameter saving that follows from their convolutional coupling, with 45k of their 50k parameters in the encoder and decoder.</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whose fixed-Gaussian-kernel twin comes within a point of its trained kernel in distribution, are the two trained-synchronization systems we found reporting it.</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where the budget is actually matched the result can reverse. At 9k parameters on the chaotic Lorenz-96 system, both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lose to an LSTM in their own supplements, which their authors attribute to a design that rules out chaos by construction. A community reimplementation of Un-0’s recipe on MNIST is often read as the same kind of test; it is not, since its class-conditional DCGAN carries roughly ten times the parameters and its verdict is visual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comparison of a trained-synchronization system we found, and it should be read as a reimplementation rather than as a budget-matched control.</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fifteen FID points at a hundred steps relative to its locally coupled model on Brodatz textures: the clearest single-variable removal in the record, though it ablates a forward diffusion process rather than a trained coupling, on one dataset, without seeds.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a natural-frequency rotation</w:t>
      </w:r>
      <w:r>
        <w:rPr>
          <w:lang w:val="en-GB"/>
        </w:rPr>
        <w:t xml:space="preserve"> </w:t>
      </w:r>
      <w:r>
        <w:rPr>
          <w:b/>
          <w:bCs/>
          <w:lang w:val="en-GB"/>
        </w:rPr>
        <w:t xml:space="preserve">Ω</w:t>
      </w:r>
      <w:r>
        <w:rPr>
          <w:lang w:val="en-GB"/>
        </w:rPr>
        <w:t xml:space="preserve">, a sum over neighbours weighted by a learned coupling</w:t>
      </w:r>
      <w:r>
        <w:rPr>
          <w:lang w:val="en-GB"/>
        </w:rPr>
        <w:t xml:space="preserve"> </w:t>
      </w:r>
      <w:r>
        <w:rPr>
          <w:b/>
          <w:bCs/>
          <w:lang w:val="en-GB"/>
        </w:rPr>
        <w:t xml:space="preserve">J</w:t>
      </w:r>
      <w:r>
        <w:rPr>
          <w:lang w:val="en-GB"/>
        </w:rPr>
        <w:t xml:space="preserve">, a conditioning stimulus computed from the input and held fixed over the steps, and a learned step size with renormalization onto the sphere, with Ω and J optimized against the task objective. Figure 8 of that paper reports a J = 0 bar beside a separate Ω = 0 bar in a random-noise robustness test on CIFAR-10, so the two physics terms were treated as independent axes rather than swapped wholesale, and with J = 0 each layer’s population decouples completely: each oscillator turns under its own frequency and its stimulus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the paper’s own ablation table instead finds that the projection and renormalization, not J or Ω, carry the largest effect.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the retrained half of that pair. Its complex-valued twin trained</w:t>
      </w:r>
      <w:r>
        <w:rPr>
          <w:lang w:val="en-GB"/>
        </w:rPr>
        <w:t xml:space="preserve"> </w:t>
      </w:r>
      <w:r>
        <w:rPr>
          <w:lang w:val="en-GB"/>
        </w:rPr>
        <w:t xml:space="preserve">“without the Kuramoto synchrony (random phases at the first layer)”</w:t>
      </w:r>
      <w:r>
        <w:rPr>
          <w:lang w:val="en-GB"/>
        </w:rPr>
        <w:t xml:space="preserve"> </w:t>
      </w:r>
      <w:r>
        <w:rPr>
          <w:lang w:val="en-GB"/>
        </w:rPr>
        <w:t xml:space="preserve">is the coupling ablation, since the phase update contains nothing but the coupling, and it costs two to three points in distribution, five to six on overlapping digits and about thirty under Gaussian noise; the same paper’s twin with a fixed Gaussian kernel shows that training the kernel adds under a point in distribution, and its parameter-matched real-valued and Transformer baselines complete the set. What it cannot say is what a trained KomplexNet does with its coupling switched off.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one value-transport comparison, of which one replaces the on-manifold circular mean, the Kuramoto step by the paper’s own account, with a dense linear value projection at a cost of +0.25 BPC; the parameter-matched Transformer it is scored against is the no-synchronization model at the same size, so the pair is a coupling ablation in all but name.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static frustration angles, the feed-forward block and the delay term, and flags its own delay result as screen-level rather than converged.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and fixed-kernel controls, Kuramoto Orientation Diffusion’s reference-only process, and the matched-parameter Lorenz-96 comparison in the coRNN and UnICORNN supplements. In each of those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3250461"/>
            <wp:effectExtent b="0" l="0" r="0" t="0"/>
            <wp:docPr descr="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 (Muzellec et al., 2025), reports only a retrained model. Half-filled squares mark the nearest published instance rather than the control itself."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3250461"/>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reports only a retrained model. Half-filled squares mark the nearest published instance rather than the control itself.</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core of twenty-three disjoint rings and a two-dimensional torus core against a globally coupled coRNN with the same hyperparameters and hidden size, explicitly to isolate the effect of the imposed structure; but the parameter counts of that comparison are neither matched nor reported, and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FSN’s case against consensus runs the same way.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and they are less uniform than a first reading suggests: coRNN bounds its hidden-state energy through damping and its gradients through a time-step condition, UnICORNN removes the damping and relies on conservation instead,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stable for any non-negative frequency and its implicit variant, the one that wins on long sequences, carries numerical dissipation,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learns an explicit damping term to widen its spectrum, and Un-0’s remedy is topological. The theory arrives at a related requirement from the other direction, and the coincidence is worth naming. Three of the five fixes above dissipate energy, and the one linear model that does not, the conservative LinOSS variant, loses to the dissipative one on the longest task. Independently, the approximation rates proved for these models hold only if the system is incrementally stable, which is the property dissipation provides. Dissipation is therefore not a workaround sitting beside the theory; it is what both the trainability results and the approximation-rate guarantees lean on, with UnICORNN the standing exception that trains long sequences on conservation alone.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its static frustration angles and reports the no-phase model indistinguishable from the full one at a thirty-epoch budget, three seeds against five, with the angles buying early-training speed rather than final quality; because the delay term it keeps is itself a frustrated coupling with a data-determined angle, the comparison does not reach plain Kuramoto, which the same paper reports as a clearly worse model. That is one comparison, within one coupling family, on one task, and not yet at convergence.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UnICORNN, LinOSS and D-LinOSS report. Character-level language modelling already runs on enwik8, and byte-level code on CodeParrot,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Sixteen of sixty-five possible control comparisons, ten of them from three systems,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 an earlier draft of this survey still got several of them wrong, which is the argument for a standard rather than for close reading. Where two papers from one group publish the two sides of an ablation, as coRNN and UnICORNN do for damping and coupling and LinOSS and D-LinOSS do for damping, the standard would ask for the comparison to be run once more, under one protocol, in the later paper.</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one of them nonlinear, with approximation results behind them;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 to fifty-thousand-step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fourteen rows of Table 1 they give seventy possible comparisons. Five do not apply, since a frozen twin means nothing for a system that never trains its dynamics and a coupling ablation means nothing for a model whose units do not couple within a layer, which leaves sixty-five. Sixteen have been run, and ten of those belong to three systems: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a frozen kernel, a no-dynamics twin, parameter-matched baselines and a model retrained without its coupling;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reports a same-network Gaussian baseline and a K(t) = 0 forward process. The remaining six are a no-dynamics baseline and a coupling ablation from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and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from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on one supplementary task. Appendix F itemizes them. Where a control has been run it has changed what the paper could conclude, and in two cases it reversed a headline: at matched parameters on a chaotic system both oscillatory recurrences lose to an LSTM, and a fixed coupling kernel comes within a point of KomplexNet’s learned one in distribution.</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 A variant retrained without the term and a trained model with the term zeroed at evaluation answer different questions, and a report should say which it ran.</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 and HoloGraph through it.</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 Fifteen rows cover eighteen systems.</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Fifteen rows cover eighteen systems."/>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coupled damped second-order: full weight matrices inside the nonlinearity</w:t>
            </w:r>
          </w:p>
        </w:tc>
        <w:tc>
          <w:tcPr/>
          <w:p>
            <w:pPr>
              <w:pStyle w:val="Compact"/>
            </w:pPr>
            <w:r>
              <w:rPr>
                <w:lang w:val="en-GB"/>
              </w:rPr>
              <w:t xml:space="preserve">recurrent core</w:t>
            </w:r>
          </w:p>
        </w:tc>
        <w:tc>
          <w:tcPr/>
          <w:p>
            <w:pPr>
              <w:pStyle w:val="Compact"/>
            </w:pPr>
            <w:r>
              <w:rPr>
                <w:lang w:val="en-GB"/>
              </w:rPr>
              <w:t xml:space="preserve">dynamics, including the coupling</w:t>
            </w:r>
          </w:p>
        </w:tc>
        <w:tc>
          <w:tcPr/>
          <w:p>
            <w:pPr>
              <w:pStyle w:val="Compact"/>
            </w:pPr>
            <w:r>
              <w:rPr>
                <w:lang w:val="en-GB"/>
              </w:rPr>
              <w:t xml:space="preserve">simulated</w:t>
            </w:r>
          </w:p>
        </w:tc>
        <w:tc>
          <w:tcPr/>
          <w:p>
            <w:pPr>
              <w:pStyle w:val="Compact"/>
            </w:pPr>
            <w:r>
              <w:rPr>
                <w:lang w:val="en-GB"/>
              </w:rPr>
              <w:t xml:space="preserve">ICLR 2021</w:t>
            </w:r>
          </w:p>
        </w:tc>
      </w:tr>
      <w:tr>
        <w:tc>
          <w:tcPr/>
          <w:p>
            <w:pPr>
              <w:pStyle w:val="Compact"/>
            </w:pPr>
            <w:r>
              <w:rPr>
                <w:lang w:val="en-GB"/>
              </w:rPr>
              <w:t xml:space="preserve">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independent undamped second-order: Hamiltonian, no coupling within a layer</w:t>
            </w:r>
          </w:p>
        </w:tc>
        <w:tc>
          <w:tcPr/>
          <w:p>
            <w:pPr>
              <w:pStyle w:val="Compact"/>
            </w:pPr>
            <w:r>
              <w:rPr>
                <w:lang w:val="en-GB"/>
              </w:rPr>
              <w:t xml:space="preserve">recurrent core</w:t>
            </w:r>
          </w:p>
        </w:tc>
        <w:tc>
          <w:tcPr/>
          <w:p>
            <w:pPr>
              <w:pStyle w:val="Compact"/>
            </w:pPr>
            <w:r>
              <w:rPr>
                <w:lang w:val="en-GB"/>
              </w:rPr>
              <w:t xml:space="preserve">dynamics, and a per-unit time step</w:t>
            </w:r>
          </w:p>
        </w:tc>
        <w:tc>
          <w:tcPr/>
          <w:p>
            <w:pPr>
              <w:pStyle w:val="Compact"/>
            </w:pPr>
            <w:r>
              <w:rPr>
                <w:lang w:val="en-GB"/>
              </w:rPr>
              <w:t xml:space="preserve">simulated</w:t>
            </w:r>
          </w:p>
        </w:tc>
        <w:tc>
          <w:tcPr/>
          <w:p>
            <w:pPr>
              <w:pStyle w:val="Compact"/>
            </w:pPr>
            <w:r>
              <w:rPr>
                <w:lang w:val="en-GB"/>
              </w:rPr>
              <w:t xml:space="preserve">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 uncoupled forced harmonic oscillators, undamped in LinOSS, learnable damping in D-LinOSS</w:t>
            </w:r>
          </w:p>
        </w:tc>
        <w:tc>
          <w:tcPr/>
          <w:p>
            <w:pPr>
              <w:pStyle w:val="Compact"/>
            </w:pPr>
            <w:r>
              <w:rPr>
                <w:lang w:val="en-GB"/>
              </w:rPr>
              <w:t xml:space="preserve">recurrent core</w:t>
            </w:r>
          </w:p>
        </w:tc>
        <w:tc>
          <w:tcPr/>
          <w:p>
            <w:pPr>
              <w:pStyle w:val="Compact"/>
            </w:pPr>
            <w:r>
              <w:rPr>
                <w:lang w:val="en-GB"/>
              </w:rPr>
              <w:t xml:space="preserve">linear dynamics</w:t>
            </w:r>
          </w:p>
        </w:tc>
        <w:tc>
          <w:tcPr/>
          <w:p>
            <w:pPr>
              <w:pStyle w:val="Compact"/>
            </w:pPr>
            <w:r>
              <w:rPr>
                <w:lang w:val="en-GB"/>
              </w:rPr>
              <w:t xml:space="preserve">simulated</w:t>
            </w:r>
          </w:p>
        </w:tc>
        <w:tc>
          <w:tcPr/>
          <w:p>
            <w:pPr>
              <w:pStyle w:val="Compact"/>
            </w:pPr>
            <w:r>
              <w:rPr>
                <w:lang w:val="en-GB"/>
              </w:rPr>
              <w:t xml:space="preserve">ICLR 2025 oral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coRNN with convolutional coupling over a lattice</w:t>
            </w:r>
          </w:p>
        </w:tc>
        <w:tc>
          <w:tcPr/>
          <w:p>
            <w:pPr>
              <w:pStyle w:val="Compact"/>
            </w:pPr>
            <w:r>
              <w:rPr>
                <w:lang w:val="en-GB"/>
              </w:rPr>
              <w:t xml:space="preserve">recurrent core</w:t>
            </w:r>
          </w:p>
        </w:tc>
        <w:tc>
          <w:tcPr/>
          <w:p>
            <w:pPr>
              <w:pStyle w:val="Compact"/>
            </w:pPr>
            <w:r>
              <w:rPr>
                <w:lang w:val="en-GB"/>
              </w:rPr>
              <w:t xml:space="preserve">dynamics, including the coupling kernel</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 with a convolutional decoder under 13% of the parameters</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frequencies</w:t>
            </w:r>
            <w:r>
              <w:rPr>
                <w:lang w:val="en-GB"/>
              </w:rPr>
              <w:t xml:space="preserve"> </w:t>
            </w:r>
            <w:r>
              <w:rPr>
                <w:b/>
                <w:bCs/>
                <w:lang w:val="en-GB"/>
              </w:rPr>
              <w:t xml:space="preserve">ω</w:t>
            </w:r>
            <w:r>
              <w:rPr>
                <w:lang w:val="en-GB"/>
              </w:rPr>
              <w:t xml:space="preserve"> </w:t>
            </w:r>
            <w:r>
              <w:rPr>
                <w:lang w:val="en-GB"/>
              </w:rPr>
              <w:t xml:space="preserve">and the decoder</w:t>
            </w:r>
          </w:p>
        </w:tc>
        <w:tc>
          <w:tcPr/>
          <w:p>
            <w:pPr>
              <w:pStyle w:val="Compact"/>
            </w:pPr>
            <w:r>
              <w:rPr>
                <w:lang w:val="en-GB"/>
              </w:rPr>
              <w:t xml:space="preserve">simulated</w:t>
            </w:r>
          </w:p>
        </w:tc>
        <w:tc>
          <w:tcPr/>
          <w:p>
            <w:pPr>
              <w:pStyle w:val="Compact"/>
            </w:pPr>
            <w:r>
              <w:rPr>
                <w:b/>
                <w:bCs/>
                <w:lang w:val="en-GB"/>
              </w:rPr>
              <w:t xml:space="preserve">blogs + MIT-licensed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generalized Winfree, trigonometric or MLP-parameterized, with attention-defined coupling</w:t>
            </w:r>
          </w:p>
        </w:tc>
        <w:tc>
          <w:tcPr/>
          <w:p>
            <w:pPr>
              <w:pStyle w:val="Compact"/>
            </w:pPr>
            <w:r>
              <w:rPr>
                <w:lang w:val="en-GB"/>
              </w:rPr>
              <w:t xml:space="preserve">whole model, with a learned input embedding and per-layer update networks</w:t>
            </w:r>
          </w:p>
        </w:tc>
        <w:tc>
          <w:tcPr/>
          <w:p>
            <w:pPr>
              <w:pStyle w:val="Compact"/>
            </w:pPr>
            <w:r>
              <w:rPr>
                <w:lang w:val="en-GB"/>
              </w:rPr>
              <w:t xml:space="preserve">dynamics; input written as the initial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 convolutional or attentive coupling</w:t>
            </w:r>
          </w:p>
        </w:tc>
        <w:tc>
          <w:tcPr/>
          <w:p>
            <w:pPr>
              <w:pStyle w:val="Compact"/>
            </w:pPr>
            <w:r>
              <w:rPr>
                <w:lang w:val="en-GB"/>
              </w:rPr>
              <w:t xml:space="preserve">layer in a conventional net</w:t>
            </w:r>
          </w:p>
        </w:tc>
        <w:tc>
          <w:tcPr/>
          <w:p>
            <w:pPr>
              <w:pStyle w:val="Compact"/>
            </w:pPr>
            <w:r>
              <w:rPr>
                <w:lang w:val="en-GB"/>
              </w:rPr>
              <w:t xml:space="preserve">dynamics, including Ω, J and the step size</w:t>
            </w:r>
          </w:p>
        </w:tc>
        <w:tc>
          <w:tcPr/>
          <w:p>
            <w:pPr>
              <w:pStyle w:val="Compact"/>
            </w:pPr>
            <w:r>
              <w:rPr>
                <w:lang w:val="en-GB"/>
              </w:rPr>
              <w:t xml:space="preserve">simulated</w:t>
            </w:r>
          </w:p>
        </w:tc>
        <w:tc>
          <w:tcPr/>
          <w:p>
            <w:pPr>
              <w:pStyle w:val="Compact"/>
            </w:pPr>
            <w:r>
              <w:rPr>
                <w:lang w:val="en-GB"/>
              </w:rPr>
              <w:t xml:space="preserve">ICLR 2025 oral</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on the phases of a complex-valued CNN’s first layer</w:t>
            </w:r>
          </w:p>
        </w:tc>
        <w:tc>
          <w:tcPr/>
          <w:p>
            <w:pPr>
              <w:pStyle w:val="Compact"/>
            </w:pPr>
            <w:r>
              <w:rPr>
                <w:lang w:val="en-GB"/>
              </w:rPr>
              <w:t xml:space="preserve">layer in a conventional net</w:t>
            </w:r>
          </w:p>
        </w:tc>
        <w:tc>
          <w:tcPr/>
          <w:p>
            <w:pPr>
              <w:pStyle w:val="Compact"/>
            </w:pPr>
            <w:r>
              <w:rPr>
                <w:lang w:val="en-GB"/>
              </w:rPr>
              <w:t xml:space="preserve">coupling kernel, through a mask-supervised synchrony loss, and the network</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 Attention); Kuramoto–Sakaguchi–Daido with delay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 coupling and noise schedules fixed</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r>
        <w:tc>
          <w:tcPr/>
          <w:p>
            <w:pPr>
              <w:pStyle w:val="Compact"/>
            </w:pPr>
            <w:r>
              <w:rPr>
                <w:lang w:val="en-GB"/>
              </w:rPr>
              <w:t xml:space="preserve">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p>
        </w:tc>
        <w:tc>
          <w:tcPr/>
          <w:p>
            <w:pPr>
              <w:pStyle w:val="Compact"/>
            </w:pPr>
            <w:r>
              <w:rPr>
                <w:lang w:val="en-GB"/>
              </w:rPr>
              <w:t xml:space="preserve">D-dimensional Kuramoto with a feedback term, over graph adjacency</w:t>
            </w:r>
          </w:p>
        </w:tc>
        <w:tc>
          <w:tcPr/>
          <w:p>
            <w:pPr>
              <w:pStyle w:val="Compact"/>
            </w:pPr>
            <w:r>
              <w:rPr>
                <w:lang w:val="en-GB"/>
              </w:rPr>
              <w:t xml:space="preserve">layer in a conventional net</w:t>
            </w:r>
          </w:p>
        </w:tc>
        <w:tc>
          <w:tcPr/>
          <w:p>
            <w:pPr>
              <w:pStyle w:val="Compact"/>
            </w:pPr>
            <w:r>
              <w:rPr>
                <w:lang w:val="en-GB"/>
              </w:rPr>
              <w:t xml:space="preserve">dynamics; a learnable scaling of the adjacency</w:t>
            </w:r>
          </w:p>
        </w:tc>
        <w:tc>
          <w:tcPr/>
          <w:p>
            <w:pPr>
              <w:pStyle w:val="Compact"/>
            </w:pPr>
            <w:r>
              <w:rPr>
                <w:lang w:val="en-GB"/>
              </w:rPr>
              <w:t xml:space="preserve">simulated</w:t>
            </w:r>
          </w:p>
        </w:tc>
        <w:tc>
          <w:tcPr/>
          <w:p>
            <w:pPr>
              <w:pStyle w:val="Compact"/>
            </w:pPr>
            <w:r>
              <w:rPr>
                <w:lang w:val="en-GB"/>
              </w:rPr>
              <w:t xml:space="preserve">Nature Communications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classification and chaotic forecasting</w:t>
            </w:r>
          </w:p>
        </w:tc>
        <w:tc>
          <w:tcPr/>
          <w:p>
            <w:pPr>
              <w:pStyle w:val="Compact"/>
            </w:pPr>
            <w:r>
              <w:rPr>
                <w:lang w:val="en-GB"/>
              </w:rPr>
              <w:t xml:space="preserve">above a leaky ESN on every task; above trained RNNs on chaotic forecasting and small-parameter classification; below coRNN and its trained twin on sMNIST, psMNIST, noise-padded CIFAR-10 and FordA</w:t>
            </w:r>
          </w:p>
        </w:tc>
        <w:tc>
          <w:tcPr/>
          <w:p>
            <w:pPr>
              <w:pStyle w:val="Compact"/>
            </w:pPr>
            <w:r>
              <w:rPr>
                <w:lang w:val="en-GB"/>
              </w:rPr>
              <w:t xml:space="preserve">matched trainable parameters, 0.1k to 134k, with 13,000 oscillators against 256 trained units</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psMNIST (784 steps), noise-padded CIFAR-10 (1,000), the adding problem (to 5,000)</w:t>
            </w:r>
          </w:p>
        </w:tc>
        <w:tc>
          <w:tcPr/>
          <w:p>
            <w:pPr>
              <w:pStyle w:val="Compact"/>
            </w:pPr>
            <w:r>
              <w:rPr>
                <w:lang w:val="en-GB"/>
              </w:rPr>
              <w:t xml:space="preserve">comparable to the state of the art; best single-layer RNN on sMNIST and psMNIST at publication</w:t>
            </w:r>
          </w:p>
        </w:tc>
        <w:tc>
          <w:tcPr/>
          <w:p>
            <w:pPr>
              <w:pStyle w:val="Compact"/>
            </w:pPr>
            <w:r>
              <w:rPr>
                <w:lang w:val="en-GB"/>
              </w:rPr>
              <w:t xml:space="preserve">34k to 134k</w:t>
            </w:r>
          </w:p>
        </w:tc>
        <w:tc>
          <w:tcPr/>
          <w:p>
            <w:pPr>
              <w:pStyle w:val="Compact"/>
            </w:pPr>
            <w:r>
              <w:rPr>
                <w:lang w:val="en-GB"/>
              </w:rPr>
              <w:t xml:space="preserve">full BPTT; energy bounded by damping, gradients bounded under a time-step condition on the weights</w:t>
            </w:r>
          </w:p>
        </w:tc>
      </w:tr>
      <w:tr>
        <w:tc>
          <w:tcPr/>
          <w:p>
            <w:pPr>
              <w:pStyle w:val="Compact"/>
            </w:pPr>
            <w:r>
              <w:rPr>
                <w:lang w:val="en-GB"/>
              </w:rPr>
              <w:t xml:space="preserve">UnICORNN</w:t>
            </w:r>
          </w:p>
        </w:tc>
        <w:tc>
          <w:tcPr/>
          <w:p>
            <w:pPr>
              <w:pStyle w:val="Compact"/>
            </w:pPr>
            <w:r>
              <w:rPr>
                <w:lang w:val="en-GB"/>
              </w:rPr>
              <w:t xml:space="preserve">psMNIST, noise-padded CIFAR-10, EigenWorms (17,984 steps), IMDB, vital signs</w:t>
            </w:r>
          </w:p>
        </w:tc>
        <w:tc>
          <w:tcPr/>
          <w:p>
            <w:pPr>
              <w:pStyle w:val="Compact"/>
            </w:pPr>
            <w:r>
              <w:rPr>
                <w:lang w:val="en-GB"/>
              </w:rPr>
              <w:t xml:space="preserve">98.4% on psMNIST; 90.3% on EigenWorms with full BPTT, against 57.9% for a truncated-BPTT LSTM</w:t>
            </w:r>
          </w:p>
        </w:tc>
        <w:tc>
          <w:tcPr/>
          <w:p>
            <w:pPr>
              <w:pStyle w:val="Compact"/>
            </w:pPr>
            <w:r>
              <w:rPr>
                <w:lang w:val="en-GB"/>
              </w:rPr>
              <w:t xml:space="preserve">35k to 135k; a few thousand on EigenWorms</w:t>
            </w:r>
          </w:p>
        </w:tc>
        <w:tc>
          <w:tcPr/>
          <w:p>
            <w:pPr>
              <w:pStyle w:val="Compact"/>
            </w:pPr>
            <w:r>
              <w:rPr>
                <w:lang w:val="en-GB"/>
              </w:rPr>
              <w:t xml:space="preserve">full BPTT through 17,984 steps, made invertible; gradients bounded by Hamiltonian conservation</w:t>
            </w:r>
          </w:p>
        </w:tc>
      </w:tr>
      <w:tr>
        <w:tc>
          <w:tcPr/>
          <w:p>
            <w:pPr>
              <w:pStyle w:val="Compact"/>
            </w:pPr>
            <w:r>
              <w:rPr>
                <w:lang w:val="en-GB"/>
              </w:rPr>
              <w:t xml:space="preserve">LinOSS / D-LinOSS</w:t>
            </w:r>
          </w:p>
        </w:tc>
        <w:tc>
          <w:tcPr/>
          <w:p>
            <w:pPr>
              <w:pStyle w:val="Compact"/>
            </w:pPr>
            <w:r>
              <w:rPr>
                <w:lang w:val="en-GB"/>
              </w:rPr>
              <w:t xml:space="preserve">UEA archive including EigenWorms (17,984 steps), PPG-DaLiA (49,920-step windows), weather forecasting</w:t>
            </w:r>
          </w:p>
        </w:tc>
        <w:tc>
          <w:tcPr/>
          <w:p>
            <w:pPr>
              <w:pStyle w:val="Compact"/>
            </w:pPr>
            <w:r>
              <w:rPr>
                <w:lang w:val="en-GB"/>
              </w:rPr>
              <w:t xml:space="preserve">EigenWorms 95.0% (LinOSS-IM), 80.0% (LinOSS-IMEX), 93.9% (D-LinOSS), against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and 87.8% for LRU; PPG-DaLiA error 6.4 against 10.65 for Mamba (MSE × 10⁻²)</w:t>
            </w:r>
          </w:p>
        </w:tc>
        <w:tc>
          <w:tcPr/>
          <w:p>
            <w:pPr>
              <w:pStyle w:val="Compact"/>
            </w:pPr>
            <w:r>
              <w:rPr>
                <w:lang w:val="en-GB"/>
              </w:rPr>
              <w:t xml:space="preserve">134k on EigenWorms, against 27k for Mamba and 15k for S6</w:t>
            </w:r>
          </w:p>
        </w:tc>
        <w:tc>
          <w:tcPr/>
          <w:p>
            <w:pPr>
              <w:pStyle w:val="Compact"/>
            </w:pPr>
            <w:r>
              <w:rPr>
                <w:lang w:val="en-GB"/>
              </w:rPr>
              <w:t xml:space="preserve">parallel scan; implicit (dissipative) or symplectic (conservative) discretization</w:t>
            </w:r>
          </w:p>
        </w:tc>
      </w:tr>
      <w:tr>
        <w:tc>
          <w:tcPr/>
          <w:p>
            <w:pPr>
              <w:pStyle w:val="Compact"/>
            </w:pPr>
            <w:r>
              <w:rPr>
                <w:lang w:val="en-GB"/>
              </w:rPr>
              <w:t xml:space="preserve">Neural Wave Machines</w:t>
            </w:r>
          </w:p>
        </w:tc>
        <w:tc>
          <w:tcPr/>
          <w:p>
            <w:pPr>
              <w:pStyle w:val="Compact"/>
            </w:pPr>
            <w:r>
              <w:rPr>
                <w:lang w:val="en-GB"/>
              </w:rPr>
              <w:t xml:space="preserve">sMNIST and psMNIST; rotating MNIST; a Hamiltonian physics suite</w:t>
            </w:r>
          </w:p>
        </w:tc>
        <w:tc>
          <w:tcPr/>
          <w:p>
            <w:pPr>
              <w:pStyle w:val="Compact"/>
            </w:pPr>
            <w:r>
              <w:rPr>
                <w:lang w:val="en-GB"/>
              </w:rPr>
              <w:t xml:space="preserve">98.6% and 94.8% at 50k parameters against 99.1% and 95.0% for coRNN at 134k; travelling waves and emergent topography</w:t>
            </w:r>
          </w:p>
        </w:tc>
        <w:tc>
          <w:tcPr/>
          <w:p>
            <w:pPr>
              <w:pStyle w:val="Compact"/>
            </w:pPr>
            <w:r>
              <w:rPr>
                <w:lang w:val="en-GB"/>
              </w:rPr>
              <w:t xml:space="preserve">50k, of which 45k are the encoder and decoder</w:t>
            </w:r>
          </w:p>
        </w:tc>
        <w:tc>
          <w:tcPr/>
          <w:p>
            <w:pPr>
              <w:pStyle w:val="Compact"/>
            </w:pPr>
            <w:r>
              <w:rPr>
                <w:lang w:val="en-GB"/>
              </w:rPr>
              <w:t xml:space="preserve">18 to 60 steps on the physics tasks; 784 on sMNIST</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ImageNet-100 and CIFAR classification; Maze-hard; Sudoku</w:t>
            </w:r>
          </w:p>
        </w:tc>
        <w:tc>
          <w:tcPr/>
          <w:p>
            <w:pPr>
              <w:pStyle w:val="Compact"/>
            </w:pPr>
            <w:r>
              <w:rPr>
                <w:lang w:val="en-GB"/>
              </w:rPr>
              <w:t xml:space="preserve">76.78% top-1 on ImageNet-1K (ResNet-18 69.73%, ResNet-50 76.89%); 76.2% on Maze-hard, 80.1% with best-of-32 energy voting (TRM-Att 85.3%, HRM 74.5%); 100% on Sudoku</w:t>
            </w:r>
          </w:p>
        </w:tc>
        <w:tc>
          <w:tcPr/>
          <w:p>
            <w:pPr>
              <w:pStyle w:val="Compact"/>
            </w:pPr>
            <w:r>
              <w:rPr>
                <w:lang w:val="en-GB"/>
              </w:rPr>
              <w:t xml:space="preserve">12.3M (ImageNet-1K); 0.396M (Maze-hard); 1.58M (Sudoku)</w:t>
            </w:r>
          </w:p>
        </w:tc>
        <w:tc>
          <w:tcPr/>
          <w:p>
            <w:pPr>
              <w:pStyle w:val="Compact"/>
            </w:pPr>
            <w:r>
              <w:rPr>
                <w:lang w:val="en-GB"/>
              </w:rPr>
              <w:t xml:space="preserve">18 steps for images (6 layers × 3); 24 (Maze-hard); 16 (Sudoku)</w:t>
            </w:r>
          </w:p>
        </w:tc>
      </w:tr>
      <w:tr>
        <w:tc>
          <w:tcPr/>
          <w:p>
            <w:pPr>
              <w:pStyle w:val="Compact"/>
            </w:pPr>
            <w:r>
              <w:rPr>
                <w:lang w:val="en-GB"/>
              </w:rPr>
              <w:t xml:space="preserve">AKOrN</w:t>
            </w:r>
          </w:p>
        </w:tc>
        <w:tc>
          <w:tcPr/>
          <w:p>
            <w:pPr>
              <w:pStyle w:val="Compact"/>
            </w:pPr>
            <w:r>
              <w:rPr>
                <w:lang w:val="en-GB"/>
              </w:rPr>
              <w:t xml:space="preserve">object discovery, Sudoku, CIFAR-10 robustness and calibration</w:t>
            </w:r>
          </w:p>
        </w:tc>
        <w:tc>
          <w:tcPr/>
          <w:p>
            <w:pPr>
              <w:pStyle w:val="Compact"/>
            </w:pPr>
            <w:r>
              <w:rPr>
                <w:lang w:val="en-GB"/>
              </w:rPr>
              <w:t xml:space="preserve">robustness and calibration advantages; 100% on Sudoku in distribution and 89.5% out of distribution with voting; clean CIFAR-10 accuracy below ResNet-18</w:t>
            </w:r>
          </w:p>
        </w:tc>
        <w:tc>
          <w:tcPr/>
          <w:p>
            <w:pPr>
              <w:pStyle w:val="Compact"/>
            </w:pPr>
            <w:r>
              <w:rPr>
                <w:lang w:val="en-GB"/>
              </w:rPr>
              <w:t xml:space="preserve">not printed; baselines matched in FLOPs and memory</w:t>
            </w:r>
          </w:p>
        </w:tc>
        <w:tc>
          <w:tcPr/>
          <w:p>
            <w:pPr>
              <w:pStyle w:val="Compact"/>
            </w:pPr>
            <w:r>
              <w:rPr>
                <w:lang w:val="en-GB"/>
              </w:rPr>
              <w:t xml:space="preserve">8 steps per block for object discovery, 16 for Sudoku, 3 to 6 for CIFAR-10</w:t>
            </w:r>
          </w:p>
        </w:tc>
      </w:tr>
      <w:tr>
        <w:tc>
          <w:tcPr/>
          <w:p>
            <w:pPr>
              <w:pStyle w:val="Compact"/>
            </w:pPr>
            <w:r>
              <w:rPr>
                <w:lang w:val="en-GB"/>
              </w:rPr>
              <w:t xml:space="preserve">KomplexNet</w:t>
            </w:r>
          </w:p>
        </w:tc>
        <w:tc>
          <w:tcPr/>
          <w:p>
            <w:pPr>
              <w:pStyle w:val="Compact"/>
            </w:pPr>
            <w:r>
              <w:rPr>
                <w:lang w:val="en-GB"/>
              </w:rPr>
              <w:t xml:space="preserve">multi-object recognition on Multi-MNIST variants: 2 to 9 digits, overlap, noise, CIFAR backgrounds</w:t>
            </w:r>
          </w:p>
        </w:tc>
        <w:tc>
          <w:tcPr/>
          <w:p>
            <w:pPr>
              <w:pStyle w:val="Compact"/>
            </w:pPr>
            <w:r>
              <w:rPr>
                <w:lang w:val="en-GB"/>
              </w:rPr>
              <w:t xml:space="preserve">10 to 15% over a real-valued model under overlap and noise; 2 to 3 points in distribution</w:t>
            </w:r>
          </w:p>
        </w:tc>
        <w:tc>
          <w:tcPr/>
          <w:p>
            <w:pPr>
              <w:pStyle w:val="Compact"/>
            </w:pPr>
            <w:r>
              <w:rPr>
                <w:lang w:val="en-GB"/>
              </w:rPr>
              <w:t xml:space="preserve">small; matched to the real-valued baseline in its appendix</w:t>
            </w:r>
          </w:p>
        </w:tc>
        <w:tc>
          <w:tcPr/>
          <w:p>
            <w:pPr>
              <w:pStyle w:val="Compact"/>
            </w:pPr>
            <w:r>
              <w:rPr>
                <w:lang w:val="en-GB"/>
              </w:rPr>
              <w:t xml:space="preserve">15 Kuramoto steps at the first layer, backpropagated through</w:t>
            </w:r>
          </w:p>
        </w:tc>
      </w:tr>
      <w:tr>
        <w:tc>
          <w:tcPr/>
          <w:p>
            <w:pPr>
              <w:pStyle w:val="Compact"/>
            </w:pPr>
            <w:r>
              <w:rPr>
                <w:lang w:val="en-GB"/>
              </w:rPr>
              <w:t xml:space="preserve">Kuramoto Attention / FSN</w:t>
            </w:r>
          </w:p>
        </w:tc>
        <w:tc>
          <w:tcPr/>
          <w:p>
            <w:pPr>
              <w:pStyle w:val="Compact"/>
            </w:pPr>
            <w:r>
              <w:rPr>
                <w:lang w:val="en-GB"/>
              </w:rPr>
              <w:t xml:space="preserve">character-level language modelling (enwik8) and byte-level code (CodeParrot)</w:t>
            </w:r>
          </w:p>
        </w:tc>
        <w:tc>
          <w:tcPr/>
          <w:p>
            <w:pPr>
              <w:pStyle w:val="Compact"/>
            </w:pPr>
            <w:r>
              <w:rPr>
                <w:lang w:val="en-GB"/>
              </w:rPr>
              <w:t xml:space="preserve">above a parameter-matched Transformer at 5M on code and by median on enwik8; below it at 1M (preprints)</w:t>
            </w:r>
          </w:p>
        </w:tc>
        <w:tc>
          <w:tcPr/>
          <w:p>
            <w:pPr>
              <w:pStyle w:val="Compact"/>
            </w:pPr>
            <w:r>
              <w:rPr>
                <w:lang w:val="en-GB"/>
              </w:rPr>
              <w:t xml:space="preserve">1M; 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 fingerprints, textures, terrain, CIFAR-10</w:t>
            </w:r>
          </w:p>
        </w:tc>
        <w:tc>
          <w:tcPr/>
          <w:p>
            <w:pPr>
              <w:pStyle w:val="Compact"/>
            </w:pPr>
            <w:r>
              <w:rPr>
                <w:lang w:val="en-GB"/>
              </w:rPr>
              <w:t xml:space="preserve">Brodatz FID 18.5 at 100 steps and 14.2 at 1,000, against 38.3 and 20.4 for the same-network Gaussian baseline; CIFAR-10 28.2 against 38.0 at 100 steps, but 10.8 against 3.2 at 1,000</w:t>
            </w:r>
          </w:p>
        </w:tc>
        <w:tc>
          <w:tcPr/>
          <w:p>
            <w:pPr>
              <w:pStyle w:val="Compact"/>
            </w:pPr>
            <w:r>
              <w:rPr>
                <w:lang w:val="en-GB"/>
              </w:rPr>
              <w:t xml:space="preserve">same U-Net as the baseline; count not reported</w:t>
            </w:r>
          </w:p>
        </w:tc>
        <w:tc>
          <w:tcPr/>
          <w:p>
            <w:pPr>
              <w:pStyle w:val="Compact"/>
            </w:pPr>
            <w:r>
              <w:rPr>
                <w:lang w:val="en-GB"/>
              </w:rPr>
              <w:t xml:space="preserve">forward chain of 100 to 1,000 steps simulated; per-step score objectives, no gradient through the chain</w:t>
            </w:r>
          </w:p>
        </w:tc>
      </w:tr>
      <w:tr>
        <w:tc>
          <w:tcPr/>
          <w:p>
            <w:pPr>
              <w:pStyle w:val="Compact"/>
            </w:pPr>
            <w:r>
              <w:rPr>
                <w:lang w:val="en-GB"/>
              </w:rPr>
              <w:t xml:space="preserve">HoloGraph</w:t>
            </w:r>
          </w:p>
        </w:tc>
        <w:tc>
          <w:tcPr/>
          <w:p>
            <w:pPr>
              <w:pStyle w:val="Compact"/>
            </w:pPr>
            <w:r>
              <w:rPr>
                <w:lang w:val="en-GB"/>
              </w:rPr>
              <w:t xml:space="preserve">node and graph classification on ten citation, web and molecule graphs; fMRI task decoding</w:t>
            </w:r>
          </w:p>
        </w:tc>
        <w:tc>
          <w:tcPr/>
          <w:p>
            <w:pPr>
              <w:pStyle w:val="Compact"/>
            </w:pPr>
            <w:r>
              <w:rPr>
                <w:lang w:val="en-GB"/>
              </w:rPr>
              <w:t xml:space="preserve">best or near-best against eight GNN baselines including KuramotoGNN and GraphCON; accuracy stable to 128 layers</w:t>
            </w:r>
          </w:p>
        </w:tc>
        <w:tc>
          <w:tcPr/>
          <w:p>
            <w:pPr>
              <w:pStyle w:val="Compact"/>
            </w:pPr>
            <w:r>
              <w:rPr>
                <w:lang w:val="en-GB"/>
              </w:rPr>
              <w:t xml:space="preserve">not reported in the main text</w:t>
            </w:r>
          </w:p>
        </w:tc>
        <w:tc>
          <w:tcPr/>
          <w:p>
            <w:pPr>
              <w:pStyle w:val="Compact"/>
            </w:pPr>
            <w:r>
              <w:rPr>
                <w:lang w:val="en-GB"/>
              </w:rPr>
              <w:t xml:space="preserve">unrolled forward-difference stack, to 128 layers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Fourteen rows times five controls gives seventy possible control comparisons. Five are marked not applicable: the single-term coupling ablation for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whose units do not couple within a layer, 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whose state matrices are diagonal,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 Ising machines, none of which trains its dynamics in the first place.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coupled through its full weight matrices, so its coupling cell is applicable and empty. That leaves</w:t>
      </w:r>
      <w:r>
        <w:rPr>
          <w:lang w:val="en-GB"/>
        </w:rPr>
        <w:t xml:space="preserve"> </w:t>
      </w:r>
      <w:r>
        <w:rPr>
          <w:b/>
          <w:bCs/>
          <w:lang w:val="en-GB"/>
        </w:rPr>
        <w:t xml:space="preserve">sixty-five applicable comparisons</w:t>
      </w:r>
      <w:r>
        <w:rPr>
          <w:lang w:val="en-GB"/>
        </w:rPr>
        <w:t xml:space="preserve">, of which</w:t>
      </w:r>
      <w:r>
        <w:rPr>
          <w:lang w:val="en-GB"/>
        </w:rPr>
        <w:t xml:space="preserve"> </w:t>
      </w:r>
      <w:r>
        <w:rPr>
          <w:b/>
          <w:bCs/>
          <w:lang w:val="en-GB"/>
        </w:rPr>
        <w:t xml:space="preserve">sixteen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decoder-only (ItrConv and ItrSA, the same iterated layers without the Kuramoto update).</w:t>
      </w:r>
    </w:p>
    <w:p>
      <w:pPr>
        <w:pStyle w:val="Compact"/>
        <w:numPr>
          <w:ilvl w:val="0"/>
          <w:numId w:val="1005"/>
        </w:numPr>
      </w:pPr>
      <w:r>
        <w:rPr>
          <w:lang w:val="en-GB"/>
        </w:rPr>
        <w:t xml:space="preserve">AKOrN, single-term ablation of the coupling (a J = 0 bar in a robustness figure).</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Transformers at 1M and 5M).</w:t>
      </w:r>
    </w:p>
    <w:p>
      <w:pPr>
        <w:pStyle w:val="Compact"/>
        <w:numPr>
          <w:ilvl w:val="0"/>
          <w:numId w:val="1005"/>
        </w:numPr>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frozen twin (coupling kernel held at a fixed Gaussian).</w:t>
      </w:r>
    </w:p>
    <w:p>
      <w:pPr>
        <w:pStyle w:val="Compact"/>
        <w:numPr>
          <w:ilvl w:val="0"/>
          <w:numId w:val="1005"/>
        </w:numPr>
      </w:pPr>
      <w:r>
        <w:rPr>
          <w:lang w:val="en-GB"/>
        </w:rPr>
        <w:t xml:space="preserve">KomplexNet, decoder-only (the real-valued twin, and the complex twin without the Kuramoto step).</w:t>
      </w:r>
    </w:p>
    <w:p>
      <w:pPr>
        <w:pStyle w:val="Compact"/>
        <w:numPr>
          <w:ilvl w:val="0"/>
          <w:numId w:val="1005"/>
        </w:numPr>
      </w:pPr>
      <w:r>
        <w:rPr>
          <w:lang w:val="en-GB"/>
        </w:rPr>
        <w:t xml:space="preserve">KomplexNet, matched-budget baseline (a parameter-matched real-valued model, and a ViT of comparable size).</w:t>
      </w:r>
    </w:p>
    <w:p>
      <w:pPr>
        <w:pStyle w:val="Compact"/>
        <w:numPr>
          <w:ilvl w:val="0"/>
          <w:numId w:val="1005"/>
        </w:numPr>
      </w:pPr>
      <w:r>
        <w:rPr>
          <w:lang w:val="en-GB"/>
        </w:rPr>
        <w:t xml:space="preserve">KomplexNet, single-term ablation of the coupling (retrained without the Kuramoto step).</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decoder-only (the Gaussian score model with the same U-Net).</w:t>
      </w:r>
    </w:p>
    <w:p>
      <w:pPr>
        <w:pStyle w:val="Compact"/>
        <w:numPr>
          <w:ilvl w:val="0"/>
          <w:numId w:val="1005"/>
        </w:numPr>
      </w:pPr>
      <w:r>
        <w:rPr>
          <w:lang w:val="en-GB"/>
        </w:rPr>
        <w:t xml:space="preserve">Kuramoto Orientation Diffusion, matched-budget baseline (the same experiment as item 11, counted once per column as the table does).</w:t>
      </w:r>
    </w:p>
    <w:p>
      <w:pPr>
        <w:pStyle w:val="Compact"/>
        <w:numPr>
          <w:ilvl w:val="0"/>
          <w:numId w:val="1005"/>
        </w:numPr>
      </w:pPr>
      <w:r>
        <w:rPr>
          <w:lang w:val="en-GB"/>
        </w:rPr>
        <w:t xml:space="preserve">Kuramoto Orientation Diffusion, single-term ablation of the coupling (K(t) = 0).</w:t>
      </w:r>
    </w:p>
    <w:p>
      <w:pPr>
        <w:pStyle w:val="Compact"/>
        <w:numPr>
          <w:ilvl w:val="0"/>
          <w:numId w:val="1005"/>
        </w:numPr>
      </w:pPr>
      <w:r>
        <w:rPr>
          <w:lang w:val="en-GB"/>
        </w:rPr>
        <w:t xml:space="preserve">coRNN, matched-budget baseline (a 9k-parameter LSTM on Lorenz-96, in the supplement).</w:t>
      </w:r>
    </w:p>
    <w:p>
      <w:pPr>
        <w:pStyle w:val="Compact"/>
        <w:numPr>
          <w:ilvl w:val="0"/>
          <w:numId w:val="1005"/>
        </w:numPr>
      </w:pPr>
      <w:r>
        <w:rPr>
          <w:lang w:val="en-GB"/>
        </w:rPr>
        <w:t xml:space="preserve">UnICORNN, matched-budget baseline (the same Lorenz-96 comparison).</w:t>
      </w:r>
    </w:p>
    <w:p>
      <w:pPr>
        <w:pStyle w:val="Compact"/>
        <w:numPr>
          <w:ilvl w:val="0"/>
          <w:numId w:val="1005"/>
        </w:numPr>
      </w:pPr>
      <w:r>
        <w:rPr>
          <w:lang w:val="en-GB"/>
        </w:rPr>
        <w:t xml:space="preserve">RON, matched-budget baseline (echo-state and trained recurrent baselines at matched trainable parameters).</w:t>
      </w:r>
    </w:p>
    <w:p>
      <w:pPr>
        <w:pStyle w:val="FirstParagraph"/>
      </w:pPr>
      <w:r>
        <w:rPr>
          <w:lang w:val="en-GB"/>
        </w:rPr>
        <w:t xml:space="preserve">Three further cells are marked as the nearest published instance rather than the control itself, and are not counted among the sixteen: AKOrN’s matched-budget cell, since its baselines are matched in FLOPs and memory and described as roughly matched in parameters but the counts are not printed;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’s matched-budget cell, since the ResNet-18 it is compared with is an off-the-shelf model of similar size under a different training recipe; and the coupling cell of Kuramoto Attention / FSN, whose learned-value-projection ablation replaces the Kuramoto step rather than removing it.</w:t>
      </w:r>
    </w:p>
    <w:p>
      <w:pPr>
        <w:pStyle w:val="BodyText"/>
      </w:pPr>
      <w:r>
        <w:rPr>
          <w:lang w:val="en-GB"/>
        </w:rPr>
        <w:t xml:space="preserve">Two comparisons the five controls do not capture are recorded in Section 2.3.3 because they come close to a sixth: UnICORNN is coRNN with the damping and the within-layer coupling removed and a layer stack added, and D-LinOSS with its damping set to zero recovers LinOSS’s conservative discretization, so each pair of papers publishes both sides of a damping ablation that neither paper runs alone.</w:t>
      </w:r>
    </w:p>
    <w:p>
      <w:pPr>
        <w:pStyle w:val="BodyText"/>
      </w:pPr>
      <w:r>
        <w:rPr>
          <w:lang w:val="en-GB"/>
        </w:rPr>
        <w:t xml:space="preserve">An earlier draft of this survey counted seven of fifty-five. The difference is entirely controls that the papers report and that draft had missed, together with one cell it had marked not applicable in error. We record the correction here because it is itself evidence for the argument of Section 3.2 that reported controls need a reporting standard to be legible.</w:t>
      </w:r>
    </w:p>
    <w:p>
      <w:pPr>
        <w:pStyle w:val="BodyText"/>
      </w:pPr>
      <w:r>
        <w:rPr>
          <w:lang w:val="en-GB"/>
        </w:rPr>
        <w:t xml:space="preserve">Table 1 covers fourteen of the fifteen rows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 because they are the reservoir-computing precedent this survey measures oscillator systems against rather than oscillator systems whose dynamics is itself under test.</w:t>
      </w:r>
    </w:p>
    <w:bookmarkEnd w:id="86"/>
    <w:bookmarkStart w:id="348"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three times, in a diffusion forward process on one dataset, in one bar of a robustness figure, and in a model retrained without the term, never with a retrained and a zeroed-at-test variant side by side;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47"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9">
        <w:r>
          <w:rPr>
            <w:rStyle w:val="Hyperlink"/>
            <w:lang w:val="en-GB"/>
          </w:rPr>
          <w:t xml:space="preserve">https://doi.org/10.1162/neco.1997.9.8.1735</w:t>
        </w:r>
      </w:hyperlink>
    </w:p>
    <w:bookmarkEnd w:id="190"/>
    <w:bookmarkStart w:id="192"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1">
        <w:r>
          <w:rPr>
            <w:rStyle w:val="Hyperlink"/>
            <w:lang w:val="en-GB"/>
          </w:rPr>
          <w:t xml:space="preserve">https://doi.org/10.1113/jphysiol.1952.sp004764</w:t>
        </w:r>
      </w:hyperlink>
    </w:p>
    <w:bookmarkEnd w:id="192"/>
    <w:bookmarkStart w:id="194"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3">
        <w:r>
          <w:rPr>
            <w:rStyle w:val="Hyperlink"/>
            <w:lang w:val="en-GB"/>
          </w:rPr>
          <w:t xml:space="preserve">https://doi.org/10.1073/pnas.79.8.2554</w:t>
        </w:r>
      </w:hyperlink>
    </w:p>
    <w:bookmarkEnd w:id="194"/>
    <w:bookmarkStart w:id="196"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5">
        <w:r>
          <w:rPr>
            <w:rStyle w:val="Hyperlink"/>
            <w:lang w:val="en-GB"/>
          </w:rPr>
          <w:t xml:space="preserve">https://doi.org/10.1016/j.ymssp.2026.114485</w:t>
        </w:r>
      </w:hyperlink>
    </w:p>
    <w:bookmarkEnd w:id="196"/>
    <w:bookmarkStart w:id="198"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7">
        <w:r>
          <w:rPr>
            <w:rStyle w:val="Hyperlink"/>
            <w:lang w:val="en-GB"/>
          </w:rPr>
          <w:t xml:space="preserve">https://arxiv.org/abs/2603.09742</w:t>
        </w:r>
      </w:hyperlink>
    </w:p>
    <w:bookmarkEnd w:id="198"/>
    <w:bookmarkStart w:id="200"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9">
        <w:r>
          <w:rPr>
            <w:rStyle w:val="Hyperlink"/>
            <w:lang w:val="en-GB"/>
          </w:rPr>
          <w:t xml:space="preserve">https://doi.org/10.1038/nature20587</w:t>
        </w:r>
      </w:hyperlink>
    </w:p>
    <w:bookmarkEnd w:id="200"/>
    <w:bookmarkStart w:id="202"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1">
        <w:r>
          <w:rPr>
            <w:rStyle w:val="Hyperlink"/>
            <w:lang w:val="en-GB"/>
          </w:rPr>
          <w:t xml:space="preserve">https://www.ai.rug.nl/minds/uploads/EchoStatesTechRep.pdf</w:t>
        </w:r>
      </w:hyperlink>
    </w:p>
    <w:bookmarkEnd w:id="202"/>
    <w:bookmarkStart w:id="204"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3">
        <w:r>
          <w:rPr>
            <w:rStyle w:val="Hyperlink"/>
            <w:lang w:val="en-GB"/>
          </w:rPr>
          <w:t xml:space="preserve">https://arxiv.org/abs/2206.00364</w:t>
        </w:r>
      </w:hyperlink>
    </w:p>
    <w:bookmarkEnd w:id="204"/>
    <w:bookmarkStart w:id="206"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5">
        <w:r>
          <w:rPr>
            <w:rStyle w:val="Hyperlink"/>
            <w:lang w:val="en-GB"/>
          </w:rPr>
          <w:t xml:space="preserve">https://proceedings.mlr.press/v202/keller23a.html</w:t>
        </w:r>
      </w:hyperlink>
    </w:p>
    <w:bookmarkEnd w:id="206"/>
    <w:bookmarkStart w:id="208"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7">
        <w:r>
          <w:rPr>
            <w:rStyle w:val="Hyperlink"/>
            <w:lang w:val="en-GB"/>
          </w:rPr>
          <w:t xml:space="preserve">https://doi.org/10.1103/PhysRevLett.91.128101</w:t>
        </w:r>
      </w:hyperlink>
    </w:p>
    <w:bookmarkEnd w:id="208"/>
    <w:bookmarkStart w:id="210"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9">
        <w:r>
          <w:rPr>
            <w:rStyle w:val="Hyperlink"/>
            <w:lang w:val="en-GB"/>
          </w:rPr>
          <w:t xml:space="preserve">http://papers.nips.cc/paper\_files/paper/2022/hash/c4d5e998372e2b8742c6dc806e38bc0e-Abstract-Conference.html</w:t>
        </w:r>
      </w:hyperlink>
    </w:p>
    <w:bookmarkEnd w:id="210"/>
    <w:bookmarkStart w:id="212"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1">
        <w:r>
          <w:rPr>
            <w:rStyle w:val="Hyperlink"/>
            <w:lang w:val="en-GB"/>
          </w:rPr>
          <w:t xml:space="preserve">https://doi.org/10.1007/BFb0013365</w:t>
        </w:r>
      </w:hyperlink>
    </w:p>
    <w:bookmarkEnd w:id="212"/>
    <w:bookmarkStart w:id="214"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3">
        <w:r>
          <w:rPr>
            <w:rStyle w:val="Hyperlink"/>
            <w:lang w:val="en-GB"/>
          </w:rPr>
          <w:t xml:space="preserve">http://www.j-npcs.org/abstracts/vol2002/v5no4/v5no4p380.html</w:t>
        </w:r>
      </w:hyperlink>
    </w:p>
    <w:bookmarkEnd w:id="214"/>
    <w:bookmarkStart w:id="216"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5">
        <w:r>
          <w:rPr>
            <w:rStyle w:val="Hyperlink"/>
            <w:lang w:val="en-GB"/>
          </w:rPr>
          <w:t xml:space="preserve">https://doi.org/10.1103/PhysRevLett.134.148402</w:t>
        </w:r>
      </w:hyperlink>
    </w:p>
    <w:bookmarkEnd w:id="216"/>
    <w:bookmarkStart w:id="218"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7">
        <w:r>
          <w:rPr>
            <w:rStyle w:val="Hyperlink"/>
            <w:lang w:val="en-GB"/>
          </w:rPr>
          <w:t xml:space="preserve">https://doi.org/10.1145/3600006.3613165</w:t>
        </w:r>
      </w:hyperlink>
    </w:p>
    <w:bookmarkEnd w:id="218"/>
    <w:bookmarkStart w:id="220"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9">
        <w:r>
          <w:rPr>
            <w:rStyle w:val="Hyperlink"/>
            <w:lang w:val="en-GB"/>
          </w:rPr>
          <w:t xml:space="preserve">https://papers.nips.cc/paper_files/paper/2019/hash/0234c510bc6d908b28c70ff313743079-Abstract.html</w:t>
        </w:r>
      </w:hyperlink>
    </w:p>
    <w:bookmarkEnd w:id="220"/>
    <w:bookmarkStart w:id="222"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1">
        <w:r>
          <w:rPr>
            <w:rStyle w:val="Hyperlink"/>
            <w:lang w:val="en-GB"/>
          </w:rPr>
          <w:t xml:space="preserve">https://doi.org/10.1016/b978-0-08-010586-4.50057-2</w:t>
        </w:r>
      </w:hyperlink>
    </w:p>
    <w:bookmarkEnd w:id="222"/>
    <w:bookmarkStart w:id="224"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3">
        <w:r>
          <w:rPr>
            <w:rStyle w:val="Hyperlink"/>
            <w:lang w:val="en-GB"/>
          </w:rPr>
          <w:t xml:space="preserve">https://doi.org/10.52202/075280-2027</w:t>
        </w:r>
      </w:hyperlink>
    </w:p>
    <w:bookmarkEnd w:id="224"/>
    <w:bookmarkStart w:id="226"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5">
        <w:r>
          <w:rPr>
            <w:rStyle w:val="Hyperlink"/>
            <w:lang w:val="en-GB"/>
          </w:rPr>
          <w:t xml:space="preserve">https://doi.org/10.1109/5.726791</w:t>
        </w:r>
      </w:hyperlink>
    </w:p>
    <w:bookmarkEnd w:id="226"/>
    <w:bookmarkStart w:id="228"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7">
        <w:r>
          <w:rPr>
            <w:rStyle w:val="Hyperlink"/>
            <w:lang w:val="en-GB"/>
          </w:rPr>
          <w:t xml:space="preserve">https://arxiv.org/abs/2403.19887</w:t>
        </w:r>
      </w:hyperlink>
    </w:p>
    <w:bookmarkEnd w:id="228"/>
    <w:bookmarkStart w:id="230"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9">
        <w:r>
          <w:rPr>
            <w:rStyle w:val="Hyperlink"/>
            <w:lang w:val="en-GB"/>
          </w:rPr>
          <w:t xml:space="preserve">https://doi.org/10.1038/nn.3220</w:t>
        </w:r>
      </w:hyperlink>
    </w:p>
    <w:bookmarkEnd w:id="230"/>
    <w:bookmarkStart w:id="232"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1">
        <w:r>
          <w:rPr>
            <w:rStyle w:val="Hyperlink"/>
            <w:lang w:val="en-GB"/>
          </w:rPr>
          <w:t xml:space="preserve">https://doi.org/10.1109/WASPAA58266.2023.10248131</w:t>
        </w:r>
      </w:hyperlink>
    </w:p>
    <w:bookmarkEnd w:id="232"/>
    <w:bookmarkStart w:id="234"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3">
        <w:r>
          <w:rPr>
            <w:rStyle w:val="Hyperlink"/>
            <w:lang w:val="en-GB"/>
          </w:rPr>
          <w:t xml:space="preserve">https://doi.org/10.1016/j.cosrev.2009.03.005</w:t>
        </w:r>
      </w:hyperlink>
    </w:p>
    <w:bookmarkEnd w:id="234"/>
    <w:bookmarkStart w:id="236"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5">
        <w:r>
          <w:rPr>
            <w:rStyle w:val="Hyperlink"/>
            <w:lang w:val="en-GB"/>
          </w:rPr>
          <w:t xml:space="preserve">https://doi.org/10.1162/089976602760407955</w:t>
        </w:r>
      </w:hyperlink>
    </w:p>
    <w:bookmarkEnd w:id="236"/>
    <w:bookmarkStart w:id="238"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7">
        <w:r>
          <w:rPr>
            <w:rStyle w:val="Hyperlink"/>
            <w:lang w:val="en-GB"/>
          </w:rPr>
          <w:t xml:space="preserve">https://doi.org/10.1109/5.58356</w:t>
        </w:r>
      </w:hyperlink>
    </w:p>
    <w:bookmarkEnd w:id="238"/>
    <w:bookmarkStart w:id="240"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9">
        <w:r>
          <w:rPr>
            <w:rStyle w:val="Hyperlink"/>
            <w:lang w:val="en-GB"/>
          </w:rPr>
          <w:t xml:space="preserve">https://arxiv.org/abs/2510.18206</w:t>
        </w:r>
      </w:hyperlink>
    </w:p>
    <w:bookmarkEnd w:id="240"/>
    <w:bookmarkStart w:id="242"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1">
        <w:r>
          <w:rPr>
            <w:rStyle w:val="Hyperlink"/>
            <w:lang w:val="en-GB"/>
          </w:rPr>
          <w:t xml:space="preserve">https://doi.org/10.1103/PhysRevLett.124.218301</w:t>
        </w:r>
      </w:hyperlink>
    </w:p>
    <w:bookmarkEnd w:id="242"/>
    <w:bookmarkStart w:id="244"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3">
        <w:r>
          <w:rPr>
            <w:rStyle w:val="Hyperlink"/>
            <w:lang w:val="en-GB"/>
          </w:rPr>
          <w:t xml:space="preserve">https://doi.org/10.1038/s41598-026-49403-4</w:t>
        </w:r>
      </w:hyperlink>
    </w:p>
    <w:bookmarkEnd w:id="244"/>
    <w:bookmarkStart w:id="246"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5">
        <w:r>
          <w:rPr>
            <w:rStyle w:val="Hyperlink"/>
            <w:lang w:val="en-GB"/>
          </w:rPr>
          <w:t xml:space="preserve">https://openreview.net/forum?id=nwDRD4AMoN</w:t>
        </w:r>
      </w:hyperlink>
    </w:p>
    <w:bookmarkEnd w:id="246"/>
    <w:bookmarkStart w:id="248"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7">
        <w:r>
          <w:rPr>
            <w:rStyle w:val="Hyperlink"/>
            <w:lang w:val="en-GB"/>
          </w:rPr>
          <w:t xml:space="preserve">https://doi.org/10.1016/S0006-3495(81)84782-0</w:t>
        </w:r>
      </w:hyperlink>
    </w:p>
    <w:bookmarkEnd w:id="248"/>
    <w:bookmarkStart w:id="250"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9">
        <w:r>
          <w:rPr>
            <w:rStyle w:val="Hyperlink"/>
            <w:lang w:val="en-GB"/>
          </w:rPr>
          <w:t xml:space="preserve">https://doi.org/10.1103/PhysRevE.101.062313</w:t>
        </w:r>
      </w:hyperlink>
    </w:p>
    <w:bookmarkEnd w:id="250"/>
    <w:bookmarkStart w:id="252"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1">
        <w:r>
          <w:rPr>
            <w:rStyle w:val="Hyperlink"/>
            <w:lang w:val="en-GB"/>
          </w:rPr>
          <w:t xml:space="preserve">https://arxiv.org/abs/2502.21077</w:t>
        </w:r>
      </w:hyperlink>
    </w:p>
    <w:bookmarkEnd w:id="252"/>
    <w:bookmarkStart w:id="254"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3">
        <w:r>
          <w:rPr>
            <w:rStyle w:val="Hyperlink"/>
            <w:lang w:val="en-GB"/>
          </w:rPr>
          <w:t xml:space="preserve">https://arxiv.org/abs/2507.21984</w:t>
        </w:r>
      </w:hyperlink>
    </w:p>
    <w:bookmarkEnd w:id="254"/>
    <w:bookmarkStart w:id="256"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5">
        <w:r>
          <w:rPr>
            <w:rStyle w:val="Hyperlink"/>
            <w:lang w:val="en-GB"/>
          </w:rPr>
          <w:t xml:space="preserve">https://doi.org/10.1109/MSP.2019.2931595</w:t>
        </w:r>
      </w:hyperlink>
    </w:p>
    <w:bookmarkEnd w:id="256"/>
    <w:bookmarkStart w:id="258"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7">
        <w:r>
          <w:rPr>
            <w:rStyle w:val="Hyperlink"/>
            <w:lang w:val="en-GB"/>
          </w:rPr>
          <w:t xml:space="preserve">https://arxiv.org/abs/2606.18694</w:t>
        </w:r>
      </w:hyperlink>
    </w:p>
    <w:bookmarkEnd w:id="258"/>
    <w:bookmarkStart w:id="260"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9">
        <w:r>
          <w:rPr>
            <w:rStyle w:val="Hyperlink"/>
            <w:lang w:val="en-GB"/>
          </w:rPr>
          <w:t xml:space="preserve">https://arxiv.org/abs/2606.11585</w:t>
        </w:r>
      </w:hyperlink>
    </w:p>
    <w:bookmarkEnd w:id="260"/>
    <w:bookmarkStart w:id="262"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1">
        <w:r>
          <w:rPr>
            <w:rStyle w:val="Hyperlink"/>
            <w:lang w:val="en-GB"/>
          </w:rPr>
          <w:t xml:space="preserve">https://doi.org/10.1117/12.2518682</w:t>
        </w:r>
      </w:hyperlink>
    </w:p>
    <w:bookmarkEnd w:id="262"/>
    <w:bookmarkStart w:id="264"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3">
        <w:r>
          <w:rPr>
            <w:rStyle w:val="Hyperlink"/>
            <w:lang w:val="en-GB"/>
          </w:rPr>
          <w:t xml:space="preserve">https://doi.org/10.1119/1.1501118</w:t>
        </w:r>
      </w:hyperlink>
    </w:p>
    <w:bookmarkEnd w:id="264"/>
    <w:bookmarkStart w:id="266"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5">
        <w:r>
          <w:rPr>
            <w:rStyle w:val="Hyperlink"/>
            <w:lang w:val="en-GB"/>
          </w:rPr>
          <w:t xml:space="preserve">https://doi.org/10.1017/CBO9780511755743</w:t>
        </w:r>
      </w:hyperlink>
    </w:p>
    <w:bookmarkEnd w:id="266"/>
    <w:bookmarkStart w:id="268"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7">
        <w:r>
          <w:rPr>
            <w:rStyle w:val="Hyperlink"/>
            <w:lang w:val="en-GB"/>
          </w:rPr>
          <w:t xml:space="preserve">https://doi.org/10.1371/journal.pcbi.1008783</w:t>
        </w:r>
      </w:hyperlink>
    </w:p>
    <w:bookmarkEnd w:id="268"/>
    <w:bookmarkStart w:id="270"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9">
        <w:r>
          <w:rPr>
            <w:rStyle w:val="Hyperlink"/>
            <w:lang w:val="en-GB"/>
          </w:rPr>
          <w:t xml:space="preserve">https://arxiv.org/abs/2602.23409</w:t>
        </w:r>
      </w:hyperlink>
    </w:p>
    <w:bookmarkEnd w:id="270"/>
    <w:bookmarkStart w:id="272"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1">
        <w:r>
          <w:rPr>
            <w:rStyle w:val="Hyperlink"/>
            <w:lang w:val="en-GB"/>
          </w:rPr>
          <w:t xml:space="preserve">https://doi.org/10.1021/acs.chemrev.5c00878</w:t>
        </w:r>
      </w:hyperlink>
    </w:p>
    <w:bookmarkEnd w:id="272"/>
    <w:bookmarkStart w:id="274"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3">
        <w:r>
          <w:rPr>
            <w:rStyle w:val="Hyperlink"/>
            <w:lang w:val="en-GB"/>
          </w:rPr>
          <w:t xml:space="preserve">https://doi.org/10.1109/TNN.2010.2089641</w:t>
        </w:r>
      </w:hyperlink>
    </w:p>
    <w:bookmarkEnd w:id="274"/>
    <w:bookmarkStart w:id="276"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5">
        <w:r>
          <w:rPr>
            <w:rStyle w:val="Hyperlink"/>
            <w:lang w:val="en-GB"/>
          </w:rPr>
          <w:t xml:space="preserve">https://openreview.net/forum?id=F3s69XzWOia</w:t>
        </w:r>
      </w:hyperlink>
    </w:p>
    <w:bookmarkEnd w:id="276"/>
    <w:bookmarkStart w:id="278"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7">
        <w:r>
          <w:rPr>
            <w:rStyle w:val="Hyperlink"/>
            <w:lang w:val="en-GB"/>
          </w:rPr>
          <w:t xml:space="preserve">https://proceedings.mlr.press/v139/rusch21a.html</w:t>
        </w:r>
      </w:hyperlink>
    </w:p>
    <w:bookmarkEnd w:id="278"/>
    <w:bookmarkStart w:id="280"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9">
        <w:r>
          <w:rPr>
            <w:rStyle w:val="Hyperlink"/>
            <w:lang w:val="en-GB"/>
          </w:rPr>
          <w:t xml:space="preserve">https://openreview.net/forum?id=GRMfXcAAFh</w:t>
        </w:r>
      </w:hyperlink>
    </w:p>
    <w:bookmarkEnd w:id="280"/>
    <w:bookmarkStart w:id="282"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1">
        <w:r>
          <w:rPr>
            <w:rStyle w:val="Hyperlink"/>
            <w:lang w:val="en-GB"/>
          </w:rPr>
          <w:t xml:space="preserve">https://arxiv.org/abs/2602.08640</w:t>
        </w:r>
      </w:hyperlink>
    </w:p>
    <w:bookmarkEnd w:id="282"/>
    <w:bookmarkStart w:id="284"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3">
        <w:r>
          <w:rPr>
            <w:rStyle w:val="Hyperlink"/>
            <w:lang w:val="en-GB"/>
          </w:rPr>
          <w:t xml:space="preserve">https://papers.nips.cc/paper_files/paper/2018/hash/f7696a9b362ac5a51c3dc8f098b73923-Abstract.html</w:t>
        </w:r>
      </w:hyperlink>
    </w:p>
    <w:bookmarkEnd w:id="284"/>
    <w:bookmarkStart w:id="286"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5">
        <w:r>
          <w:rPr>
            <w:rStyle w:val="Hyperlink"/>
            <w:lang w:val="en-GB"/>
          </w:rPr>
          <w:t xml:space="preserve">https://doi.org/10.1143/PTP.76.576</w:t>
        </w:r>
      </w:hyperlink>
    </w:p>
    <w:bookmarkEnd w:id="286"/>
    <w:bookmarkStart w:id="288"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7">
        <w:r>
          <w:rPr>
            <w:rStyle w:val="Hyperlink"/>
            <w:lang w:val="en-GB"/>
          </w:rPr>
          <w:t xml:space="preserve">https://doi.org/10.1016/j.chaos.2026.117944</w:t>
        </w:r>
      </w:hyperlink>
    </w:p>
    <w:bookmarkEnd w:id="288"/>
    <w:bookmarkStart w:id="290"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9">
        <w:r>
          <w:rPr>
            <w:rStyle w:val="Hyperlink"/>
            <w:lang w:val="en-GB"/>
          </w:rPr>
          <w:t xml:space="preserve">https://doi.org/10.1143/PTP.81.939</w:t>
        </w:r>
      </w:hyperlink>
    </w:p>
    <w:bookmarkEnd w:id="290"/>
    <w:bookmarkStart w:id="292"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1">
        <w:r>
          <w:rPr>
            <w:rStyle w:val="Hyperlink"/>
            <w:lang w:val="en-GB"/>
          </w:rPr>
          <w:t xml:space="preserve">https://doi.org/10.1103/PhysRevLett.122.248301</w:t>
        </w:r>
      </w:hyperlink>
    </w:p>
    <w:bookmarkEnd w:id="292"/>
    <w:bookmarkStart w:id="294"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3">
        <w:r>
          <w:rPr>
            <w:rStyle w:val="Hyperlink"/>
            <w:lang w:val="en-GB"/>
          </w:rPr>
          <w:t xml:space="preserve">https://doi.org/10.52202/085713-0143</w:t>
        </w:r>
      </w:hyperlink>
    </w:p>
    <w:bookmarkEnd w:id="294"/>
    <w:bookmarkStart w:id="296"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5">
        <w:r>
          <w:rPr>
            <w:rStyle w:val="Hyperlink"/>
            <w:lang w:val="en-GB"/>
          </w:rPr>
          <w:t xml:space="preserve">https://doi.org/10.1152/jn.00525.2015</w:t>
        </w:r>
      </w:hyperlink>
    </w:p>
    <w:bookmarkEnd w:id="296"/>
    <w:bookmarkStart w:id="298"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7">
        <w:r>
          <w:rPr>
            <w:rStyle w:val="Hyperlink"/>
            <w:lang w:val="en-GB"/>
          </w:rPr>
          <w:t xml:space="preserve">https://doi.org/10.52202/079017-2607</w:t>
        </w:r>
      </w:hyperlink>
    </w:p>
    <w:bookmarkEnd w:id="298"/>
    <w:bookmarkStart w:id="300"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9">
        <w:r>
          <w:rPr>
            <w:rStyle w:val="Hyperlink"/>
            <w:lang w:val="en-GB"/>
          </w:rPr>
          <w:t xml:space="preserve">https://doi.org/10.1016/S0167-2789(00)00094-4</w:t>
        </w:r>
      </w:hyperlink>
    </w:p>
    <w:bookmarkEnd w:id="300"/>
    <w:bookmarkStart w:id="302"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1">
        <w:r>
          <w:rPr>
            <w:rStyle w:val="Hyperlink"/>
            <w:lang w:val="en-GB"/>
          </w:rPr>
          <w:t xml:space="preserve">https://doi.org/10.1038/scientificamerican1293-102</w:t>
        </w:r>
      </w:hyperlink>
    </w:p>
    <w:bookmarkEnd w:id="302"/>
    <w:bookmarkStart w:id="304"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3">
        <w:r>
          <w:rPr>
            <w:rStyle w:val="Hyperlink"/>
            <w:lang w:val="en-GB"/>
          </w:rPr>
          <w:t xml:space="preserve">https://doi.org/10.1017/S002211206000116X</w:t>
        </w:r>
      </w:hyperlink>
    </w:p>
    <w:bookmarkEnd w:id="304"/>
    <w:bookmarkStart w:id="306"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5">
        <w:r>
          <w:rPr>
            <w:rStyle w:val="Hyperlink"/>
            <w:lang w:val="en-GB"/>
          </w:rPr>
          <w:t xml:space="preserve">https://doi.org/10.1016/j.neunet.2019.03.005</w:t>
        </w:r>
      </w:hyperlink>
    </w:p>
    <w:bookmarkEnd w:id="306"/>
    <w:bookmarkStart w:id="308"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7">
        <w:r>
          <w:rPr>
            <w:rStyle w:val="Hyperlink"/>
            <w:lang w:val="en-GB"/>
          </w:rPr>
          <w:t xml:space="preserve">https://doi.org/10.1103/PhysRevLett.106.224101</w:t>
        </w:r>
      </w:hyperlink>
    </w:p>
    <w:bookmarkEnd w:id="308"/>
    <w:bookmarkStart w:id="310"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9">
        <w:r>
          <w:rPr>
            <w:rStyle w:val="Hyperlink"/>
            <w:lang w:val="en-GB"/>
          </w:rPr>
          <w:t xml:space="preserve">https://doi.org/10.1038/nature23011</w:t>
        </w:r>
      </w:hyperlink>
    </w:p>
    <w:bookmarkEnd w:id="310"/>
    <w:bookmarkStart w:id="312"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1">
        <w:r>
          <w:rPr>
            <w:rStyle w:val="Hyperlink"/>
            <w:lang w:val="en-GB"/>
          </w:rPr>
          <w:t xml:space="preserve">https://doi.org/10.1371/journal.pcbi.1010759</w:t>
        </w:r>
      </w:hyperlink>
    </w:p>
    <w:bookmarkEnd w:id="312"/>
    <w:bookmarkStart w:id="314"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3">
        <w:r>
          <w:rPr>
            <w:rStyle w:val="Hyperlink"/>
            <w:lang w:val="en-GB"/>
          </w:rPr>
          <w:t xml:space="preserve">https://openreview.net/forum?id=Z4UwGkTRTes</w:t>
        </w:r>
      </w:hyperlink>
    </w:p>
    <w:bookmarkEnd w:id="314"/>
    <w:bookmarkStart w:id="316"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5">
        <w:r>
          <w:rPr>
            <w:rStyle w:val="Hyperlink"/>
            <w:lang w:val="en-GB"/>
          </w:rPr>
          <w:t xml:space="preserve">https://doi.org/10.1016/j.neuron.2006.09.020</w:t>
        </w:r>
      </w:hyperlink>
    </w:p>
    <w:bookmarkEnd w:id="316"/>
    <w:bookmarkStart w:id="318"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7">
        <w:r>
          <w:rPr>
            <w:rStyle w:val="Hyperlink"/>
            <w:lang w:val="en-GB"/>
          </w:rPr>
          <w:t xml:space="preserve">https://unconv.ai/blog/introducing-un-0-generating-images-with-coupled-oscillators/</w:t>
        </w:r>
      </w:hyperlink>
    </w:p>
    <w:bookmarkEnd w:id="318"/>
    <w:bookmarkStart w:id="320"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9">
        <w:r>
          <w:rPr>
            <w:rStyle w:val="Hyperlink"/>
            <w:lang w:val="en-GB"/>
          </w:rPr>
          <w:t xml:space="preserve">https://unconv.ai/blog/less-is-more-scaling-dynamics-with-sparsity/</w:t>
        </w:r>
      </w:hyperlink>
    </w:p>
    <w:bookmarkEnd w:id="320"/>
    <w:bookmarkStart w:id="322"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1">
        <w:r>
          <w:rPr>
            <w:rStyle w:val="Hyperlink"/>
            <w:lang w:val="en-GB"/>
          </w:rPr>
          <w:t xml:space="preserve">https://github.com/unconv-ai/Un-0</w:t>
        </w:r>
      </w:hyperlink>
    </w:p>
    <w:bookmarkEnd w:id="322"/>
    <w:bookmarkStart w:id="324"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3">
        <w:r>
          <w:rPr>
            <w:rStyle w:val="Hyperlink"/>
            <w:lang w:val="en-GB"/>
          </w:rPr>
          <w:t xml:space="preserve">https://doi.org/10.1080/14786442608564127</w:t>
        </w:r>
      </w:hyperlink>
    </w:p>
    <w:bookmarkEnd w:id="324"/>
    <w:bookmarkStart w:id="326"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5">
        <w:r>
          <w:rPr>
            <w:rStyle w:val="Hyperlink"/>
            <w:lang w:val="en-GB"/>
          </w:rPr>
          <w:t xml:space="preserve">https://papers.nips.cc/paper_files/paper/2017/hash/3f5ee243547dee91fbd053c1c4a845aa-Abstract.html</w:t>
        </w:r>
      </w:hyperlink>
    </w:p>
    <w:bookmarkEnd w:id="326"/>
    <w:bookmarkStart w:id="328"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7">
        <w:r>
          <w:rPr>
            <w:rStyle w:val="Hyperlink"/>
            <w:lang w:val="en-GB"/>
          </w:rPr>
          <w:t xml:space="preserve">https://arxiv.org/abs/2408.00788</w:t>
        </w:r>
      </w:hyperlink>
    </w:p>
    <w:bookmarkEnd w:id="328"/>
    <w:bookmarkStart w:id="330"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9">
        <w:r>
          <w:rPr>
            <w:rStyle w:val="Hyperlink"/>
            <w:lang w:val="en-GB"/>
          </w:rPr>
          <w:t xml:space="preserve">https://doi.org/10.1007/978-3-030-19311-9_19</w:t>
        </w:r>
      </w:hyperlink>
    </w:p>
    <w:bookmarkEnd w:id="330"/>
    <w:bookmarkStart w:id="332"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1">
        <w:r>
          <w:rPr>
            <w:rStyle w:val="Hyperlink"/>
            <w:lang w:val="en-GB"/>
          </w:rPr>
          <w:t xml:space="preserve">https://doi.org/10.1016/0022-5193(67)90051-3</w:t>
        </w:r>
      </w:hyperlink>
    </w:p>
    <w:bookmarkEnd w:id="332"/>
    <w:bookmarkStart w:id="334"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3">
        <w:r>
          <w:rPr>
            <w:rStyle w:val="Hyperlink"/>
            <w:lang w:val="en-GB"/>
          </w:rPr>
          <w:t xml:space="preserve">https://openreview.net/forum?id=1rSqVUl7l3</w:t>
        </w:r>
      </w:hyperlink>
    </w:p>
    <w:bookmarkEnd w:id="334"/>
    <w:bookmarkStart w:id="336"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5">
        <w:r>
          <w:rPr>
            <w:rStyle w:val="Hyperlink"/>
            <w:lang w:val="en-GB"/>
          </w:rPr>
          <w:t xml:space="preserve">https://doi.org/10.1103/PhysRevLett.82.648</w:t>
        </w:r>
      </w:hyperlink>
    </w:p>
    <w:bookmarkEnd w:id="336"/>
    <w:bookmarkStart w:id="338"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7">
        <w:r>
          <w:rPr>
            <w:rStyle w:val="Hyperlink"/>
            <w:lang w:val="en-GB"/>
          </w:rPr>
          <w:t xml:space="preserve">https://openreview.net/forum?id=wkHcXDv7cv</w:t>
        </w:r>
      </w:hyperlink>
    </w:p>
    <w:bookmarkEnd w:id="338"/>
    <w:bookmarkStart w:id="340"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9">
        <w:r>
          <w:rPr>
            <w:rStyle w:val="Hyperlink"/>
            <w:lang w:val="en-GB"/>
          </w:rPr>
          <w:t xml:space="preserve">https://dl.acm.org/doi/10.1145/3774904.3792675</w:t>
        </w:r>
      </w:hyperlink>
    </w:p>
    <w:bookmarkEnd w:id="340"/>
    <w:bookmarkStart w:id="342"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1">
        <w:r>
          <w:rPr>
            <w:rStyle w:val="Hyperlink"/>
            <w:lang w:val="en-GB"/>
          </w:rPr>
          <w:t xml:space="preserve">https://arxiv.org/abs/2502.03260</w:t>
        </w:r>
      </w:hyperlink>
    </w:p>
    <w:bookmarkEnd w:id="342"/>
    <w:bookmarkStart w:id="344"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3">
        <w:r>
          <w:rPr>
            <w:rStyle w:val="Hyperlink"/>
            <w:lang w:val="en-GB"/>
          </w:rPr>
          <w:t xml:space="preserve">https://doi.org/10.1038/s41467-023-37190-9</w:t>
        </w:r>
      </w:hyperlink>
    </w:p>
    <w:bookmarkEnd w:id="344"/>
    <w:bookmarkStart w:id="346"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5">
        <w:r>
          <w:rPr>
            <w:rStyle w:val="Hyperlink"/>
            <w:lang w:val="en-GB"/>
          </w:rPr>
          <w:t xml:space="preserve">https://arxiv.org/abs/2405.20750</w:t>
        </w:r>
      </w:hyperlink>
    </w:p>
    <w:bookmarkEnd w:id="346"/>
    <w:bookmarkEnd w:id="347"/>
    <w:bookmarkEnd w:id="3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2026-09-02T05:01:40Z</dcterms:created>
  <dcterms:modified xsi:type="dcterms:W3CDTF">2026-09-02T05:01:40Z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appears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resembles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organize eighteen published systems, in fifteen lines,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sixty-five applicable control comparisons the five give across the surveyed systems, sixteen have been run, ten of them by three systems; the coupling term has been removed as a single variable three times, once without a reported number, once on a single dataset, and once only as a retrained model; and no report varies coupling range or boundary conditions as a single variable. We identify these gaps in greater detail and close with eight concrete directions for the field that we believe would help the field establish more cross-referential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