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7281" w:rsidRPr="001C7281" w:rsidRDefault="001C7281" w:rsidP="001C7281">
      <w:pPr>
        <w:spacing w:after="400"/>
        <w:jc w:val="center"/>
        <w:rPr>
          <w:b/>
          <w:sz w:val="28"/>
          <w:szCs w:val="28"/>
        </w:rPr>
      </w:pPr>
      <w:r w:rsidRPr="001C7281">
        <w:rPr>
          <w:b/>
          <w:sz w:val="28"/>
          <w:szCs w:val="28"/>
        </w:rPr>
        <w:t>Классификация и формализация требований</w:t>
      </w:r>
    </w:p>
    <w:p w:rsidR="00DF13CA" w:rsidRPr="00E8723B" w:rsidRDefault="0039115D" w:rsidP="00E8723B">
      <w:pPr>
        <w:spacing w:after="400"/>
        <w:jc w:val="both"/>
        <w:rPr>
          <w:sz w:val="28"/>
          <w:szCs w:val="28"/>
        </w:rPr>
      </w:pPr>
      <w:r w:rsidRPr="00E8723B">
        <w:rPr>
          <w:sz w:val="28"/>
          <w:szCs w:val="28"/>
        </w:rPr>
        <w:t xml:space="preserve">В таблице 1 представлен структурированный перечень системных требований, сформированный на основе </w:t>
      </w:r>
      <w:proofErr w:type="spellStart"/>
      <w:r w:rsidRPr="00E8723B">
        <w:rPr>
          <w:sz w:val="28"/>
          <w:szCs w:val="28"/>
        </w:rPr>
        <w:t>стейкхолдерских</w:t>
      </w:r>
      <w:proofErr w:type="spellEnd"/>
      <w:r w:rsidRPr="00E8723B">
        <w:rPr>
          <w:sz w:val="28"/>
          <w:szCs w:val="28"/>
        </w:rPr>
        <w:t xml:space="preserve"> историй, приведённых в документе «Первичный анализ», сценариев использования системы (UC-1 – UC-4) и требований исходного технического задания. Нумерация идентификаторов сквозная в пределах каждого типа требований (FR-XX </w:t>
      </w:r>
      <w:r w:rsidR="00300128" w:rsidRPr="00E8723B">
        <w:rPr>
          <w:sz w:val="28"/>
          <w:szCs w:val="28"/>
        </w:rPr>
        <w:t>–</w:t>
      </w:r>
      <w:r w:rsidR="00300128">
        <w:rPr>
          <w:sz w:val="28"/>
          <w:szCs w:val="28"/>
        </w:rPr>
        <w:t xml:space="preserve"> </w:t>
      </w:r>
      <w:bookmarkStart w:id="0" w:name="_GoBack"/>
      <w:bookmarkEnd w:id="0"/>
      <w:r w:rsidRPr="00E8723B">
        <w:rPr>
          <w:sz w:val="28"/>
          <w:szCs w:val="28"/>
        </w:rPr>
        <w:t xml:space="preserve">функциональные, NFR-XX </w:t>
      </w:r>
      <w:r w:rsidR="00300128" w:rsidRPr="00E8723B">
        <w:rPr>
          <w:sz w:val="28"/>
          <w:szCs w:val="28"/>
        </w:rPr>
        <w:t>–</w:t>
      </w:r>
      <w:r w:rsidR="00300128">
        <w:rPr>
          <w:sz w:val="28"/>
          <w:szCs w:val="28"/>
        </w:rPr>
        <w:t xml:space="preserve"> </w:t>
      </w:r>
      <w:r w:rsidRPr="00E8723B">
        <w:rPr>
          <w:sz w:val="28"/>
          <w:szCs w:val="28"/>
        </w:rPr>
        <w:t xml:space="preserve">нефункциональные, CON-XX </w:t>
      </w:r>
      <w:r w:rsidR="00300128" w:rsidRPr="00E8723B">
        <w:rPr>
          <w:sz w:val="28"/>
          <w:szCs w:val="28"/>
        </w:rPr>
        <w:t>–</w:t>
      </w:r>
      <w:r w:rsidRPr="00E8723B">
        <w:rPr>
          <w:sz w:val="28"/>
          <w:szCs w:val="28"/>
        </w:rPr>
        <w:t xml:space="preserve"> ограничения). Приоритет установлен по методу </w:t>
      </w:r>
      <w:proofErr w:type="spellStart"/>
      <w:r w:rsidRPr="00E8723B">
        <w:rPr>
          <w:sz w:val="28"/>
          <w:szCs w:val="28"/>
        </w:rPr>
        <w:t>MoSCoW</w:t>
      </w:r>
      <w:proofErr w:type="spellEnd"/>
      <w:r w:rsidRPr="00E8723B">
        <w:rPr>
          <w:sz w:val="28"/>
          <w:szCs w:val="28"/>
        </w:rPr>
        <w:t>.</w:t>
      </w:r>
    </w:p>
    <w:p w:rsidR="00DF13CA" w:rsidRPr="00E8723B" w:rsidRDefault="0039115D">
      <w:pPr>
        <w:spacing w:after="120"/>
        <w:rPr>
          <w:sz w:val="28"/>
          <w:szCs w:val="28"/>
        </w:rPr>
      </w:pPr>
      <w:r w:rsidRPr="00E8723B">
        <w:rPr>
          <w:sz w:val="28"/>
          <w:szCs w:val="28"/>
        </w:rPr>
        <w:t xml:space="preserve">Таблица 1 </w:t>
      </w:r>
      <w:r w:rsidR="00300128" w:rsidRPr="00E8723B">
        <w:rPr>
          <w:sz w:val="28"/>
          <w:szCs w:val="28"/>
        </w:rPr>
        <w:t>–</w:t>
      </w:r>
      <w:r w:rsidRPr="00E8723B">
        <w:rPr>
          <w:sz w:val="28"/>
          <w:szCs w:val="28"/>
        </w:rPr>
        <w:t xml:space="preserve"> Структурированный перечень системных требований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Идентификатор</w:t>
            </w:r>
          </w:p>
        </w:tc>
        <w:tc>
          <w:tcPr>
            <w:tcW w:w="68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Тип</w:t>
            </w:r>
          </w:p>
        </w:tc>
        <w:tc>
          <w:tcPr>
            <w:tcW w:w="70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Категория NFR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Формулировка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Источник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ind w:right="670"/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Обоснование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Приоритет</w:t>
            </w:r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Критерий верификации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Регистрация и авторизация пользователей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пользователю возможность регистрации и авторизации с разграничением прав доступа в соответствии с назначенной ролью (администратор/владелец, кондитер, курьер, клиент).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StH-02, StH-03, 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 разграничения ролей невозможно ограничить доступ сотрудников к функциям, не относящимся к их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под каждой из четырёх ролей пользователю доступен только соответствующий набор экранов и функций.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Электронный каталог изделий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электронный каталог кондитерских изделий с возможностью фильтрации по цене, весу и типу изделия.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показал, что удобная фильтрация каталога — базовое ожидание клиента интернет-магазина.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применение фильтра сокращает список изделий согласно заданным параметрам.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Конструктор индивидуального торта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конструктор индивидуального торта с выбором веса, начинки, декора и срочности выполнения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(пользовательская история «я как клиент хочу составлять свой торт»)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Ключевая функция, отличающая систему от рассмотренных аналогов, ни один из которых не предоставляет полноценный конструктор.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клиент собирает торт из не менее чем 3 параметров, каждый выбор влияет на итоговую цену.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Оформление и онлайн-оплата заказа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оформить и оплатить заказ онлайн с выбором даты, временного слота и способа получения (самовывоз/доставка).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Исключает необходимость звонков и личного посещения кондитерской для оформления заказа.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заказ успешно создаётся и переводится в оплаченный статус для 10 тестовых комбинаций параметров.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Личный кабинет клиента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личный кабинет с историей заказов и отображением актуального статуса каждого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(истории «хочу просматривать статус», «хочу просматривать историю заказов»)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повторить понравившийся заказ и отслеживать его выполнение без обращения к оператору.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после изменения статуса заказа администратором новый статус отображается в личном кабинете клиента.</w:t>
            </w:r>
          </w:p>
        </w:tc>
      </w:tr>
    </w:tbl>
    <w:p w:rsidR="00E8723B" w:rsidRDefault="00E8723B">
      <w:pPr>
        <w:rPr>
          <w:sz w:val="28"/>
          <w:szCs w:val="28"/>
        </w:rPr>
      </w:pPr>
    </w:p>
    <w:p w:rsidR="00E8723B" w:rsidRDefault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клиента о заказе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оставить отзыв после получения выполненного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повышают доверие новых клиентов и дают владельцу обратную связь о качестве изделий и сервиса.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отзыв, оставленный клиентом, сохраняется и отображается в карточке заказа.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себестоимости изделия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себестоимость кондитерского изделия на основе технологической карты и актуальных закупочных цен на сырьё по формуле (1).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видеть себестоимость», «хочу корректировать себестоимость»)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Устраняет ручной пересчёт себестоимости при регулярном изменении цен на сырьё, снижая риск занижения цены.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технологических карт расчётная себестоимость совпадает с контрольным расчётом с точностью до 1 рубля.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итоговой цены индивидуального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итоговую цену индивидуального заказа в конструкторе по формуле (2) с учётом базовой стоимости, начинки, декора и коэффициента срочности.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видеть точную цену до подтверждения заказа, не дожидаясь ответа менеджера.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комбинаций параметров конструктора расчётная цена совпадает с контрольным расчётом.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Ведение базы технологических карт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обеспечивать ведение базы технологических карт изделий с указанием состава и точных пропорций ингредиентов.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(история «хочу просматривать технологическую карту»)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Технологическая карта — источник данных для расчёта себестоимости (FR-07) и автоматического списания сырья (FR-10).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каждого изделия в каталоге содержит связанную технологическую карту с перечнем и пропорциями ингредиентов.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Автоматическое списание сырья со склада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списывать сырьё со склада по данным технологической карты в момент отметки заказа кондитером как выполненного.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(истории «хочу списывать использованное сырьё»)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Ручной учёт остатков приводит к расхождению фактических и учётных данных из-за человеческого фактора.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после подтверждения 10 заказов остаток каждого использованного ингредиента уменьшен на расчётную величину.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FR-11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Контроль сроков годности сырья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список партий сырья с истекающим сроком годности и уведомлять администратора о снижении остатков ниже установленного порога.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получать уведомления о малом количестве сырья», «хочу просматривать список продуктов с истекающим сроком годности»)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вовремя использовать или списывать сырьё и избежать дефицита на производстве.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индикатор истекающего срока годности появляется за 3 дня до его окончания.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FR-12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Производственный календарь кондитеров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и предоставлять производственный календарь для планирования рабочей загрузки кондитеров.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равномерно распределять заказы между кондитерами и соблюдать сроки их выполнения.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календарь на выбранную дату отображает список заказов, отсортированных по времени выдачи.</w:t>
            </w:r>
          </w:p>
        </w:tc>
      </w:tr>
    </w:tbl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Распределение заказов между курьерами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распределять готовые к доставке заказы между доступными курьерами с учётом зон обслуживания и их текущей загрузки.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назначать курьера на заказ и контролировать его загрузку»)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Снижает нагрузку на администратора и повышает равномерность распределения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при 20 одновременно готовых заказах распределение по 3 курьерам не превышает разницу в 2 заказа между курьерами.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Интерфейс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интерфейс для просмотра списка заказов, адресов, временных слотов, состава, комментариев клиента и способа оплаты, а также для изменения статуса доставки.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Курьеру необходима вся информация о заказе для корректной и своевременной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назначенного заказа в интерфейсе курьера содержит все перечисленные поля.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Отслеживание статуса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отображать клиенту и администратору актуальный статус доставки заказа и уведомлять их при его изменении.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StH-03, StH-04 (истории об изменении статуса «в доставке», «доставлен»)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планировать своё время, а администратору — оперативно реагировать на проблемы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изменение статуса курьером отражается в личном кабинете клиента не позднее чем через 1 минуту.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стоимости и времени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рассчитывать стоимость и ориентировочное время доставки по зонам обслуживания по формуле (3) и отображать их клиенту на этапе оформления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(история «хочу просматривать ориентировочное время прибытия заказа»)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заранее знать полную стоимость и сроки получения заказа.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5 адресов из разных зон обслуживания рассчитанная стоимость доставки совпадает с контрольным расчётом.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FR-17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Фиксация проблем доставки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возможность отмечать невозможность доставки с указанием причины и уведомлять администратора о задержке или повреждении изделия в пути.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 (истории «хочу отмечать невозможность доставки», «хочу уведомлять администратора о повреждении»)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администратору оперативно реагировать на нештатные ситуации при доставке.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 отметке курьером проблемы доставки администратор получает уведомление в течение 1 минуты.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FR-18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Финансовая аналитика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аналитическую отчётность по финансовым показателям (выручка, себестоимость, прибыль) за день, неделю и месяц по формуле (4).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аналитику выручки за период»)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эффективность работы предприятия и принимать управленческие решения.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отчёт за тестовый период совпадает с контрольным расчётом на основе тестовых данных о заказах.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Аналитика логистики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сводную аналитику по доставке для оценки эффективности логистики.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сводную аналитику по доставке»)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загрузку курьеров и качество выполнения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Could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отчёт содержит среднее время доставки и количество проблемных доставок за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FR-20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Управление учётными записями и ролями сотрудников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администратору возможность просматривать список сотрудников, добавлять новых сотрудников и редактировать их данные, назначать и изменять роли сотрудников, а также удалять учётные записи сотрудников с проверкой отсутствия у них активных заказов или текущей смены.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настраивать роли для сотрудников», «хочу управлять составом сотрудников»)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актуальность кадрового состава в системе и соответствие уровня доступа сотрудника его должностным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администратор добавляет, редактирует и удаляет учётную запись сотрудника; после смены роли набор доступных сотруднику функций изменяется соответствующим образом; попытка удалить сотрудника с активными заказами или текущей сменой блокируется либо требует подтверждения.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расчёта себестоимости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формирования расчёта себестоимости изделия после изменения состава заказа или закупочной цены ингредиента не должно превышать 20 секунд.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Шаг 4 сценария UC-4; ГОСТ 34.602-2020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Медленный пересчёт снижает удобство работы администратора при массовом обновлении цен на сырьё.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времени отклика при 500 одновременных запросах к серверу расчёта.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обновления статуса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Актуальный статус заказа в личном кабинете клиента должен обновляться не позднее чем через 1 минуту после его изменения администратором, кондитером или курьером.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Клиент должен своевременно узнавать об изменении статуса своего заказа, особенно на этапе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обновления статуса для 20 тестовых заказов.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Точность списания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Списание сырья со склада должно происходить автоматически, без участия оператора, с точностью до грамма, указанного в технологической карте.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Специальное требование сценария UC-2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Неточное списание накапливает расхождение между учётными и фактическими остатками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сравнение расчётного и фактического остатка сырья после выполнения 20 заказов.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NFR-04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Защита персональных данных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Обработка персональных и платёжных данных клиентов должна выполняться в соответствии с требованиями Федерального закона №152-ФЗ «О персональных данных», включая шифрование при передаче и хранении.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Реестр рисков «Первичного анализа» (риск утечки персональных данных)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Утечка персональных данных влечёт </w:t>
            </w:r>
            <w:proofErr w:type="spellStart"/>
            <w:r w:rsidRPr="00E8723B">
              <w:rPr>
                <w:sz w:val="16"/>
                <w:szCs w:val="16"/>
              </w:rPr>
              <w:t>репутационный</w:t>
            </w:r>
            <w:proofErr w:type="spellEnd"/>
            <w:r w:rsidRPr="00E8723B">
              <w:rPr>
                <w:sz w:val="16"/>
                <w:szCs w:val="16"/>
              </w:rPr>
              <w:t xml:space="preserve"> и юридический ущерб, штрафы по 152-ФЗ.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наличие политики обработки персональных данных, формы согласия и шифрованного канала передачи данных (HTTPS).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Удобство использования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Число шагов оформления заказа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Итоговая цена индивидуального заказа в конструкторе должна рассчитываться и отображаться клиенту не более чем за 3 шага оформления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Большое число шагов конструктора снижает конверсию оформления заказа и удобство клиента.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полный цикл сборки торта в конструкторе укладывается в 3 экрана/шага.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Масштабируемость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Одновременная нагрузка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сохранять работоспособность и заявленное время отклика при не менее чем 50 одновременно работающих пользователях.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Экспертная оценка на основе масштаба малого предприятия (StH-01)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штатную работу системы в часы пиковой нагрузки без деградации производительности.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нагрузочное тестирование с 50 виртуальными пользователями без превышения времени отклика более чем на 20 %.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Совместимость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Кроссбраузерность</w:t>
            </w:r>
            <w:proofErr w:type="spellEnd"/>
            <w:r w:rsidRPr="00E8723B">
              <w:rPr>
                <w:sz w:val="16"/>
                <w:szCs w:val="16"/>
              </w:rPr>
              <w:t xml:space="preserve"> и адаптивность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Пользовательский интерфейс системы должен корректно отображаться в браузерах </w:t>
            </w:r>
            <w:proofErr w:type="spellStart"/>
            <w:r w:rsidRPr="00E8723B">
              <w:rPr>
                <w:sz w:val="16"/>
                <w:szCs w:val="16"/>
              </w:rPr>
              <w:t>Google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Chrome</w:t>
            </w:r>
            <w:proofErr w:type="spellEnd"/>
            <w:r w:rsidRPr="00E8723B">
              <w:rPr>
                <w:sz w:val="16"/>
                <w:szCs w:val="16"/>
              </w:rPr>
              <w:t xml:space="preserve">, Яндекс Браузер и </w:t>
            </w:r>
            <w:proofErr w:type="spellStart"/>
            <w:r w:rsidRPr="00E8723B">
              <w:rPr>
                <w:sz w:val="16"/>
                <w:szCs w:val="16"/>
              </w:rPr>
              <w:t>Mozilla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Firefox</w:t>
            </w:r>
            <w:proofErr w:type="spellEnd"/>
            <w:r w:rsidRPr="00E8723B">
              <w:rPr>
                <w:sz w:val="16"/>
                <w:szCs w:val="16"/>
              </w:rPr>
              <w:t xml:space="preserve"> последних стабильных версий, а также адаптироваться под экраны мобильных устройств.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(клиенты чаще оформляют заказы с мобильных устройств)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Значительная часть клиентов кондитерской оформляет заказы с мобильных телефонов, что требует адаптивной вёрстки.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Демонстрация: корректное отображение интерфейса в трёх указанных браузерах и на экране шириной 375 </w:t>
            </w:r>
            <w:proofErr w:type="spellStart"/>
            <w:r w:rsidRPr="00E8723B">
              <w:rPr>
                <w:sz w:val="16"/>
                <w:szCs w:val="16"/>
              </w:rPr>
              <w:t>px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 в рабочие часы кондитерской должна составлять не менее 99 %.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надёжности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Недоступность системы в рабочее время блокирует приём онлайн-заказов и потерю выручки.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журнал мониторинга доступности сервера за отчётный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Разграничение прав доступа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 к функциям системы должен предоставляться пользователю исключительно в соответствии с его ролью, назначенной администратором.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FR-01, FR-20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Предотвращает несанкционированное изменение данных сотрудниками вне их зоны ответственности.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попытка обращения к функции вне разрешённой роли завершается отказом в доступе для всех 4 ролей.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уведомления о нехватке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Уведомление администратора о снижении остатка сырья ниже минимального порога должно формироваться не позднее чем через 5 минут после списания.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Задержка уведомления повышает риск остановки производства из-за нехватки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уведомления для 10 тестовых случаев списания ниже порога.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CON-01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Технологический стек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Разработка системы должна выполняться на языке программирования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с использованием СУБД </w:t>
            </w:r>
            <w:proofErr w:type="spellStart"/>
            <w:r w:rsidR="007E751D">
              <w:rPr>
                <w:sz w:val="16"/>
                <w:szCs w:val="16"/>
              </w:rPr>
              <w:t>PostgreSQL</w:t>
            </w:r>
            <w:proofErr w:type="spellEnd"/>
            <w:r w:rsidRPr="00E8723B">
              <w:rPr>
                <w:sz w:val="16"/>
                <w:szCs w:val="16"/>
              </w:rPr>
              <w:t xml:space="preserve"> для хранения и управления данными.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Учебное задание, требования руководителя ОП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определяется учебным планом дисциплины и компетенциями, отрабатываемыми в рамках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Инспекция: исходный код и конфигурация подключения к базе данных подтверждают использование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и </w:t>
            </w:r>
            <w:proofErr w:type="spellStart"/>
            <w:r w:rsidR="007E751D">
              <w:rPr>
                <w:sz w:val="16"/>
                <w:szCs w:val="16"/>
              </w:rPr>
              <w:t>PostgreSQL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CON-02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Бюджетное ограничение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и эксплуатация системы в рамках проекта должны выполняться с использованием бесплатных или открытых библиотек и сервисов, без привлечения внешнего финансирования.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Учебный характер проекта (курсовой проект студента)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Проект выполняется в рамках учебной дисциплины без бюджета на платные компоненты и сервисы.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используемых библиотек и сервисов не содержит платных лицензий.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CON-03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по интеграции платежей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выполнять фактическую интеграцию с внешним платёжным шлюзом; обработка онлайн-оплаты в рамках учебного проекта реализуется в виде имитации (эмуляции) платежа.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(платёжный шлюз отнесён к внешней среде)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Подключение реального платёжного шлюза требует юридического оформления и выходит за рамки учебного проекта.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документация подтверждает отсутствие интеграции с реальным платёжным провайдером.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Исключение навигации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реализовывать полноценную картографическую навигацию курьера в движении; построение точного маршрута выполняется внешним навигационным приложением курьера.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(примерный расчёт времени в пути отнесён к внешней среде)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собственного картографического навигатора выходит за объём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Won't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функций системы не содержит функций пошаговой навигации.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локализация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включать только русскоязычную локализацию интерфейса без возможности переключения на другие языки.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лингвистическому обеспечению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Целевая аудитория системы — русскоязычные пользователи одной кондитерской, что делает локализацию на другие языки нецелесообразной.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интерфейс системы не содержит элементов переключения языка.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системы должна быть выполнена в период с 14.01.2026 по 07.03.2026 в соответствии с графиком учебной дисциплины.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«Сроки разработки»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определяется календарным планом выполнения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даты сдачи этапов работ по таблице 1 ТЗ не выходят за границы установленного периода.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точка продаж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рассчитана на автоматизацию учёта и логистики одного кондитерского предприятия (одной точки производства) без функций управления сетью филиалов.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Цель и задачи разработки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Расширение до </w:t>
            </w:r>
            <w:proofErr w:type="spellStart"/>
            <w:r w:rsidRPr="00E8723B">
              <w:rPr>
                <w:sz w:val="16"/>
                <w:szCs w:val="16"/>
              </w:rPr>
              <w:t>мультифилиальной</w:t>
            </w:r>
            <w:proofErr w:type="spellEnd"/>
            <w:r w:rsidRPr="00E8723B">
              <w:rPr>
                <w:sz w:val="16"/>
                <w:szCs w:val="16"/>
              </w:rPr>
              <w:t xml:space="preserve"> архитектуры существенно увеличивает объём работ и не требуется для целей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структура базы данных не предусматривает сущности «филиал» или «точка продаж».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CON-08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Соответствие законодательству РФ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При разработке и эксплуатации системы должны соблюдаться требования Федерального закона №152-ФЗ «О персональных данных» и главы 72 Гражданского кодекса РФ об интеллектуальной собственности.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«Этические и правовые ограничения» первичного анализа; требования к патентной чистоте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Несоблюдение законодательства влечёт юридическую и финансовую ответственность для заказчика и исполнителя.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используемые компоненты и библиотеки не нарушают прав третьих лиц; политика обработки персональных данных соответствует 152-ФЗ.</w:t>
            </w:r>
          </w:p>
        </w:tc>
      </w:tr>
    </w:tbl>
    <w:p w:rsidR="00E8723B" w:rsidRPr="00E8723B" w:rsidRDefault="00E8723B">
      <w:pPr>
        <w:spacing w:after="120"/>
        <w:rPr>
          <w:sz w:val="16"/>
          <w:szCs w:val="16"/>
        </w:rPr>
      </w:pPr>
    </w:p>
    <w:p w:rsidR="0039115D" w:rsidRPr="00E8723B" w:rsidRDefault="0039115D">
      <w:pPr>
        <w:rPr>
          <w:sz w:val="16"/>
          <w:szCs w:val="16"/>
        </w:rPr>
      </w:pPr>
    </w:p>
    <w:sectPr w:rsidR="0039115D" w:rsidRPr="00E8723B" w:rsidSect="00E8723B">
      <w:pgSz w:w="11906" w:h="16838"/>
      <w:pgMar w:top="1134" w:right="851" w:bottom="1134" w:left="141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363CF8"/>
    <w:multiLevelType w:val="hybridMultilevel"/>
    <w:tmpl w:val="7B18D4CC"/>
    <w:lvl w:ilvl="0" w:tplc="3708AD30">
      <w:start w:val="1"/>
      <w:numFmt w:val="bullet"/>
      <w:lvlText w:val="●"/>
      <w:lvlJc w:val="left"/>
      <w:pPr>
        <w:ind w:left="720" w:hanging="360"/>
      </w:pPr>
    </w:lvl>
    <w:lvl w:ilvl="1" w:tplc="A4DABECC">
      <w:start w:val="1"/>
      <w:numFmt w:val="bullet"/>
      <w:lvlText w:val="○"/>
      <w:lvlJc w:val="left"/>
      <w:pPr>
        <w:ind w:left="1440" w:hanging="360"/>
      </w:pPr>
    </w:lvl>
    <w:lvl w:ilvl="2" w:tplc="0BEE1DBE">
      <w:start w:val="1"/>
      <w:numFmt w:val="bullet"/>
      <w:lvlText w:val="■"/>
      <w:lvlJc w:val="left"/>
      <w:pPr>
        <w:ind w:left="2160" w:hanging="360"/>
      </w:pPr>
    </w:lvl>
    <w:lvl w:ilvl="3" w:tplc="4978DF0A">
      <w:start w:val="1"/>
      <w:numFmt w:val="bullet"/>
      <w:lvlText w:val="●"/>
      <w:lvlJc w:val="left"/>
      <w:pPr>
        <w:ind w:left="2880" w:hanging="360"/>
      </w:pPr>
    </w:lvl>
    <w:lvl w:ilvl="4" w:tplc="0EB489B2">
      <w:start w:val="1"/>
      <w:numFmt w:val="bullet"/>
      <w:lvlText w:val="○"/>
      <w:lvlJc w:val="left"/>
      <w:pPr>
        <w:ind w:left="3600" w:hanging="360"/>
      </w:pPr>
    </w:lvl>
    <w:lvl w:ilvl="5" w:tplc="FC3AFB3C">
      <w:start w:val="1"/>
      <w:numFmt w:val="bullet"/>
      <w:lvlText w:val="■"/>
      <w:lvlJc w:val="left"/>
      <w:pPr>
        <w:ind w:left="4320" w:hanging="360"/>
      </w:pPr>
    </w:lvl>
    <w:lvl w:ilvl="6" w:tplc="D17E4D0C">
      <w:start w:val="1"/>
      <w:numFmt w:val="bullet"/>
      <w:lvlText w:val="●"/>
      <w:lvlJc w:val="left"/>
      <w:pPr>
        <w:ind w:left="5040" w:hanging="360"/>
      </w:pPr>
    </w:lvl>
    <w:lvl w:ilvl="7" w:tplc="4C000FF6">
      <w:start w:val="1"/>
      <w:numFmt w:val="bullet"/>
      <w:lvlText w:val="●"/>
      <w:lvlJc w:val="left"/>
      <w:pPr>
        <w:ind w:left="5760" w:hanging="360"/>
      </w:pPr>
    </w:lvl>
    <w:lvl w:ilvl="8" w:tplc="9E4A0A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3CA"/>
    <w:rsid w:val="001C7281"/>
    <w:rsid w:val="00300128"/>
    <w:rsid w:val="0039115D"/>
    <w:rsid w:val="00685B67"/>
    <w:rsid w:val="007E751D"/>
    <w:rsid w:val="00DF13CA"/>
    <w:rsid w:val="00E8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60F96"/>
  <w15:docId w15:val="{93CD7F76-9590-4640-84FC-F247A095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872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2770</Words>
  <Characters>15791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arine</cp:lastModifiedBy>
  <cp:revision>5</cp:revision>
  <dcterms:created xsi:type="dcterms:W3CDTF">2026-09-24T07:23:00Z</dcterms:created>
  <dcterms:modified xsi:type="dcterms:W3CDTF">2026-09-26T21:55:00Z</dcterms:modified>
</cp:coreProperties>
</file>