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0BEE841F" wp14:textId="77777777"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 xmlns:wp14="http://schemas.microsoft.com/office/word/2010/wordml" w14:paraId="01752FA5" wp14:textId="77777777"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 xmlns:wp14="http://schemas.microsoft.com/office/word/2010/wordml" w14:paraId="35900FD7" wp14:textId="77777777">
      <w:pPr>
        <w:pStyle w:val="Author"/>
      </w:pPr>
      <w:r>
        <w:t xml:space="preserve">Эрик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Станиловский</w:t>
      </w:r>
      <w:r>
        <w:t xml:space="preserve"> </w:t>
      </w:r>
      <w:r>
        <w:t xml:space="preserve">НПМбд-02-20</w:t>
      </w:r>
    </w:p>
    <w:sdt>
      <w:sdtPr>
        <w:id w:val="602450580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201D59E2" wp14:textId="77777777"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 xmlns:wp14="http://schemas.microsoft.com/office/word/2010/wordml" w14:paraId="168E545B" wp14:textId="77777777"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name="выполнение-лабораторной-работы" w:id="31"/>
    <w:p xmlns:wp14="http://schemas.microsoft.com/office/word/2010/wordml" w14:paraId="23539E39" wp14:textId="77777777"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 xmlns:wp14="http://schemas.microsoft.com/office/word/2010/wordml" w14:paraId="063F59C9" wp14:textId="5C2DC274">
      <w:pPr>
        <w:numPr>
          <w:ilvl w:val="0"/>
          <w:numId w:val="1001"/>
        </w:numPr>
        <w:rPr/>
      </w:pPr>
      <w:r w:rsidR="0445E51D">
        <w:rPr/>
        <w:t>Создадим каталог с именем ~/work/os/lab09.</w:t>
      </w:r>
    </w:p>
    <w:p xmlns:wp14="http://schemas.microsoft.com/office/word/2010/wordml" w14:paraId="4883613E" wp14:textId="77777777"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 xmlns:wp14="http://schemas.microsoft.com/office/word/2010/wordml" w14:paraId="672A6659" wp14:textId="77777777">
      <w:pPr>
        <w:pStyle w:val="CaptionedFigure"/>
      </w:pPr>
      <w:bookmarkStart w:name="fig:001" w:id="22"/>
      <w:r>
        <w:drawing>
          <wp:inline xmlns:wp14="http://schemas.microsoft.com/office/word/2010/wordprocessingDrawing" wp14:anchorId="62F569CD" wp14:editId="7777777">
            <wp:extent cx="5334000" cy="3836315"/>
            <wp:effectExtent l="0" t="0" r="0" b="0"/>
            <wp:docPr id="1" name="Picture" descr="Figure 1: Создание каталога" title=""/>
            <a:graphic>
              <a:graphicData uri="http://schemas.openxmlformats.org/drawingml/2006/picture">
                <pic:pic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xmlns:wp14="http://schemas.microsoft.com/office/word/2010/wordml" w14:paraId="5F1E3653" wp14:textId="77777777">
      <w:pPr>
        <w:pStyle w:val="ImageCaption"/>
      </w:pPr>
      <w:r>
        <w:t xml:space="preserve">Figure 1: Создание каталога</w:t>
      </w:r>
    </w:p>
    <w:p xmlns:wp14="http://schemas.microsoft.com/office/word/2010/wordml" w14:paraId="11F21B5B" wp14:textId="77777777"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 xmlns:wp14="http://schemas.microsoft.com/office/word/2010/wordml" w14:paraId="5EC5FDD5" wp14:textId="77777777"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 xmlns:wp14="http://schemas.microsoft.com/office/word/2010/wordml" w14:paraId="53591A54" wp14:textId="77777777"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 xmlns:wp14="http://schemas.microsoft.com/office/word/2010/wordml" w14:paraId="5C6D09EA" wp14:textId="77777777"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 xmlns:wp14="http://schemas.microsoft.com/office/word/2010/wordml" w14:paraId="222BE113" wp14:textId="77777777"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 xmlns:wp14="http://schemas.microsoft.com/office/word/2010/wordml" w14:paraId="0A37501D" wp14:textId="77777777">
      <w:pPr>
        <w:pStyle w:val="CaptionedFigure"/>
      </w:pPr>
      <w:bookmarkStart w:name="fig:002" w:id="24"/>
      <w:r>
        <w:drawing>
          <wp:inline xmlns:wp14="http://schemas.microsoft.com/office/word/2010/wordprocessingDrawing" wp14:anchorId="64C33FE1" wp14:editId="7777777">
            <wp:extent cx="5334000" cy="3780252"/>
            <wp:effectExtent l="0" t="0" r="0" b="0"/>
            <wp:docPr id="1345110189" name="Picture" descr="Figure 2: Работа в редакторе Vi" title=""/>
            <a:graphic>
              <a:graphicData uri="http://schemas.openxmlformats.org/drawingml/2006/picture">
                <pic:pic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xmlns:wp14="http://schemas.microsoft.com/office/word/2010/wordml" w14:paraId="6F3C5CE3" wp14:textId="77777777">
      <w:pPr>
        <w:pStyle w:val="ImageCaption"/>
      </w:pPr>
      <w:r>
        <w:t xml:space="preserve">Figure 2: Работа в редакторе Vi</w:t>
      </w:r>
    </w:p>
    <w:p xmlns:wp14="http://schemas.microsoft.com/office/word/2010/wordml" w14:paraId="78CF8D98" wp14:textId="77777777"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 xmlns:wp14="http://schemas.microsoft.com/office/word/2010/wordml" w14:paraId="5DAB6C7B" wp14:textId="77777777">
      <w:pPr>
        <w:pStyle w:val="CaptionedFigure"/>
      </w:pPr>
      <w:bookmarkStart w:name="fig:003" w:id="26"/>
      <w:r>
        <w:drawing>
          <wp:inline xmlns:wp14="http://schemas.microsoft.com/office/word/2010/wordprocessingDrawing" wp14:anchorId="353589AD" wp14:editId="7777777">
            <wp:extent cx="5334000" cy="3901108"/>
            <wp:effectExtent l="0" t="0" r="0" b="0"/>
            <wp:docPr id="1561325191" name="Picture" descr="Figure 3: Запуск файла" title=""/>
            <a:graphic>
              <a:graphicData uri="http://schemas.openxmlformats.org/drawingml/2006/picture">
                <pic:pic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xmlns:wp14="http://schemas.microsoft.com/office/word/2010/wordml" w14:paraId="46FFC76E" wp14:textId="77777777">
      <w:pPr>
        <w:pStyle w:val="ImageCaption"/>
      </w:pPr>
      <w:r>
        <w:t xml:space="preserve">Figure 3: Запуск файла</w:t>
      </w:r>
    </w:p>
    <w:p xmlns:wp14="http://schemas.microsoft.com/office/word/2010/wordml" w14:paraId="3AB72C7B" wp14:textId="77777777"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 xmlns:wp14="http://schemas.microsoft.com/office/word/2010/wordml" w14:paraId="1356C9B5" wp14:textId="77777777"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 xmlns:wp14="http://schemas.microsoft.com/office/word/2010/wordml" w14:paraId="2B43E22B" wp14:textId="77777777"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 xmlns:wp14="http://schemas.microsoft.com/office/word/2010/wordml" w14:paraId="452ACABF" wp14:textId="77777777"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 xmlns:wp14="http://schemas.microsoft.com/office/word/2010/wordml" w14:paraId="751F3F65" wp14:textId="77777777"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 xmlns:wp14="http://schemas.microsoft.com/office/word/2010/wordml" w14:paraId="4CAF03E5" wp14:textId="77777777"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 xmlns:wp14="http://schemas.microsoft.com/office/word/2010/wordml" w14:paraId="12C81793" wp14:textId="77777777"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 xmlns:wp14="http://schemas.microsoft.com/office/word/2010/wordml" w14:paraId="29522CA8" wp14:textId="77777777">
      <w:pPr>
        <w:numPr>
          <w:ilvl w:val="0"/>
          <w:numId w:val="1004"/>
        </w:numPr>
      </w:pPr>
      <w:r>
        <w:t xml:space="preserve">Удалим последнюю строку.</w:t>
      </w:r>
    </w:p>
    <w:p xmlns:wp14="http://schemas.microsoft.com/office/word/2010/wordml" w14:paraId="2BD80DB9" wp14:textId="77777777"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 xmlns:wp14="http://schemas.microsoft.com/office/word/2010/wordml" w14:paraId="468E8691" wp14:textId="77777777"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 xmlns:wp14="http://schemas.microsoft.com/office/word/2010/wordml" w14:paraId="02EB378F" wp14:textId="77777777">
      <w:pPr>
        <w:pStyle w:val="CaptionedFigure"/>
      </w:pPr>
      <w:bookmarkStart w:name="fig:004" w:id="28"/>
      <w:r>
        <w:drawing>
          <wp:inline xmlns:wp14="http://schemas.microsoft.com/office/word/2010/wordprocessingDrawing" wp14:anchorId="217E7387" wp14:editId="7777777">
            <wp:extent cx="5334000" cy="3897612"/>
            <wp:effectExtent l="0" t="0" r="0" b="0"/>
            <wp:docPr id="1990326177" name="Picture" descr="Figure 4: Работа в редакторе Vi" title=""/>
            <a:graphic>
              <a:graphicData uri="http://schemas.openxmlformats.org/drawingml/2006/picture">
                <pic:pic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xmlns:wp14="http://schemas.microsoft.com/office/word/2010/wordml" w14:paraId="22E0BFE1" wp14:textId="77777777">
      <w:pPr>
        <w:pStyle w:val="ImageCaption"/>
      </w:pPr>
      <w:r>
        <w:t xml:space="preserve">Figure 4: Работа в редакторе Vi</w:t>
      </w:r>
    </w:p>
    <w:p xmlns:wp14="http://schemas.microsoft.com/office/word/2010/wordml" w14:paraId="6A05A809" wp14:textId="77777777">
      <w:pPr>
        <w:pStyle w:val="CaptionedFigure"/>
      </w:pPr>
      <w:bookmarkStart w:name="fig:005" w:id="30"/>
      <w:r>
        <w:drawing>
          <wp:inline xmlns:wp14="http://schemas.microsoft.com/office/word/2010/wordprocessingDrawing" wp14:anchorId="13EB9B83" wp14:editId="7777777">
            <wp:extent cx="5334000" cy="3799561"/>
            <wp:effectExtent l="0" t="0" r="0" b="0"/>
            <wp:docPr id="1397796812" name="Picture" descr="Figure 5: Повторный запуск файла" title=""/>
            <a:graphic>
              <a:graphicData uri="http://schemas.openxmlformats.org/drawingml/2006/picture">
                <pic:pic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xmlns:wp14="http://schemas.microsoft.com/office/word/2010/wordml" w14:paraId="6C4D5DB9" wp14:textId="77777777">
      <w:pPr>
        <w:pStyle w:val="ImageCaption"/>
      </w:pPr>
      <w:r>
        <w:t xml:space="preserve">Figure 5: Повторный запуск файла</w:t>
      </w:r>
    </w:p>
    <w:bookmarkEnd w:id="31"/>
    <w:bookmarkStart w:name="вывод" w:id="32"/>
    <w:p xmlns:wp14="http://schemas.microsoft.com/office/word/2010/wordml" w14:paraId="15393C7C" wp14:textId="77777777"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 xmlns:wp14="http://schemas.microsoft.com/office/word/2010/wordml" w14:paraId="4F328A09" wp14:textId="77777777"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name="контрольные-вопросы" w:id="33"/>
    <w:p xmlns:wp14="http://schemas.microsoft.com/office/word/2010/wordml" w14:paraId="06E9CC65" wp14:textId="77777777"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 xmlns:wp14="http://schemas.microsoft.com/office/word/2010/wordml" w14:paraId="2C60C3E0" wp14:textId="77777777">
      <w:pPr>
        <w:pStyle w:val="FirstParagraph"/>
      </w:pPr>
      <w:r>
        <w:t xml:space="preserve">Контрольные вопросы:</w:t>
      </w:r>
    </w:p>
    <w:p xmlns:wp14="http://schemas.microsoft.com/office/word/2010/wordml" w14:paraId="4E0F3988" wp14:textId="77777777"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 xmlns:wp14="http://schemas.microsoft.com/office/word/2010/wordml" w14:paraId="56110FEF" wp14:textId="77777777"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 xmlns:wp14="http://schemas.microsoft.com/office/word/2010/wordml" w14:paraId="49704EBB" wp14:textId="77777777"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 xmlns:wp14="http://schemas.microsoft.com/office/word/2010/wordml" w14:paraId="6F47F39B" wp14:textId="77777777"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 xmlns:wp14="http://schemas.microsoft.com/office/word/2010/wordml" w14:paraId="20F1DB04" wp14:textId="77777777"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 xmlns:wp14="http://schemas.microsoft.com/office/word/2010/wordml" w14:paraId="46F45D76" wp14:textId="77777777"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 xmlns:wp14="http://schemas.microsoft.com/office/word/2010/wordml" w14:paraId="09F20722" wp14:textId="77777777"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 xmlns:wp14="http://schemas.microsoft.com/office/word/2010/wordml" w14:paraId="176F7CB6" wp14:textId="77777777"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 xmlns:wp14="http://schemas.microsoft.com/office/word/2010/wordml" w14:paraId="2727D85C" wp14:textId="77777777"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 xmlns:wp14="http://schemas.microsoft.com/office/word/2010/wordml" w14:paraId="18102F6D" wp14:textId="77777777"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 xmlns:wp14="http://schemas.microsoft.com/office/word/2010/wordml" w14:paraId="0579614B" wp14:textId="77777777"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 xmlns:wp14="http://schemas.microsoft.com/office/word/2010/wordml" w14:paraId="2C35A14A" wp14:textId="77777777"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 xmlns:wp14="http://schemas.microsoft.com/office/word/2010/wordml" w14:paraId="76005F30" wp14:textId="77777777"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 xmlns:wp14="http://schemas.microsoft.com/office/word/2010/wordml" w14:paraId="0C0B5AA9" wp14:textId="77777777"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 xmlns:wp14="http://schemas.microsoft.com/office/word/2010/wordml" w14:paraId="293D72C4" wp14:textId="77777777"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 xmlns:wp14="http://schemas.microsoft.com/office/word/2010/wordml" w14:paraId="4302DE3B" wp14:textId="77777777"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 xmlns:wp14="http://schemas.microsoft.com/office/word/2010/wordml" w14:paraId="2B9C0A60" wp14:textId="77777777"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 xmlns:wp14="http://schemas.microsoft.com/office/word/2010/wordml" w14:paraId="0D6B46EA" wp14:textId="77777777"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 xmlns:wp14="http://schemas.microsoft.com/office/word/2010/wordml" w14:paraId="206A4173" wp14:textId="77777777"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 xmlns:wp14="http://schemas.microsoft.com/office/word/2010/wordml" w14:paraId="3FA32F11" wp14:textId="77777777"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 xmlns:wp14="http://schemas.microsoft.com/office/word/2010/wordml" w14:paraId="52D7E3D9" wp14:textId="77777777"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 xmlns:wp14="http://schemas.microsoft.com/office/word/2010/wordml" w14:paraId="37EA7412" wp14:textId="77777777"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 xmlns:wp14="http://schemas.microsoft.com/office/word/2010/wordml" w14:paraId="725FA905" wp14:textId="77777777"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 xmlns:wp14="http://schemas.microsoft.com/office/word/2010/wordml" w14:paraId="0850D3C6" wp14:textId="77777777"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 xmlns:wp14="http://schemas.microsoft.com/office/word/2010/wordml" w14:paraId="50560825" wp14:textId="77777777"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 xmlns:wp14="http://schemas.microsoft.com/office/word/2010/wordml" w14:paraId="3F243E64" wp14:textId="77777777"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 xmlns:wp14="http://schemas.microsoft.com/office/word/2010/wordml" w14:paraId="698E4ED8" wp14:textId="77777777"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 xmlns:wp14="http://schemas.microsoft.com/office/word/2010/wordml" w14:paraId="3BB23BFA" wp14:textId="77777777"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 xmlns:wp14="http://schemas.microsoft.com/office/word/2010/wordml" w14:paraId="3F7A0A3D" wp14:textId="77777777"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 xmlns:wp14="http://schemas.microsoft.com/office/word/2010/wordml" w14:paraId="32BF1FE7" wp14:textId="77777777"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 xmlns:wp14="http://schemas.microsoft.com/office/word/2010/wordml" w14:paraId="714C83A1" wp14:textId="77777777"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 xmlns:wp14="http://schemas.microsoft.com/office/word/2010/wordml" w14:paraId="5BDF1771" wp14:textId="77777777"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 xmlns:wp14="http://schemas.microsoft.com/office/word/2010/wordml" w14:paraId="15FB3386" wp14:textId="77777777"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 xmlns:wp14="http://schemas.microsoft.com/office/word/2010/wordml" w14:paraId="79DB20B1" wp14:textId="77777777"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 xmlns:wp14="http://schemas.microsoft.com/office/word/2010/wordml" w14:paraId="658654CF" wp14:textId="77777777"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 xmlns:wp14="http://schemas.microsoft.com/office/word/2010/wordml" w14:paraId="07E9CDCD" wp14:textId="77777777"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 xmlns:wp14="http://schemas.microsoft.com/office/word/2010/wordml" w14:paraId="509421F0" wp14:textId="77777777"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 xmlns:wp14="http://schemas.microsoft.com/office/word/2010/wordml" w14:paraId="0CC0232C" wp14:textId="77777777"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 xmlns:wp14="http://schemas.microsoft.com/office/word/2010/wordml" w14:paraId="2AC525A0" wp14:textId="77777777"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 xmlns:wp14="http://schemas.microsoft.com/office/word/2010/wordml" w14:paraId="48626D97" wp14:textId="77777777"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 xmlns:wp14="http://schemas.microsoft.com/office/word/2010/wordml" w14:paraId="6F25217C" wp14:textId="77777777"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 xmlns:wp14="http://schemas.microsoft.com/office/word/2010/wordml" w14:paraId="2A5CA604" wp14:textId="77777777"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 xmlns:wp14="http://schemas.microsoft.com/office/word/2010/wordml" w14:paraId="5E884E9B" wp14:textId="77777777">
      <w:pPr>
        <w:numPr>
          <w:ilvl w:val="0"/>
          <w:numId w:val="1020"/>
        </w:numPr>
        <w:pStyle w:val="Compact"/>
      </w:pPr>
      <w:r>
        <w:t xml:space="preserve">режим вставки</w:t>
      </w:r>
    </w:p>
    <w:p xmlns:wp14="http://schemas.microsoft.com/office/word/2010/wordml" w14:paraId="1B137A9F" wp14:textId="77777777">
      <w:pPr>
        <w:numPr>
          <w:ilvl w:val="0"/>
          <w:numId w:val="1020"/>
        </w:numPr>
        <w:pStyle w:val="Compact"/>
      </w:pPr>
      <w:r>
        <w:t xml:space="preserve">режим строки</w:t>
      </w:r>
    </w:p>
    <w:p xmlns:wp14="http://schemas.microsoft.com/office/word/2010/wordml" w14:paraId="31D2AE04" wp14:textId="77777777">
      <w:pPr>
        <w:numPr>
          <w:ilvl w:val="0"/>
          <w:numId w:val="1020"/>
        </w:numPr>
        <w:pStyle w:val="Compact"/>
      </w:pPr>
      <w:r>
        <w:t xml:space="preserve">Режим поиска</w:t>
      </w:r>
    </w:p>
    <w:p xmlns:wp14="http://schemas.microsoft.com/office/word/2010/wordml" w14:paraId="4965C77C" wp14:textId="77777777"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5A39BBE3" wp14:textId="77777777">
      <w:r>
        <w:continuationSeparator/>
      </w:r>
    </w:p>
  </w:footnote>
  <w:footnote w:type="separator" w:id="-1">
    <w:p xmlns:wp14="http://schemas.microsoft.com/office/word/2010/wordml" w14:paraId="41C8F396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445E51D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47AD9"/>
  <w15:docId w15:val="{7f285bff-ddf1-4bac-83e0-6c47131445d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1.png" Id="rId21" /><Relationship Type="http://schemas.openxmlformats.org/officeDocument/2006/relationships/image" Target="media/rId23.png" Id="rId23" /><Relationship Type="http://schemas.openxmlformats.org/officeDocument/2006/relationships/image" Target="media/rId25.png" Id="rId25" /><Relationship Type="http://schemas.openxmlformats.org/officeDocument/2006/relationships/image" Target="media/rId27.png" Id="rId27" /><Relationship Type="http://schemas.openxmlformats.org/officeDocument/2006/relationships/image" Target="media/rId29.png" Id="rId29" /><Relationship Type="http://schemas.openxmlformats.org/officeDocument/2006/relationships/glossaryDocument" Target="/word/glossary/document.xml" Id="Rf2ec7f54e5204b64" /></Relationships>
</file>

<file path=word/_rels/footnotes.xml.rels><?xml version="1.0" encoding="UTF-8"?>
<Relationships xmlns="http://schemas.openxmlformats.org/package/2006/relationships" /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65fc5-88fc-48f3-bc17-b055ca1144cc}"/>
      </w:docPartPr>
      <w:docPartBody>
        <w:p w14:paraId="5658926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Отчёт по лабораторной работе №9</dc:title>
  <dc:creator>Эрик Кириллович Станиловский НПМбд-02-20</dc:creator>
  <dc:language>ru-RU</dc:language>
  <keywords/>
  <dcterms:created xsi:type="dcterms:W3CDTF">2021-05-20T11:13:32.0000000Z</dcterms:created>
  <dcterms:modified xsi:type="dcterms:W3CDTF">2021-05-22T13:27:37.6248847Z</dcterms:modified>
  <lastModifiedBy>Станиловский Эрик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