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F5597"/>
          <w:sz w:val="24"/>
        </w:rPr>
        <w:t>PROJECT REPORT</w:t>
      </w:r>
    </w:p>
    <w:p>
      <w:pPr>
        <w:pStyle w:val="Title"/>
        <w:jc w:val="center"/>
      </w:pPr>
      <w:r>
        <w:t>Multi-User Expense Tracker</w:t>
      </w:r>
    </w:p>
    <w:p>
      <w:pPr>
        <w:jc w:val="center"/>
      </w:pPr>
      <w:r>
        <w:rPr>
          <w:color w:val="595959"/>
          <w:sz w:val="28"/>
        </w:rPr>
        <w:t>Design and Implementation of a Web-Based Personal Finance Application</w:t>
      </w:r>
    </w:p>
    <w:p/>
    <w:p/>
    <w:p>
      <w:pPr>
        <w:jc w:val="center"/>
      </w:pPr>
      <w:r>
        <w:rPr>
          <w:sz w:val="22"/>
        </w:rPr>
        <w:t>Submitted by</w:t>
      </w:r>
    </w:p>
    <w:p>
      <w:pPr>
        <w:jc w:val="center"/>
      </w:pPr>
      <w:r>
        <w:rPr>
          <w:sz w:val="22"/>
        </w:rPr>
        <w:t>[Student Name]</w:t>
      </w:r>
    </w:p>
    <w:p>
      <w:pPr>
        <w:jc w:val="center"/>
      </w:pPr>
      <w:r>
        <w:rPr>
          <w:sz w:val="22"/>
        </w:rPr>
        <w:t>[Register Number]</w:t>
      </w:r>
    </w:p>
    <w:p>
      <w:pPr>
        <w:jc w:val="center"/>
      </w:pPr>
      <w:r>
        <w:rPr>
          <w:sz w:val="22"/>
        </w:rPr>
      </w:r>
    </w:p>
    <w:p>
      <w:pPr>
        <w:jc w:val="center"/>
      </w:pPr>
      <w:r>
        <w:rPr>
          <w:sz w:val="22"/>
        </w:rPr>
        <w:t>Under the guidance of</w:t>
      </w:r>
    </w:p>
    <w:p>
      <w:pPr>
        <w:jc w:val="center"/>
      </w:pPr>
      <w:r>
        <w:rPr>
          <w:sz w:val="22"/>
        </w:rPr>
        <w:t>[Guide Name]</w:t>
      </w:r>
    </w:p>
    <w:p>
      <w:pPr>
        <w:jc w:val="center"/>
      </w:pPr>
      <w:r>
        <w:rPr>
          <w:sz w:val="22"/>
        </w:rPr>
      </w:r>
    </w:p>
    <w:p>
      <w:pPr>
        <w:jc w:val="center"/>
      </w:pPr>
      <w:r>
        <w:rPr>
          <w:sz w:val="22"/>
        </w:rPr>
        <w:t>[Department Name]</w:t>
      </w:r>
    </w:p>
    <w:p>
      <w:pPr>
        <w:jc w:val="center"/>
      </w:pPr>
      <w:r>
        <w:rPr>
          <w:sz w:val="22"/>
        </w:rPr>
        <w:t>[College / Institution Name]</w:t>
      </w:r>
    </w:p>
    <w:p>
      <w:pPr>
        <w:jc w:val="center"/>
      </w:pPr>
      <w:r>
        <w:rPr>
          <w:sz w:val="22"/>
        </w:rPr>
        <w:t>[University / Board, if applicable]</w:t>
      </w:r>
    </w:p>
    <w:p>
      <w:pPr>
        <w:jc w:val="center"/>
      </w:pPr>
      <w:r>
        <w:rPr>
          <w:sz w:val="22"/>
        </w:rPr>
      </w:r>
    </w:p>
    <w:p>
      <w:pPr>
        <w:jc w:val="center"/>
      </w:pPr>
      <w:r>
        <w:rPr>
          <w:sz w:val="22"/>
        </w:rPr>
        <w:t>Academic Year: [20__ – 20__]</w:t>
      </w:r>
    </w:p>
    <w:p>
      <w:r>
        <w:br w:type="page"/>
      </w:r>
    </w:p>
    <w:p>
      <w:pPr>
        <w:pStyle w:val="Heading1"/>
        <w:keepNext/>
      </w:pPr>
      <w:r>
        <w:t>Project Details</w:t>
      </w:r>
    </w:p>
    <w:tbl>
      <w:tblPr>
        <w:tblStyle w:val="LightShading-Accent1"/>
        <w:tblW w:type="auto" w:w="0"/>
        <w:jc w:val="center"/>
        <w:tblLook w:firstColumn="1" w:firstRow="1" w:lastColumn="0" w:lastRow="0" w:noHBand="0" w:noVBand="1" w:val="04A0"/>
      </w:tblPr>
      <w:tblGrid>
        <w:gridCol w:w="4939"/>
        <w:gridCol w:w="4939"/>
      </w:tblGrid>
      <w:tr>
        <w:tc>
          <w:tcPr>
            <w:tcW w:type="dxa" w:w="2880"/>
            <w:shd w:fill="1F3864"/>
          </w:tcPr>
          <w:p>
            <w:r>
              <w:rPr>
                <w:b/>
                <w:color w:val="FFFFFF"/>
                <w:sz w:val="18"/>
              </w:rPr>
              <w:t>Item</w:t>
            </w:r>
          </w:p>
        </w:tc>
        <w:tc>
          <w:tcPr>
            <w:tcW w:type="dxa" w:w="6624"/>
            <w:shd w:fill="1F3864"/>
          </w:tcPr>
          <w:p>
            <w:r>
              <w:rPr>
                <w:b/>
                <w:color w:val="FFFFFF"/>
                <w:sz w:val="18"/>
              </w:rPr>
              <w:t>Details</w:t>
            </w:r>
          </w:p>
        </w:tc>
      </w:tr>
      <w:tr>
        <w:tc>
          <w:tcPr>
            <w:tcW w:type="dxa" w:w="2880"/>
            <w:vAlign w:val="center"/>
          </w:tcPr>
          <w:p>
            <w:pPr>
              <w:spacing w:after="40"/>
            </w:pPr>
            <w:r>
              <w:rPr>
                <w:sz w:val="18"/>
              </w:rPr>
              <w:t>Project title</w:t>
            </w:r>
          </w:p>
        </w:tc>
        <w:tc>
          <w:tcPr>
            <w:tcW w:type="dxa" w:w="6624"/>
            <w:vAlign w:val="center"/>
          </w:tcPr>
          <w:p>
            <w:pPr>
              <w:spacing w:after="40"/>
            </w:pPr>
            <w:r>
              <w:rPr>
                <w:sz w:val="18"/>
              </w:rPr>
              <w:t>Multi-User Expense Tracker</w:t>
            </w:r>
          </w:p>
        </w:tc>
      </w:tr>
      <w:tr>
        <w:tc>
          <w:tcPr>
            <w:tcW w:type="dxa" w:w="2880"/>
            <w:vAlign w:val="center"/>
          </w:tcPr>
          <w:p>
            <w:pPr>
              <w:spacing w:after="40"/>
            </w:pPr>
            <w:r>
              <w:rPr>
                <w:sz w:val="18"/>
              </w:rPr>
              <w:t>Project type</w:t>
            </w:r>
          </w:p>
        </w:tc>
        <w:tc>
          <w:tcPr>
            <w:tcW w:type="dxa" w:w="6624"/>
            <w:vAlign w:val="center"/>
          </w:tcPr>
          <w:p>
            <w:pPr>
              <w:spacing w:after="40"/>
            </w:pPr>
            <w:r>
              <w:rPr>
                <w:sz w:val="18"/>
              </w:rPr>
              <w:t>Web-based application</w:t>
            </w:r>
          </w:p>
        </w:tc>
      </w:tr>
      <w:tr>
        <w:tc>
          <w:tcPr>
            <w:tcW w:type="dxa" w:w="2880"/>
            <w:vAlign w:val="center"/>
          </w:tcPr>
          <w:p>
            <w:pPr>
              <w:spacing w:after="40"/>
            </w:pPr>
            <w:r>
              <w:rPr>
                <w:sz w:val="18"/>
              </w:rPr>
              <w:t>Backend</w:t>
            </w:r>
          </w:p>
        </w:tc>
        <w:tc>
          <w:tcPr>
            <w:tcW w:type="dxa" w:w="6624"/>
            <w:vAlign w:val="center"/>
          </w:tcPr>
          <w:p>
            <w:pPr>
              <w:spacing w:after="40"/>
            </w:pPr>
            <w:r>
              <w:rPr>
                <w:sz w:val="18"/>
              </w:rPr>
              <w:t>Node.js and Express.js</w:t>
            </w:r>
          </w:p>
        </w:tc>
      </w:tr>
      <w:tr>
        <w:tc>
          <w:tcPr>
            <w:tcW w:type="dxa" w:w="2880"/>
            <w:vAlign w:val="center"/>
          </w:tcPr>
          <w:p>
            <w:pPr>
              <w:spacing w:after="40"/>
            </w:pPr>
            <w:r>
              <w:rPr>
                <w:sz w:val="18"/>
              </w:rPr>
              <w:t>Database</w:t>
            </w:r>
          </w:p>
        </w:tc>
        <w:tc>
          <w:tcPr>
            <w:tcW w:type="dxa" w:w="6624"/>
            <w:vAlign w:val="center"/>
          </w:tcPr>
          <w:p>
            <w:pPr>
              <w:spacing w:after="40"/>
            </w:pPr>
            <w:r>
              <w:rPr>
                <w:sz w:val="18"/>
              </w:rPr>
              <w:t>MongoDB with Mongoose</w:t>
            </w:r>
          </w:p>
        </w:tc>
      </w:tr>
      <w:tr>
        <w:tc>
          <w:tcPr>
            <w:tcW w:type="dxa" w:w="2880"/>
            <w:vAlign w:val="center"/>
          </w:tcPr>
          <w:p>
            <w:pPr>
              <w:spacing w:after="40"/>
            </w:pPr>
            <w:r>
              <w:rPr>
                <w:sz w:val="18"/>
              </w:rPr>
              <w:t>Frontend</w:t>
            </w:r>
          </w:p>
        </w:tc>
        <w:tc>
          <w:tcPr>
            <w:tcW w:type="dxa" w:w="6624"/>
            <w:vAlign w:val="center"/>
          </w:tcPr>
          <w:p>
            <w:pPr>
              <w:spacing w:after="40"/>
            </w:pPr>
            <w:r>
              <w:rPr>
                <w:sz w:val="18"/>
              </w:rPr>
              <w:t>HTML, CSS, and browser-side JavaScript</w:t>
            </w:r>
          </w:p>
        </w:tc>
      </w:tr>
      <w:tr>
        <w:tc>
          <w:tcPr>
            <w:tcW w:type="dxa" w:w="2880"/>
            <w:vAlign w:val="center"/>
          </w:tcPr>
          <w:p>
            <w:pPr>
              <w:spacing w:after="40"/>
            </w:pPr>
            <w:r>
              <w:rPr>
                <w:sz w:val="18"/>
              </w:rPr>
              <w:t>Prepared for</w:t>
            </w:r>
          </w:p>
        </w:tc>
        <w:tc>
          <w:tcPr>
            <w:tcW w:type="dxa" w:w="6624"/>
            <w:vAlign w:val="center"/>
          </w:tcPr>
          <w:p>
            <w:pPr>
              <w:spacing w:after="40"/>
            </w:pPr>
            <w:r>
              <w:rPr>
                <w:sz w:val="18"/>
              </w:rPr>
              <w:t>[Course / Degree / Department]</w:t>
            </w:r>
          </w:p>
        </w:tc>
      </w:tr>
      <w:tr>
        <w:tc>
          <w:tcPr>
            <w:tcW w:type="dxa" w:w="2880"/>
            <w:vAlign w:val="center"/>
          </w:tcPr>
          <w:p>
            <w:pPr>
              <w:spacing w:after="40"/>
            </w:pPr>
            <w:r>
              <w:rPr>
                <w:sz w:val="18"/>
              </w:rPr>
              <w:t>Prepared by</w:t>
            </w:r>
          </w:p>
        </w:tc>
        <w:tc>
          <w:tcPr>
            <w:tcW w:type="dxa" w:w="6624"/>
            <w:vAlign w:val="center"/>
          </w:tcPr>
          <w:p>
            <w:pPr>
              <w:spacing w:after="40"/>
            </w:pPr>
            <w:r>
              <w:rPr>
                <w:sz w:val="18"/>
              </w:rPr>
              <w:t>[Student Name and Register Number]</w:t>
            </w:r>
          </w:p>
        </w:tc>
      </w:tr>
      <w:tr>
        <w:tc>
          <w:tcPr>
            <w:tcW w:type="dxa" w:w="2880"/>
            <w:vAlign w:val="center"/>
          </w:tcPr>
          <w:p>
            <w:pPr>
              <w:spacing w:after="40"/>
            </w:pPr>
            <w:r>
              <w:rPr>
                <w:sz w:val="18"/>
              </w:rPr>
              <w:t>Guide</w:t>
            </w:r>
          </w:p>
        </w:tc>
        <w:tc>
          <w:tcPr>
            <w:tcW w:type="dxa" w:w="6624"/>
            <w:vAlign w:val="center"/>
          </w:tcPr>
          <w:p>
            <w:pPr>
              <w:spacing w:after="40"/>
            </w:pPr>
            <w:r>
              <w:rPr>
                <w:sz w:val="18"/>
              </w:rPr>
              <w:t>[Guide Name]</w:t>
            </w:r>
          </w:p>
        </w:tc>
      </w:tr>
    </w:tbl>
    <w:p>
      <w:pPr>
        <w:spacing w:after="0"/>
      </w:pPr>
    </w:p>
    <w:p>
      <w:pPr>
        <w:pStyle w:val="Heading2"/>
        <w:keepNext/>
      </w:pPr>
      <w:r>
        <w:t>Abstract</w:t>
      </w:r>
    </w:p>
    <w:p>
      <w:pPr>
        <w:spacing w:after="120"/>
      </w:pPr>
      <w:r>
        <w:t>The Multi-User Expense Tracker is a web application for maintaining personal income, expenses, and monthly budgets. Each registered account has its own records. Users can record transactions, review and filter transaction history, view monthly totals and category summaries, set a monthly budget, and export matching transactions as a CSV file. The application is implemented with Node.js, Express, MongoDB, and Mongoose. Passwords are stored as bcrypt hashes, and authenticated API requests use a signed token in an HTTP-only cookie. The repository contains the application source code and feature routes; institution-specific submission details must be added before final submission. The current implementation manages separate individual accounts; it does not implement shared group expense splitting or settlements.</w:t>
      </w:r>
    </w:p>
    <w:p>
      <w:pPr>
        <w:pStyle w:val="Heading1"/>
        <w:keepNext/>
      </w:pPr>
      <w:r>
        <w:t>Contents</w:t>
      </w:r>
    </w:p>
    <w:p>
      <w:r>
        <w:t>1. Introduction</w:t>
      </w:r>
    </w:p>
    <w:p>
      <w:r>
        <w:t>2. Aim and Objectives</w:t>
      </w:r>
    </w:p>
    <w:p>
      <w:r>
        <w:t>3. Problem Statement and Scope</w:t>
      </w:r>
    </w:p>
    <w:p>
      <w:r>
        <w:t>4. Existing and Proposed Systems</w:t>
      </w:r>
    </w:p>
    <w:p>
      <w:r>
        <w:t>5. System Design</w:t>
      </w:r>
    </w:p>
    <w:p>
      <w:r>
        <w:t>6. Implementation</w:t>
      </w:r>
    </w:p>
    <w:p>
      <w:r>
        <w:t>7. Results and Discussion</w:t>
      </w:r>
    </w:p>
    <w:p>
      <w:r>
        <w:t>8. Limitations and Future Enhancements</w:t>
      </w:r>
    </w:p>
    <w:p>
      <w:r>
        <w:t>9. Conclusion</w:t>
      </w:r>
    </w:p>
    <w:p>
      <w:r>
        <w:t>10. References</w:t>
      </w:r>
    </w:p>
    <w:p>
      <w:r>
        <w:t>Detailed Design Supplement</w:t>
      </w:r>
    </w:p>
    <w:p>
      <w:r>
        <w:t>11. Development Method and Project Organization</w:t>
      </w:r>
    </w:p>
    <w:p>
      <w:r>
        <w:t>12. Detailed Data Dictionary</w:t>
      </w:r>
    </w:p>
    <w:p>
      <w:r>
        <w:t>13. Validation and Error Handling</w:t>
      </w:r>
    </w:p>
    <w:p>
      <w:r>
        <w:t>14. Security and Privacy Considerations</w:t>
      </w:r>
    </w:p>
    <w:p>
      <w:r>
        <w:t>15. Detailed Frontend and User Interface</w:t>
      </w:r>
    </w:p>
    <w:p>
      <w:pPr>
        <w:pStyle w:val="Heading1"/>
        <w:keepNext/>
      </w:pPr>
      <w:r>
        <w:t>1. Introduction</w:t>
      </w:r>
    </w:p>
    <w:p>
      <w:pPr>
        <w:spacing w:after="120"/>
      </w:pPr>
      <w:r>
        <w:t>Keeping accurate records of everyday spending is difficult when transactions are scattered across notebooks, messages, and spreadsheets. A central application can make it easier to record income and expenses consistently, review activity over time, and compare spending with a planned budget.</w:t>
      </w:r>
    </w:p>
    <w:p>
      <w:pPr>
        <w:spacing w:after="120"/>
      </w:pPr>
      <w:r>
        <w:t>This project provides a browser-based personal finance tracker with support for multiple independent user accounts. Every transaction and budget is associated with its owner. After signing in, a user can manage income and expense records, inspect monthly dashboard totals, and export filtered records. The system is designed for individuals who want a structured way to monitor their finances.</w:t>
      </w:r>
    </w:p>
    <w:p>
      <w:pPr>
        <w:spacing w:after="120"/>
      </w:pPr>
      <w:r>
        <w:t>The term multi-user in this project refers to the ability for different people to register and use separate accounts on the same application. It does not mean that several people share one group ledger. This distinction is important when describing the system: each record is private to the account that created it, and the application’s current data model has no group, participant, or settlement records. The project therefore solves the problem of maintaining separate personal ledgers in one centrally hosted application.</w:t>
      </w:r>
    </w:p>
    <w:p>
      <w:pPr>
        <w:spacing w:after="120"/>
      </w:pPr>
      <w:r>
        <w:t>A transaction record provides more context than a single amount. It records a title, whether the money came in or went out, the category, date, payment method, and optional notes. This structured format supports later searching and summaries. The dashboard uses the same underlying transaction records, so totals and category breakdowns are derived from saved activity rather than entered separately by the user.</w:t>
      </w:r>
    </w:p>
    <w:p>
      <w:pPr>
        <w:spacing w:after="120"/>
      </w:pPr>
      <w:r>
        <w:t>The application follows a request-and-response model. The browser collects information and sends it to the server. The server checks the session and validates the values before reading or changing database records. The server then returns a response that the browser can display. This separation helps keep data validation and ownership rules on the server, where they cannot depend only on browser-side controls.</w:t>
      </w:r>
    </w:p>
    <w:p>
      <w:pPr>
        <w:pStyle w:val="Heading2"/>
        <w:keepNext/>
      </w:pPr>
      <w:r>
        <w:t>1.1 Project Background</w:t>
      </w:r>
    </w:p>
    <w:p>
      <w:pPr>
        <w:spacing w:after="120"/>
      </w:pPr>
      <w:r>
        <w:t>The project combines a web interface with a server-side API and a document database. The server validates submitted data, checks the user session, and reads or changes records belonging to that account. The browser interface provides forms and views for the main operations.</w:t>
      </w:r>
    </w:p>
    <w:p>
      <w:pPr>
        <w:pStyle w:val="Heading2"/>
        <w:keepNext/>
      </w:pPr>
      <w:r>
        <w:t>1.2 Intended Users</w:t>
      </w:r>
    </w:p>
    <w:p>
      <w:pPr>
        <w:pStyle w:val="ListBullet"/>
        <w:spacing w:after="60"/>
      </w:pPr>
      <w:r>
        <w:t>People who want to record personal income and expenses.</w:t>
      </w:r>
    </w:p>
    <w:p>
      <w:pPr>
        <w:pStyle w:val="ListBullet"/>
        <w:spacing w:after="60"/>
      </w:pPr>
      <w:r>
        <w:t>Users who want monthly category totals and budget comparisons.</w:t>
      </w:r>
    </w:p>
    <w:p>
      <w:pPr>
        <w:pStyle w:val="ListBullet"/>
        <w:spacing w:after="60"/>
      </w:pPr>
      <w:r>
        <w:t>Students or individuals who need an accessible, account-based tracker.</w:t>
      </w:r>
    </w:p>
    <w:p>
      <w:r>
        <w:br w:type="page"/>
      </w:r>
    </w:p>
    <w:p>
      <w:pPr>
        <w:pStyle w:val="Heading1"/>
        <w:keepNext/>
      </w:pPr>
      <w:r>
        <w:t>2. Aim and Objectives</w:t>
      </w:r>
    </w:p>
    <w:p>
      <w:pPr>
        <w:pStyle w:val="Heading2"/>
        <w:keepNext/>
      </w:pPr>
      <w:r>
        <w:t>2.1 Aim</w:t>
      </w:r>
    </w:p>
    <w:p>
      <w:pPr>
        <w:spacing w:after="120"/>
      </w:pPr>
      <w:r>
        <w:t>To design and develop a multi-user expense tracking system that enables users to record, organize, and monitor personal income and expenses through a centralized web application.</w:t>
      </w:r>
    </w:p>
    <w:p>
      <w:pPr>
        <w:pStyle w:val="Heading2"/>
        <w:keepNext/>
      </w:pPr>
      <w:r>
        <w:t>2.2 Objectives</w:t>
      </w:r>
    </w:p>
    <w:p>
      <w:pPr>
        <w:pStyle w:val="ListBullet"/>
        <w:spacing w:after="60"/>
      </w:pPr>
      <w:r>
        <w:t>Provide account registration, sign-in, sign-out, and authenticated access.</w:t>
      </w:r>
    </w:p>
    <w:p>
      <w:pPr>
        <w:pStyle w:val="ListBullet"/>
        <w:spacing w:after="60"/>
      </w:pPr>
      <w:r>
        <w:t>Allow each user to create, view, edit, and delete their own transaction records.</w:t>
      </w:r>
    </w:p>
    <w:p>
      <w:pPr>
        <w:pStyle w:val="ListBullet"/>
        <w:spacing w:after="60"/>
      </w:pPr>
      <w:r>
        <w:t>Classify transactions as income or expense and validate category, date, payment method, and amount.</w:t>
      </w:r>
    </w:p>
    <w:p>
      <w:pPr>
        <w:pStyle w:val="ListBullet"/>
        <w:spacing w:after="60"/>
      </w:pPr>
      <w:r>
        <w:t>Provide search, filters, and paginated transaction history.</w:t>
      </w:r>
    </w:p>
    <w:p>
      <w:pPr>
        <w:pStyle w:val="ListBullet"/>
        <w:spacing w:after="60"/>
      </w:pPr>
      <w:r>
        <w:t>Calculate monthly income, expenses, balance, and expense totals by category.</w:t>
      </w:r>
    </w:p>
    <w:p>
      <w:pPr>
        <w:pStyle w:val="ListBullet"/>
        <w:spacing w:after="60"/>
      </w:pPr>
      <w:r>
        <w:t>Allow a monthly budget to be saved and compared with recorded expenses.</w:t>
      </w:r>
    </w:p>
    <w:p>
      <w:pPr>
        <w:pStyle w:val="ListBullet"/>
        <w:spacing w:after="60"/>
      </w:pPr>
      <w:r>
        <w:t>Allow matching transaction records to be exported in CSV format.</w:t>
      </w:r>
    </w:p>
    <w:p>
      <w:pPr>
        <w:pStyle w:val="ListBullet"/>
        <w:spacing w:after="60"/>
      </w:pPr>
      <w:r>
        <w:t>Protect account credentials and restrict data operations to the authenticated account.</w:t>
      </w:r>
    </w:p>
    <w:p>
      <w:pPr>
        <w:spacing w:after="120"/>
      </w:pPr>
      <w:r>
        <w:t>The objectives above reflect capabilities found in the repository. Group expense sharing and settlement calculations are outside the current implementation.</w:t>
      </w:r>
    </w:p>
    <w:p>
      <w:r>
        <w:br w:type="page"/>
      </w:r>
    </w:p>
    <w:p>
      <w:pPr>
        <w:pStyle w:val="Heading1"/>
        <w:keepNext/>
      </w:pPr>
      <w:r>
        <w:t>3. Problem Statement and Scope</w:t>
      </w:r>
    </w:p>
    <w:p>
      <w:pPr>
        <w:pStyle w:val="Heading2"/>
        <w:keepNext/>
      </w:pPr>
      <w:r>
        <w:t>3.1 Problem Statement</w:t>
      </w:r>
    </w:p>
    <w:p>
      <w:pPr>
        <w:spacing w:after="120"/>
      </w:pPr>
      <w:r>
        <w:t>Manual expense tracking can be inconsistent and time-consuming. It may be difficult to find a transaction, summarize monthly spending, or understand which categories contribute most to expenses. Multiple people using a shared record can also create ambiguity about ownership and privacy. This project addresses the individual-record problem by providing authenticated accounts, structured transaction records, and automatic summaries in one application.</w:t>
      </w:r>
    </w:p>
    <w:p>
      <w:pPr>
        <w:pStyle w:val="Heading2"/>
        <w:keepNext/>
      </w:pPr>
      <w:r>
        <w:t>3.2 Scope</w:t>
      </w:r>
    </w:p>
    <w:tbl>
      <w:tblPr>
        <w:tblStyle w:val="LightShading-Accent1"/>
        <w:tblW w:type="auto" w:w="0"/>
        <w:jc w:val="center"/>
        <w:tblLook w:firstColumn="1" w:firstRow="1" w:lastColumn="0" w:lastRow="0" w:noHBand="0" w:noVBand="1" w:val="04A0"/>
      </w:tblPr>
      <w:tblGrid>
        <w:gridCol w:w="4939"/>
        <w:gridCol w:w="4939"/>
      </w:tblGrid>
      <w:tr>
        <w:tc>
          <w:tcPr>
            <w:tcW w:type="dxa" w:w="4752"/>
            <w:shd w:fill="1F3864"/>
          </w:tcPr>
          <w:p>
            <w:r>
              <w:rPr>
                <w:b/>
                <w:color w:val="FFFFFF"/>
                <w:sz w:val="18"/>
              </w:rPr>
              <w:t>Included in the current application</w:t>
            </w:r>
          </w:p>
        </w:tc>
        <w:tc>
          <w:tcPr>
            <w:tcW w:type="dxa" w:w="4752"/>
            <w:shd w:fill="1F3864"/>
          </w:tcPr>
          <w:p>
            <w:r>
              <w:rPr>
                <w:b/>
                <w:color w:val="FFFFFF"/>
                <w:sz w:val="18"/>
              </w:rPr>
              <w:t>Outside the current implementation</w:t>
            </w:r>
          </w:p>
        </w:tc>
      </w:tr>
      <w:tr>
        <w:tc>
          <w:tcPr>
            <w:tcW w:type="dxa" w:w="4752"/>
            <w:vAlign w:val="center"/>
          </w:tcPr>
          <w:p>
            <w:pPr>
              <w:spacing w:after="40"/>
            </w:pPr>
            <w:r>
              <w:rPr>
                <w:sz w:val="18"/>
              </w:rPr>
              <w:t>Independent user registration and login</w:t>
            </w:r>
          </w:p>
        </w:tc>
        <w:tc>
          <w:tcPr>
            <w:tcW w:type="dxa" w:w="4752"/>
            <w:vAlign w:val="center"/>
          </w:tcPr>
          <w:p>
            <w:pPr>
              <w:spacing w:after="40"/>
            </w:pPr>
            <w:r>
              <w:rPr>
                <w:sz w:val="18"/>
              </w:rPr>
              <w:t>Shared groups, split calculations, or settlements</w:t>
            </w:r>
          </w:p>
        </w:tc>
      </w:tr>
      <w:tr>
        <w:tc>
          <w:tcPr>
            <w:tcW w:type="dxa" w:w="4752"/>
            <w:vAlign w:val="center"/>
          </w:tcPr>
          <w:p>
            <w:pPr>
              <w:spacing w:after="40"/>
            </w:pPr>
            <w:r>
              <w:rPr>
                <w:sz w:val="18"/>
              </w:rPr>
              <w:t>Income and expense transaction management</w:t>
            </w:r>
          </w:p>
        </w:tc>
        <w:tc>
          <w:tcPr>
            <w:tcW w:type="dxa" w:w="4752"/>
            <w:vAlign w:val="center"/>
          </w:tcPr>
          <w:p>
            <w:pPr>
              <w:spacing w:after="40"/>
            </w:pPr>
            <w:r>
              <w:rPr>
                <w:sz w:val="18"/>
              </w:rPr>
              <w:t>Bank account or payment-provider integration</w:t>
            </w:r>
          </w:p>
        </w:tc>
      </w:tr>
      <w:tr>
        <w:tc>
          <w:tcPr>
            <w:tcW w:type="dxa" w:w="4752"/>
            <w:vAlign w:val="center"/>
          </w:tcPr>
          <w:p>
            <w:pPr>
              <w:spacing w:after="40"/>
            </w:pPr>
            <w:r>
              <w:rPr>
                <w:sz w:val="18"/>
              </w:rPr>
              <w:t>Categories, dates, payment methods, notes</w:t>
            </w:r>
          </w:p>
        </w:tc>
        <w:tc>
          <w:tcPr>
            <w:tcW w:type="dxa" w:w="4752"/>
            <w:vAlign w:val="center"/>
          </w:tcPr>
          <w:p>
            <w:pPr>
              <w:spacing w:after="40"/>
            </w:pPr>
            <w:r>
              <w:rPr>
                <w:sz w:val="18"/>
              </w:rPr>
              <w:t>Automatic receipt scanning</w:t>
            </w:r>
          </w:p>
        </w:tc>
      </w:tr>
      <w:tr>
        <w:tc>
          <w:tcPr>
            <w:tcW w:type="dxa" w:w="4752"/>
            <w:vAlign w:val="center"/>
          </w:tcPr>
          <w:p>
            <w:pPr>
              <w:spacing w:after="40"/>
            </w:pPr>
            <w:r>
              <w:rPr>
                <w:sz w:val="18"/>
              </w:rPr>
              <w:t>Search, date/type/category filters, pagination</w:t>
            </w:r>
          </w:p>
        </w:tc>
        <w:tc>
          <w:tcPr>
            <w:tcW w:type="dxa" w:w="4752"/>
            <w:vAlign w:val="center"/>
          </w:tcPr>
          <w:p>
            <w:pPr>
              <w:spacing w:after="40"/>
            </w:pPr>
            <w:r>
              <w:rPr>
                <w:sz w:val="18"/>
              </w:rPr>
              <w:t>Multi-currency conversion</w:t>
            </w:r>
          </w:p>
        </w:tc>
      </w:tr>
      <w:tr>
        <w:tc>
          <w:tcPr>
            <w:tcW w:type="dxa" w:w="4752"/>
            <w:vAlign w:val="center"/>
          </w:tcPr>
          <w:p>
            <w:pPr>
              <w:spacing w:after="40"/>
            </w:pPr>
            <w:r>
              <w:rPr>
                <w:sz w:val="18"/>
              </w:rPr>
              <w:t>Monthly dashboard and budget comparison</w:t>
            </w:r>
          </w:p>
        </w:tc>
        <w:tc>
          <w:tcPr>
            <w:tcW w:type="dxa" w:w="4752"/>
            <w:vAlign w:val="center"/>
          </w:tcPr>
          <w:p>
            <w:pPr>
              <w:spacing w:after="40"/>
            </w:pPr>
            <w:r>
              <w:rPr>
                <w:sz w:val="18"/>
              </w:rPr>
              <w:t>Online payments or transfers</w:t>
            </w:r>
          </w:p>
        </w:tc>
      </w:tr>
      <w:tr>
        <w:tc>
          <w:tcPr>
            <w:tcW w:type="dxa" w:w="4752"/>
            <w:vAlign w:val="center"/>
          </w:tcPr>
          <w:p>
            <w:pPr>
              <w:spacing w:after="40"/>
            </w:pPr>
            <w:r>
              <w:rPr>
                <w:sz w:val="18"/>
              </w:rPr>
              <w:t>CSV export of filtered records</w:t>
            </w:r>
          </w:p>
        </w:tc>
        <w:tc>
          <w:tcPr>
            <w:tcW w:type="dxa" w:w="4752"/>
            <w:vAlign w:val="center"/>
          </w:tcPr>
          <w:p>
            <w:pPr>
              <w:spacing w:after="40"/>
            </w:pPr>
            <w:r>
              <w:rPr>
                <w:sz w:val="18"/>
              </w:rPr>
              <w:t>Administrator console and role management</w:t>
            </w:r>
          </w:p>
        </w:tc>
      </w:tr>
      <w:tr>
        <w:tc>
          <w:tcPr>
            <w:tcW w:type="dxa" w:w="4752"/>
            <w:vAlign w:val="center"/>
          </w:tcPr>
          <w:p>
            <w:pPr>
              <w:spacing w:after="40"/>
            </w:pPr>
            <w:r>
              <w:rPr>
                <w:sz w:val="18"/>
              </w:rPr>
              <w:t>Profile name and password updates</w:t>
            </w:r>
          </w:p>
        </w:tc>
        <w:tc>
          <w:tcPr>
            <w:tcW w:type="dxa" w:w="4752"/>
            <w:vAlign w:val="center"/>
          </w:tcPr>
          <w:p>
            <w:pPr>
              <w:spacing w:after="40"/>
            </w:pPr>
            <w:r>
              <w:rPr>
                <w:sz w:val="18"/>
              </w:rPr>
              <w:t>Native mobile application</w:t>
            </w:r>
          </w:p>
        </w:tc>
      </w:tr>
    </w:tbl>
    <w:p>
      <w:pPr>
        <w:spacing w:after="0"/>
      </w:pPr>
    </w:p>
    <w:p>
      <w:pPr>
        <w:pStyle w:val="Heading2"/>
        <w:keepNext/>
      </w:pPr>
      <w:r>
        <w:t>3.3 Assumptions</w:t>
      </w:r>
    </w:p>
    <w:p>
      <w:pPr>
        <w:pStyle w:val="ListBullet"/>
        <w:spacing w:after="60"/>
      </w:pPr>
      <w:r>
        <w:t>The server is configured with a MongoDB connection string and a secret used to sign authentication tokens.</w:t>
      </w:r>
    </w:p>
    <w:p>
      <w:pPr>
        <w:pStyle w:val="ListBullet"/>
        <w:spacing w:after="60"/>
      </w:pPr>
      <w:r>
        <w:t>Amounts are represented in one currency; dashboard and CSV labels identify INR.</w:t>
      </w:r>
    </w:p>
    <w:p>
      <w:pPr>
        <w:pStyle w:val="ListBullet"/>
        <w:spacing w:after="60"/>
      </w:pPr>
      <w:r>
        <w:t>The user has a modern browser and network access to the application server.</w:t>
      </w:r>
    </w:p>
    <w:p>
      <w:r>
        <w:br w:type="page"/>
      </w:r>
    </w:p>
    <w:p>
      <w:pPr>
        <w:pStyle w:val="Heading1"/>
        <w:keepNext/>
      </w:pPr>
      <w:r>
        <w:t>4. Existing and Proposed Systems</w:t>
      </w:r>
    </w:p>
    <w:p>
      <w:pPr>
        <w:pStyle w:val="Heading2"/>
        <w:keepNext/>
      </w:pPr>
      <w:r>
        <w:t>4.1 Existing Approach</w:t>
      </w:r>
    </w:p>
    <w:p>
      <w:pPr>
        <w:spacing w:after="120"/>
      </w:pPr>
      <w:r>
        <w:t>A user may track transactions using paper notes, spreadsheets, or a general-purpose finance application. Paper records require manual totals. Spreadsheets are flexible but can be difficult to maintain consistently and do not automatically enforce account-level access.</w:t>
      </w:r>
    </w:p>
    <w:p>
      <w:pPr>
        <w:spacing w:after="120"/>
      </w:pPr>
      <w:r>
        <w:t>In a manual approach, a person must remember to record every purchase and income event, choose a consistent description, and periodically calculate totals. If a record is missed, the summary becomes incomplete. If categories are not used consistently, two similar purchases may be counted under different labels. A spreadsheet can reduce arithmetic effort by using formulas, but the owner still has to set up the workbook, maintain its formulas, and decide how to share or protect it.</w:t>
      </w:r>
    </w:p>
    <w:p>
      <w:pPr>
        <w:spacing w:after="120"/>
      </w:pPr>
      <w:r>
        <w:t>A purpose-built tracker can standardize the data collected at entry time. In this application, the transaction type controls the permitted category set, and the server rejects values that do not conform to the defined rules. The resulting records can then be searched or summarized in a predictable way. The benefit comes from the complete flow—from validated entry through account-scoped storage to dashboard calculation—rather than from a dashboard alone.</w:t>
      </w:r>
    </w:p>
    <w:p>
      <w:pPr>
        <w:pStyle w:val="Heading2"/>
        <w:keepNext/>
      </w:pPr>
      <w:r>
        <w:t>4.2 Limitations Addressed</w:t>
      </w:r>
    </w:p>
    <w:p>
      <w:pPr>
        <w:pStyle w:val="ListBullet"/>
        <w:spacing w:after="60"/>
      </w:pPr>
      <w:r>
        <w:t>Manual calculations can lead to errors.</w:t>
      </w:r>
    </w:p>
    <w:p>
      <w:pPr>
        <w:pStyle w:val="ListBullet"/>
        <w:spacing w:after="60"/>
      </w:pPr>
      <w:r>
        <w:t>Unstructured records make searching and category comparisons harder.</w:t>
      </w:r>
    </w:p>
    <w:p>
      <w:pPr>
        <w:pStyle w:val="ListBullet"/>
        <w:spacing w:after="60"/>
      </w:pPr>
      <w:r>
        <w:t>A shared file can expose information to people who should not see it.</w:t>
      </w:r>
    </w:p>
    <w:p>
      <w:pPr>
        <w:pStyle w:val="ListBullet"/>
        <w:spacing w:after="60"/>
      </w:pPr>
      <w:r>
        <w:t>Budget limits are difficult to compare with actual monthly spending without recalculation.</w:t>
      </w:r>
    </w:p>
    <w:p>
      <w:pPr>
        <w:pStyle w:val="Heading2"/>
        <w:keepNext/>
      </w:pPr>
      <w:r>
        <w:t>4.3 Proposed System</w:t>
      </w:r>
    </w:p>
    <w:p>
      <w:pPr>
        <w:spacing w:after="120"/>
      </w:pPr>
      <w:r>
        <w:t>The proposed application stores structured records in MongoDB and associates each transaction and budget with an authenticated user identifier. Server-side validation standardizes transaction fields. The dashboard aggregates monthly totals and category spending, and the history API supports pagination and filters. CSV export provides a portable copy of matching records.</w:t>
      </w:r>
    </w:p>
    <w:p>
      <w:pPr>
        <w:spacing w:after="120"/>
      </w:pPr>
      <w:r>
        <w:t>When a user signs in, the server places a signed token in an HTTP-only cookie. For later protected requests, authentication middleware verifies the token and finds the corresponding User document. The application then uses that account identifier when it searches for transactions and budgets. In practice, this means that two users can enter records with the same title or date without those records becoming a shared record set. The owner relationship is stored on each transaction and budget document and is applied by protected queries.</w:t>
      </w:r>
    </w:p>
    <w:p>
      <w:pPr>
        <w:spacing w:after="120"/>
      </w:pPr>
      <w:r>
        <w:t>The proposed system also connects data entry to review. For example, an expense entered with the date and category is immediately eligible for the corresponding monthly dashboard and category total. A user can filter transaction history to inspect the underlying records that contribute to a summary. CSV export extends that workflow by allowing the filtered records to be opened in spreadsheet software for personal analysis.</w:t>
      </w:r>
    </w:p>
    <w:p>
      <w:r>
        <w:br w:type="page"/>
      </w:r>
    </w:p>
    <w:p>
      <w:pPr>
        <w:pStyle w:val="Heading1"/>
        <w:keepNext/>
      </w:pPr>
      <w:r>
        <w:t>5. System Design</w:t>
      </w:r>
    </w:p>
    <w:p>
      <w:pPr>
        <w:pStyle w:val="Heading2"/>
        <w:keepNext/>
      </w:pPr>
      <w:r>
        <w:t>5.1 Architecture</w:t>
      </w:r>
    </w:p>
    <w:p>
      <w:pPr>
        <w:spacing w:after="120"/>
      </w:pPr>
      <w:r>
        <w:t>The application uses a three-part request flow: the browser interface sends HTTP requests to Express routes; route handlers validate input and use authentication middleware where required; Mongoose reads or writes documents in MongoDB. The server serves the static frontend from the public directory.</w:t>
      </w:r>
    </w:p>
    <w:p>
      <w:pPr>
        <w:spacing w:after="120"/>
      </w:pPr>
      <w:r>
        <w:t>The design keeps presentation, application rules, and persistent data in distinct parts of the project. The browser is responsible for collecting input, showing results, and guiding the user through navigation. It is not the authority on whether an amount, category, or record owner is valid. The Express server performs those checks and uses the authenticated identity to determine which account’s information is available. MongoDB stores the resulting documents, while Mongoose supplies schema validation and indexes used by common queries.</w:t>
      </w:r>
    </w:p>
    <w:p>
      <w:pPr>
        <w:spacing w:after="120"/>
      </w:pPr>
      <w:r>
        <w:t>This arrangement is useful for a small web application because the browser and server communicate through well-defined HTTP endpoints. The same transaction rules can be applied whether a request originates from the visible form or another HTTP client. Route modules also make it easier to locate behavior: account access is implemented in the authentication and profile routes, transaction actions in the transaction routes, and monthly calculations in the dashboard route.</w:t>
      </w:r>
    </w:p>
    <w:p>
      <w:pPr>
        <w:spacing w:after="120"/>
      </w:pPr>
      <w:r>
        <w:t>The single HTML page contains multiple views that are shown or hidden as the user navigates. This keeps the frontend deployment simple because the server can serve the page and its client-side styles and scripts directly. The API routes remain separate from the static page, allowing the application logic to respond with structured JSON for routine operations and a CSV response for export.</w:t>
      </w:r>
    </w:p>
    <w:tbl>
      <w:tblPr>
        <w:tblStyle w:val="LightShading-Accent1"/>
        <w:tblW w:type="auto" w:w="0"/>
        <w:jc w:val="center"/>
        <w:tblLook w:firstColumn="1" w:firstRow="1" w:lastColumn="0" w:lastRow="0" w:noHBand="0" w:noVBand="1" w:val="04A0"/>
      </w:tblPr>
      <w:tblGrid>
        <w:gridCol w:w="4939"/>
        <w:gridCol w:w="4939"/>
      </w:tblGrid>
      <w:tr>
        <w:tc>
          <w:tcPr>
            <w:tcW w:type="dxa" w:w="2160"/>
            <w:shd w:fill="1F3864"/>
          </w:tcPr>
          <w:p>
            <w:r>
              <w:rPr>
                <w:b/>
                <w:color w:val="FFFFFF"/>
                <w:sz w:val="18"/>
              </w:rPr>
              <w:t>Layer</w:t>
            </w:r>
          </w:p>
        </w:tc>
        <w:tc>
          <w:tcPr>
            <w:tcW w:type="dxa" w:w="7344"/>
            <w:shd w:fill="1F3864"/>
          </w:tcPr>
          <w:p>
            <w:r>
              <w:rPr>
                <w:b/>
                <w:color w:val="FFFFFF"/>
                <w:sz w:val="18"/>
              </w:rPr>
              <w:t>Responsibilities</w:t>
            </w:r>
          </w:p>
        </w:tc>
      </w:tr>
      <w:tr>
        <w:tc>
          <w:tcPr>
            <w:tcW w:type="dxa" w:w="2160"/>
            <w:vAlign w:val="center"/>
          </w:tcPr>
          <w:p>
            <w:pPr>
              <w:spacing w:after="40"/>
            </w:pPr>
            <w:r>
              <w:rPr>
                <w:sz w:val="18"/>
              </w:rPr>
              <w:t>Presentation</w:t>
            </w:r>
          </w:p>
        </w:tc>
        <w:tc>
          <w:tcPr>
            <w:tcW w:type="dxa" w:w="7344"/>
            <w:vAlign w:val="center"/>
          </w:tcPr>
          <w:p>
            <w:pPr>
              <w:spacing w:after="40"/>
            </w:pPr>
            <w:r>
              <w:rPr>
                <w:sz w:val="18"/>
              </w:rPr>
              <w:t>HTML/CSS/JavaScript interface; forms and views; sends requests to the API.</w:t>
            </w:r>
          </w:p>
        </w:tc>
      </w:tr>
      <w:tr>
        <w:tc>
          <w:tcPr>
            <w:tcW w:type="dxa" w:w="2160"/>
            <w:vAlign w:val="center"/>
          </w:tcPr>
          <w:p>
            <w:pPr>
              <w:spacing w:after="40"/>
            </w:pPr>
            <w:r>
              <w:rPr>
                <w:sz w:val="18"/>
              </w:rPr>
              <w:t>Application</w:t>
            </w:r>
          </w:p>
        </w:tc>
        <w:tc>
          <w:tcPr>
            <w:tcW w:type="dxa" w:w="7344"/>
            <w:vAlign w:val="center"/>
          </w:tcPr>
          <w:p>
            <w:pPr>
              <w:spacing w:after="40"/>
            </w:pPr>
            <w:r>
              <w:rPr>
                <w:sz w:val="18"/>
              </w:rPr>
              <w:t>Express routes for authentication, profile, transactions, dashboard, and budgets; validation and business rules.</w:t>
            </w:r>
          </w:p>
        </w:tc>
      </w:tr>
      <w:tr>
        <w:tc>
          <w:tcPr>
            <w:tcW w:type="dxa" w:w="2160"/>
            <w:vAlign w:val="center"/>
          </w:tcPr>
          <w:p>
            <w:pPr>
              <w:spacing w:after="40"/>
            </w:pPr>
            <w:r>
              <w:rPr>
                <w:sz w:val="18"/>
              </w:rPr>
              <w:t>Security</w:t>
            </w:r>
          </w:p>
        </w:tc>
        <w:tc>
          <w:tcPr>
            <w:tcW w:type="dxa" w:w="7344"/>
            <w:vAlign w:val="center"/>
          </w:tcPr>
          <w:p>
            <w:pPr>
              <w:spacing w:after="40"/>
            </w:pPr>
            <w:r>
              <w:rPr>
                <w:sz w:val="18"/>
              </w:rPr>
              <w:t>JWT verification from an HTTP-only cookie; bcrypt password hashing; account ownership checks.</w:t>
            </w:r>
          </w:p>
        </w:tc>
      </w:tr>
      <w:tr>
        <w:tc>
          <w:tcPr>
            <w:tcW w:type="dxa" w:w="2160"/>
            <w:vAlign w:val="center"/>
          </w:tcPr>
          <w:p>
            <w:pPr>
              <w:spacing w:after="40"/>
            </w:pPr>
            <w:r>
              <w:rPr>
                <w:sz w:val="18"/>
              </w:rPr>
              <w:t>Data</w:t>
            </w:r>
          </w:p>
        </w:tc>
        <w:tc>
          <w:tcPr>
            <w:tcW w:type="dxa" w:w="7344"/>
            <w:vAlign w:val="center"/>
          </w:tcPr>
          <w:p>
            <w:pPr>
              <w:spacing w:after="40"/>
            </w:pPr>
            <w:r>
              <w:rPr>
                <w:sz w:val="18"/>
              </w:rPr>
              <w:t>MongoDB collections accessed using Mongoose User, Transaction, and Budget models.</w:t>
            </w:r>
          </w:p>
        </w:tc>
      </w:tr>
    </w:tbl>
    <w:p>
      <w:pPr>
        <w:spacing w:after="0"/>
      </w:pPr>
    </w:p>
    <w:p>
      <w:pPr>
        <w:pStyle w:val="Heading2"/>
        <w:keepNext/>
      </w:pPr>
      <w:r>
        <w:t>5.2 Request Flow</w:t>
      </w:r>
    </w:p>
    <w:p>
      <w:pPr>
        <w:spacing w:after="120"/>
      </w:pPr>
      <w:r>
        <w:t>Browser → Express API route → authentication middleware (for protected routes) → input validation → Mongoose query scoped to the authenticated user → MongoDB → JSON or CSV response → browser view.</w:t>
      </w:r>
    </w:p>
    <w:p>
      <w:pPr>
        <w:pStyle w:val="Heading2"/>
        <w:keepNext/>
      </w:pPr>
      <w:r>
        <w:t>5.3 Data Model</w:t>
      </w:r>
    </w:p>
    <w:tbl>
      <w:tblPr>
        <w:tblStyle w:val="LightShading-Accent1"/>
        <w:tblW w:type="auto" w:w="0"/>
        <w:jc w:val="center"/>
        <w:tblLook w:firstColumn="1" w:firstRow="1" w:lastColumn="0" w:lastRow="0" w:noHBand="0" w:noVBand="1" w:val="04A0"/>
      </w:tblPr>
      <w:tblGrid>
        <w:gridCol w:w="3293"/>
        <w:gridCol w:w="3293"/>
        <w:gridCol w:w="3293"/>
      </w:tblGrid>
      <w:tr>
        <w:tc>
          <w:tcPr>
            <w:tcW w:type="dxa" w:w="1584"/>
            <w:shd w:fill="1F3864"/>
          </w:tcPr>
          <w:p>
            <w:r>
              <w:rPr>
                <w:b/>
                <w:color w:val="FFFFFF"/>
                <w:sz w:val="18"/>
              </w:rPr>
              <w:t>Entity</w:t>
            </w:r>
          </w:p>
        </w:tc>
        <w:tc>
          <w:tcPr>
            <w:tcW w:type="dxa" w:w="4320"/>
            <w:shd w:fill="1F3864"/>
          </w:tcPr>
          <w:p>
            <w:r>
              <w:rPr>
                <w:b/>
                <w:color w:val="FFFFFF"/>
                <w:sz w:val="18"/>
              </w:rPr>
              <w:t>Key fields</w:t>
            </w:r>
          </w:p>
        </w:tc>
        <w:tc>
          <w:tcPr>
            <w:tcW w:type="dxa" w:w="3600"/>
            <w:shd w:fill="1F3864"/>
          </w:tcPr>
          <w:p>
            <w:r>
              <w:rPr>
                <w:b/>
                <w:color w:val="FFFFFF"/>
                <w:sz w:val="18"/>
              </w:rPr>
              <w:t>Relationship / constraint</w:t>
            </w:r>
          </w:p>
        </w:tc>
      </w:tr>
      <w:tr>
        <w:tc>
          <w:tcPr>
            <w:tcW w:type="dxa" w:w="1584"/>
            <w:vAlign w:val="center"/>
          </w:tcPr>
          <w:p>
            <w:pPr>
              <w:spacing w:after="40"/>
            </w:pPr>
            <w:r>
              <w:rPr>
                <w:sz w:val="18"/>
              </w:rPr>
              <w:t>User</w:t>
            </w:r>
          </w:p>
        </w:tc>
        <w:tc>
          <w:tcPr>
            <w:tcW w:type="dxa" w:w="4320"/>
            <w:vAlign w:val="center"/>
          </w:tcPr>
          <w:p>
            <w:pPr>
              <w:spacing w:after="40"/>
            </w:pPr>
            <w:r>
              <w:rPr>
                <w:sz w:val="18"/>
              </w:rPr>
              <w:t>_id, name, email, passwordHash, timestamps</w:t>
            </w:r>
          </w:p>
        </w:tc>
        <w:tc>
          <w:tcPr>
            <w:tcW w:type="dxa" w:w="3600"/>
            <w:vAlign w:val="center"/>
          </w:tcPr>
          <w:p>
            <w:pPr>
              <w:spacing w:after="40"/>
            </w:pPr>
            <w:r>
              <w:rPr>
                <w:sz w:val="18"/>
              </w:rPr>
              <w:t>Email is unique. Password hash is excluded from default query results.</w:t>
            </w:r>
          </w:p>
        </w:tc>
      </w:tr>
      <w:tr>
        <w:tc>
          <w:tcPr>
            <w:tcW w:type="dxa" w:w="1584"/>
            <w:vAlign w:val="center"/>
          </w:tcPr>
          <w:p>
            <w:pPr>
              <w:spacing w:after="40"/>
            </w:pPr>
            <w:r>
              <w:rPr>
                <w:sz w:val="18"/>
              </w:rPr>
              <w:t>Transaction</w:t>
            </w:r>
          </w:p>
        </w:tc>
        <w:tc>
          <w:tcPr>
            <w:tcW w:type="dxa" w:w="4320"/>
            <w:vAlign w:val="center"/>
          </w:tcPr>
          <w:p>
            <w:pPr>
              <w:spacing w:after="40"/>
            </w:pPr>
            <w:r>
              <w:rPr>
                <w:sz w:val="18"/>
              </w:rPr>
              <w:t>_id, userId, type, title, amount, category, date, paymentMethod, notes, timestamps</w:t>
            </w:r>
          </w:p>
        </w:tc>
        <w:tc>
          <w:tcPr>
            <w:tcW w:type="dxa" w:w="3600"/>
            <w:vAlign w:val="center"/>
          </w:tcPr>
          <w:p>
            <w:pPr>
              <w:spacing w:after="40"/>
            </w:pPr>
            <w:r>
              <w:rPr>
                <w:sz w:val="18"/>
              </w:rPr>
              <w:t>userId references User; index supports user/date queries; categories depend on transaction type.</w:t>
            </w:r>
          </w:p>
        </w:tc>
      </w:tr>
      <w:tr>
        <w:tc>
          <w:tcPr>
            <w:tcW w:type="dxa" w:w="1584"/>
            <w:vAlign w:val="center"/>
          </w:tcPr>
          <w:p>
            <w:pPr>
              <w:spacing w:after="40"/>
            </w:pPr>
            <w:r>
              <w:rPr>
                <w:sz w:val="18"/>
              </w:rPr>
              <w:t>Budget</w:t>
            </w:r>
          </w:p>
        </w:tc>
        <w:tc>
          <w:tcPr>
            <w:tcW w:type="dxa" w:w="4320"/>
            <w:vAlign w:val="center"/>
          </w:tcPr>
          <w:p>
            <w:pPr>
              <w:spacing w:after="40"/>
            </w:pPr>
            <w:r>
              <w:rPr>
                <w:sz w:val="18"/>
              </w:rPr>
              <w:t>_id, userId, month, year, amount, timestamps</w:t>
            </w:r>
          </w:p>
        </w:tc>
        <w:tc>
          <w:tcPr>
            <w:tcW w:type="dxa" w:w="3600"/>
            <w:vAlign w:val="center"/>
          </w:tcPr>
          <w:p>
            <w:pPr>
              <w:spacing w:after="40"/>
            </w:pPr>
            <w:r>
              <w:rPr>
                <w:sz w:val="18"/>
              </w:rPr>
              <w:t>userId references User; unique index on userId + month + year.</w:t>
            </w:r>
          </w:p>
        </w:tc>
      </w:tr>
    </w:tbl>
    <w:p>
      <w:pPr>
        <w:spacing w:after="0"/>
      </w:pPr>
    </w:p>
    <w:p>
      <w:pPr>
        <w:spacing w:after="120"/>
      </w:pPr>
      <w:r>
        <w:t>Relationship summary: one User can own many Transactions and multiple monthly Budgets. Each Transaction and Budget has one userId owner. Database ownership is enforced by route queries that use the authenticated user identifier.</w:t>
      </w:r>
    </w:p>
    <w:p>
      <w:pPr>
        <w:pStyle w:val="Heading2"/>
        <w:keepNext/>
      </w:pPr>
      <w:r>
        <w:t>5.4 Transaction Categories and Payment Methods</w:t>
      </w:r>
    </w:p>
    <w:tbl>
      <w:tblPr>
        <w:tblStyle w:val="LightShading-Accent1"/>
        <w:tblW w:type="auto" w:w="0"/>
        <w:jc w:val="center"/>
        <w:tblLook w:firstColumn="1" w:firstRow="1" w:lastColumn="0" w:lastRow="0" w:noHBand="0" w:noVBand="1" w:val="04A0"/>
      </w:tblPr>
      <w:tblGrid>
        <w:gridCol w:w="4939"/>
        <w:gridCol w:w="4939"/>
      </w:tblGrid>
      <w:tr>
        <w:tc>
          <w:tcPr>
            <w:tcW w:type="dxa" w:w="2448"/>
            <w:shd w:fill="1F3864"/>
          </w:tcPr>
          <w:p>
            <w:r>
              <w:rPr>
                <w:b/>
                <w:color w:val="FFFFFF"/>
                <w:sz w:val="18"/>
              </w:rPr>
              <w:t>Transaction type</w:t>
            </w:r>
          </w:p>
        </w:tc>
        <w:tc>
          <w:tcPr>
            <w:tcW w:type="dxa" w:w="7056"/>
            <w:shd w:fill="1F3864"/>
          </w:tcPr>
          <w:p>
            <w:r>
              <w:rPr>
                <w:b/>
                <w:color w:val="FFFFFF"/>
                <w:sz w:val="18"/>
              </w:rPr>
              <w:t>Allowed categories</w:t>
            </w:r>
          </w:p>
        </w:tc>
      </w:tr>
      <w:tr>
        <w:tc>
          <w:tcPr>
            <w:tcW w:type="dxa" w:w="2448"/>
            <w:vAlign w:val="center"/>
          </w:tcPr>
          <w:p>
            <w:pPr>
              <w:spacing w:after="40"/>
            </w:pPr>
            <w:r>
              <w:rPr>
                <w:sz w:val="18"/>
              </w:rPr>
              <w:t>Income</w:t>
            </w:r>
          </w:p>
        </w:tc>
        <w:tc>
          <w:tcPr>
            <w:tcW w:type="dxa" w:w="7056"/>
            <w:vAlign w:val="center"/>
          </w:tcPr>
          <w:p>
            <w:pPr>
              <w:spacing w:after="40"/>
            </w:pPr>
            <w:r>
              <w:rPr>
                <w:sz w:val="18"/>
              </w:rPr>
              <w:t>Salary, Allowance, Freelance, Other</w:t>
            </w:r>
          </w:p>
        </w:tc>
      </w:tr>
      <w:tr>
        <w:tc>
          <w:tcPr>
            <w:tcW w:type="dxa" w:w="2448"/>
            <w:vAlign w:val="center"/>
          </w:tcPr>
          <w:p>
            <w:pPr>
              <w:spacing w:after="40"/>
            </w:pPr>
            <w:r>
              <w:rPr>
                <w:sz w:val="18"/>
              </w:rPr>
              <w:t>Expense</w:t>
            </w:r>
          </w:p>
        </w:tc>
        <w:tc>
          <w:tcPr>
            <w:tcW w:type="dxa" w:w="7056"/>
            <w:vAlign w:val="center"/>
          </w:tcPr>
          <w:p>
            <w:pPr>
              <w:spacing w:after="40"/>
            </w:pPr>
            <w:r>
              <w:rPr>
                <w:sz w:val="18"/>
              </w:rPr>
              <w:t>Food, Travel, Shopping, Education, Bills, Health, Other</w:t>
            </w:r>
          </w:p>
        </w:tc>
      </w:tr>
    </w:tbl>
    <w:p>
      <w:pPr>
        <w:spacing w:after="0"/>
      </w:pPr>
    </w:p>
    <w:p>
      <w:pPr>
        <w:spacing w:after="120"/>
      </w:pPr>
      <w:r>
        <w:t>Supported payment methods are Cash, UPI, Card, and Bank Transfer. Amounts must be positive and have no more than two decimal places. Transaction dates are accepted in YYYY-MM-DD format.</w:t>
      </w:r>
    </w:p>
    <w:p>
      <w:pPr>
        <w:pStyle w:val="Heading2"/>
        <w:keepNext/>
      </w:pPr>
      <w:r>
        <w:t>5.5 API Route Groups</w:t>
      </w:r>
    </w:p>
    <w:tbl>
      <w:tblPr>
        <w:tblStyle w:val="LightShading-Accent1"/>
        <w:tblW w:type="auto" w:w="0"/>
        <w:jc w:val="center"/>
        <w:tblLook w:firstColumn="1" w:firstRow="1" w:lastColumn="0" w:lastRow="0" w:noHBand="0" w:noVBand="1" w:val="04A0"/>
      </w:tblPr>
      <w:tblGrid>
        <w:gridCol w:w="4939"/>
        <w:gridCol w:w="4939"/>
      </w:tblGrid>
      <w:tr>
        <w:tc>
          <w:tcPr>
            <w:tcW w:type="dxa" w:w="3168"/>
            <w:shd w:fill="1F3864"/>
          </w:tcPr>
          <w:p>
            <w:r>
              <w:rPr>
                <w:b/>
                <w:color w:val="FFFFFF"/>
                <w:sz w:val="18"/>
              </w:rPr>
              <w:t>Base path</w:t>
            </w:r>
          </w:p>
        </w:tc>
        <w:tc>
          <w:tcPr>
            <w:tcW w:type="dxa" w:w="6336"/>
            <w:shd w:fill="1F3864"/>
          </w:tcPr>
          <w:p>
            <w:r>
              <w:rPr>
                <w:b/>
                <w:color w:val="FFFFFF"/>
                <w:sz w:val="18"/>
              </w:rPr>
              <w:t>Purpose</w:t>
            </w:r>
          </w:p>
        </w:tc>
      </w:tr>
      <w:tr>
        <w:tc>
          <w:tcPr>
            <w:tcW w:type="dxa" w:w="3168"/>
            <w:vAlign w:val="center"/>
          </w:tcPr>
          <w:p>
            <w:pPr>
              <w:spacing w:after="40"/>
            </w:pPr>
            <w:r>
              <w:rPr>
                <w:sz w:val="18"/>
              </w:rPr>
              <w:t>/api/auth</w:t>
            </w:r>
          </w:p>
        </w:tc>
        <w:tc>
          <w:tcPr>
            <w:tcW w:type="dxa" w:w="6336"/>
            <w:vAlign w:val="center"/>
          </w:tcPr>
          <w:p>
            <w:pPr>
              <w:spacing w:after="40"/>
            </w:pPr>
            <w:r>
              <w:rPr>
                <w:sz w:val="18"/>
              </w:rPr>
              <w:t>Registration, login, and logout</w:t>
            </w:r>
          </w:p>
        </w:tc>
      </w:tr>
      <w:tr>
        <w:tc>
          <w:tcPr>
            <w:tcW w:type="dxa" w:w="3168"/>
            <w:vAlign w:val="center"/>
          </w:tcPr>
          <w:p>
            <w:pPr>
              <w:spacing w:after="40"/>
            </w:pPr>
            <w:r>
              <w:rPr>
                <w:sz w:val="18"/>
              </w:rPr>
              <w:t>/api/profile</w:t>
            </w:r>
          </w:p>
        </w:tc>
        <w:tc>
          <w:tcPr>
            <w:tcW w:type="dxa" w:w="6336"/>
            <w:vAlign w:val="center"/>
          </w:tcPr>
          <w:p>
            <w:pPr>
              <w:spacing w:after="40"/>
            </w:pPr>
            <w:r>
              <w:rPr>
                <w:sz w:val="18"/>
              </w:rPr>
              <w:t>Read/update profile and change password</w:t>
            </w:r>
          </w:p>
        </w:tc>
      </w:tr>
      <w:tr>
        <w:tc>
          <w:tcPr>
            <w:tcW w:type="dxa" w:w="3168"/>
            <w:vAlign w:val="center"/>
          </w:tcPr>
          <w:p>
            <w:pPr>
              <w:spacing w:after="40"/>
            </w:pPr>
            <w:r>
              <w:rPr>
                <w:sz w:val="18"/>
              </w:rPr>
              <w:t>/api/transactions</w:t>
            </w:r>
          </w:p>
        </w:tc>
        <w:tc>
          <w:tcPr>
            <w:tcW w:type="dxa" w:w="6336"/>
            <w:vAlign w:val="center"/>
          </w:tcPr>
          <w:p>
            <w:pPr>
              <w:spacing w:after="40"/>
            </w:pPr>
            <w:r>
              <w:rPr>
                <w:sz w:val="18"/>
              </w:rPr>
              <w:t>Create, retrieve, update, delete, filter, paginate, and export transactions</w:t>
            </w:r>
          </w:p>
        </w:tc>
      </w:tr>
      <w:tr>
        <w:tc>
          <w:tcPr>
            <w:tcW w:type="dxa" w:w="3168"/>
            <w:vAlign w:val="center"/>
          </w:tcPr>
          <w:p>
            <w:pPr>
              <w:spacing w:after="40"/>
            </w:pPr>
            <w:r>
              <w:rPr>
                <w:sz w:val="18"/>
              </w:rPr>
              <w:t>/api/dashboard</w:t>
            </w:r>
          </w:p>
        </w:tc>
        <w:tc>
          <w:tcPr>
            <w:tcW w:type="dxa" w:w="6336"/>
            <w:vAlign w:val="center"/>
          </w:tcPr>
          <w:p>
            <w:pPr>
              <w:spacing w:after="40"/>
            </w:pPr>
            <w:r>
              <w:rPr>
                <w:sz w:val="18"/>
              </w:rPr>
              <w:t>Monthly summary and budget comparison</w:t>
            </w:r>
          </w:p>
        </w:tc>
      </w:tr>
      <w:tr>
        <w:tc>
          <w:tcPr>
            <w:tcW w:type="dxa" w:w="3168"/>
            <w:vAlign w:val="center"/>
          </w:tcPr>
          <w:p>
            <w:pPr>
              <w:spacing w:after="40"/>
            </w:pPr>
            <w:r>
              <w:rPr>
                <w:sz w:val="18"/>
              </w:rPr>
              <w:t>/api/budgets</w:t>
            </w:r>
          </w:p>
        </w:tc>
        <w:tc>
          <w:tcPr>
            <w:tcW w:type="dxa" w:w="6336"/>
            <w:vAlign w:val="center"/>
          </w:tcPr>
          <w:p>
            <w:pPr>
              <w:spacing w:after="40"/>
            </w:pPr>
            <w:r>
              <w:rPr>
                <w:sz w:val="18"/>
              </w:rPr>
              <w:t>Create, retrieve, update, or delete monthly budgets</w:t>
            </w:r>
          </w:p>
        </w:tc>
      </w:tr>
    </w:tbl>
    <w:p>
      <w:pPr>
        <w:spacing w:after="0"/>
      </w:pPr>
    </w:p>
    <w:p>
      <w:r>
        <w:br w:type="page"/>
      </w:r>
    </w:p>
    <w:p>
      <w:pPr>
        <w:pStyle w:val="Heading1"/>
        <w:keepNext/>
      </w:pPr>
      <w:r>
        <w:t>6. Implementation</w:t>
      </w:r>
    </w:p>
    <w:p>
      <w:pPr>
        <w:pStyle w:val="Heading2"/>
        <w:keepNext/>
      </w:pPr>
      <w:r>
        <w:t>6.1 Account and Authentication Module</w:t>
      </w:r>
    </w:p>
    <w:p>
      <w:pPr>
        <w:spacing w:after="120"/>
      </w:pPr>
      <w:r>
        <w:t>Registration validates required fields, trims and normalizes the email address, checks password length and confirmation, and rejects duplicate email addresses. Passwords are hashed with bcryptjs before storage. Login checks the password and issues a signed JWT with a one-hour lifetime in an HTTP-only cookie. Protected routes verify that token and load the current user. Logout clears the cookie.</w:t>
      </w:r>
    </w:p>
    <w:p>
      <w:pPr>
        <w:spacing w:after="120"/>
      </w:pPr>
      <w:r>
        <w:t>The registration flow protects data quality and avoids storing a password in readable form. The route first confirms that the expected values are strings, then applies field-specific checks. The email is converted to lowercase so that capitalization does not create separate accounts for the same address. Duplicate registration is handled both by checking for an existing user and by responding to the database uniqueness error, which helps cover concurrent registration attempts.</w:t>
      </w:r>
    </w:p>
    <w:p>
      <w:pPr>
        <w:spacing w:after="120"/>
      </w:pPr>
      <w:r>
        <w:t>The login response returns public account details but not the password hash. The token includes the user identifier and is signed using the configured JWT secret. Its one-hour expiration limits how long a copied token remains useful. The HTTP-only cookie prevents ordinary client-side JavaScript from reading the token, and the same-site setting reduces certain cross-site request risks. These choices improve protection but do not eliminate the need for HTTPS, a strong secret, careful server configuration, and security review.</w:t>
      </w:r>
    </w:p>
    <w:p>
      <w:pPr>
        <w:pStyle w:val="Heading2"/>
        <w:keepNext/>
      </w:pPr>
      <w:r>
        <w:t>6.2 Profile Module</w:t>
      </w:r>
    </w:p>
    <w:p>
      <w:pPr>
        <w:spacing w:after="120"/>
      </w:pPr>
      <w:r>
        <w:t>Authenticated users can view their account profile, update their name, and change their password after providing the current password and confirming a valid new password.</w:t>
      </w:r>
    </w:p>
    <w:p>
      <w:pPr>
        <w:pStyle w:val="Heading2"/>
        <w:keepNext/>
      </w:pPr>
      <w:r>
        <w:t>6.3 Transaction Module</w:t>
      </w:r>
    </w:p>
    <w:p>
      <w:pPr>
        <w:spacing w:after="120"/>
      </w:pPr>
      <w:r>
        <w:t>A transaction stores its owner, type, title, positive amount, category, date, payment method, and optional notes. Route-level checks validate values before database operations. History is sorted by date and creation time and returned in pages of ten. Search is limited to title text; filters include type, category, and date range. CSV export uses the same supported filters and returns all matching records without pagination.</w:t>
      </w:r>
    </w:p>
    <w:p>
      <w:pPr>
        <w:spacing w:after="120"/>
      </w:pPr>
      <w:r>
        <w:t>Transaction creation and editing share validation logic. A valid type must be either income or expense. The title is trimmed and must contain between one and 150 characters. The amount must be positive and finite, and the route ensures that the accepted value contains at most two decimal places. The category must belong to the list associated with the chosen type; for example, an income cannot be assigned an expense-only category. The date must be a real calendar date in the expected format, and the payment method must be one of the four supported values. Notes may be left blank but are limited in length.</w:t>
      </w:r>
    </w:p>
    <w:p>
      <w:pPr>
        <w:spacing w:after="120"/>
      </w:pPr>
      <w:r>
        <w:t>These rules improve consistency in stored data and make later aggregation meaningful. For example, if the application accepted arbitrary categories, two records for the same type of spending could be separated by spelling differences. Restricting category values at the server avoids relying on the dropdown alone, because a caller could submit a request without using the browser form.</w:t>
      </w:r>
    </w:p>
    <w:p>
      <w:pPr>
        <w:spacing w:after="120"/>
      </w:pPr>
      <w:r>
        <w:t>The history route applies filters to the current account’s records and uses a fixed page size of ten. Sorting by transaction date, followed by creation time and identifier, gives a stable order when multiple records share a date. Pagination limits the amount of data sent in one response. The export route intentionally removes the page restriction so that users can export every matching record. CSV values are quoted and escaped, and formula-like values receive a prefix to reduce the risk that spreadsheet software interprets user-entered text as a formula.</w:t>
      </w:r>
    </w:p>
    <w:p>
      <w:pPr>
        <w:pStyle w:val="Heading2"/>
        <w:keepNext/>
      </w:pPr>
      <w:r>
        <w:t>6.4 Budget Module</w:t>
      </w:r>
    </w:p>
    <w:p>
      <w:pPr>
        <w:spacing w:after="120"/>
      </w:pPr>
      <w:r>
        <w:t>A budget is defined by owner, month, year, and positive amount. A compound unique index prevents more than one budget for the same account and month. The dashboard compares this budget with recorded expenses and reports remaining amount, amount over budget, percentage used, and status.</w:t>
      </w:r>
    </w:p>
    <w:p>
      <w:pPr>
        <w:pStyle w:val="Heading2"/>
        <w:keepNext/>
      </w:pPr>
      <w:r>
        <w:t>6.5 Dashboard Module</w:t>
      </w:r>
    </w:p>
    <w:p>
      <w:pPr>
        <w:spacing w:after="120"/>
      </w:pPr>
      <w:r>
        <w:t>For a selected month, the dashboard aggregates income and expenses, computes the balance and transaction count, groups expenses by category, and attaches a budget comparison when a budget exists. The month is validated in YYYY-MM format.</w:t>
      </w:r>
    </w:p>
    <w:p>
      <w:pPr>
        <w:spacing w:after="120"/>
      </w:pPr>
      <w:r>
        <w:t>The selected month is translated into a start date and the start of the following month. Database matching uses an inclusive lower boundary and an exclusive upper boundary, so transactions at the end of the month are included without needing to calculate the final second of the month. The aggregation groups totals by transaction type and separately groups expense totals by category. Counts are returned alongside amounts so that the interface can show the number of recorded transactions contributing to the month.</w:t>
      </w:r>
    </w:p>
    <w:p>
      <w:pPr>
        <w:spacing w:after="120"/>
      </w:pPr>
      <w:r>
        <w:t>The budget comparison uses only expense totals for the selected month. When no budget exists, the dashboard can return a null budget comparison rather than inventing a target. When a budget does exist, the server calculates the remaining amount or the overspend amount and expresses the used percentage to two decimal places. This makes the budget status understandable while retaining the actual income and expense totals as the primary measures.</w:t>
      </w:r>
    </w:p>
    <w:p>
      <w:pPr>
        <w:pStyle w:val="Heading2"/>
        <w:keepNext/>
      </w:pPr>
      <w:r>
        <w:t>6.6 Frontend</w:t>
      </w:r>
    </w:p>
    <w:p>
      <w:pPr>
        <w:spacing w:after="120"/>
      </w:pPr>
      <w:r>
        <w:t>The public directory contains the browser interface, styled with CSS and connected to API endpoints. The server serves this directory as static content. The source repository contains a single main HTML entry page.</w:t>
      </w:r>
    </w:p>
    <w:p>
      <w:pPr>
        <w:pStyle w:val="Heading2"/>
        <w:keepNext/>
      </w:pPr>
      <w:r>
        <w:t>6.7 Configuration</w:t>
      </w:r>
    </w:p>
    <w:p>
      <w:pPr>
        <w:spacing w:after="120"/>
      </w:pPr>
      <w:r>
        <w:t>The server reads configuration from environment variables. MONGO_URI is required; DB_NAME and PORT have defaults; JWT_SECRET must be configured for authentication. Secret values are not included in this report.</w:t>
      </w:r>
    </w:p>
    <w:p>
      <w:r>
        <w:br w:type="page"/>
      </w:r>
    </w:p>
    <w:p>
      <w:pPr>
        <w:pStyle w:val="Heading1"/>
        <w:keepNext/>
      </w:pPr>
      <w:r>
        <w:t>7. Results and Discussion</w:t>
      </w:r>
    </w:p>
    <w:p>
      <w:pPr>
        <w:spacing w:after="120"/>
      </w:pPr>
      <w:r>
        <w:t>Source inspection confirms the presence of user registration and authentication, profile management, transaction management, budgets, monthly dashboard aggregation, and CSV export routes. The frontend source and backend routes provide the basis for the stated application features. The project is structured as a working application, but no execution logs or supporting evidence were supplied for this report; functional results must therefore be verified in the running system.</w:t>
      </w:r>
    </w:p>
    <w:p>
      <w:pPr>
        <w:spacing w:after="120"/>
      </w:pPr>
      <w:r>
        <w:t>The application’s main outcome is a single account-based workflow for recording, reviewing, and exporting personal financial activity. An individual can enter income as well as expenses, which allows the monthly balance to be calculated from both sides of the record. Expense categories provide more detailed spending analysis, while the budget feature adds a target against which the current month’s expenses can be compared. The transaction history remains available as the record-level view behind those monthly summaries.</w:t>
      </w:r>
    </w:p>
    <w:p>
      <w:pPr>
        <w:spacing w:after="120"/>
      </w:pPr>
      <w:r>
        <w:t>The system’s boundaries should be clear when evaluating the result. It is multi-user because it supports multiple accounts with owner-specific records. It is not a collaborative ledger: there is no mechanism in the inspected models or routes for sharing a transaction, splitting a bill, or settling a shared balance. Similarly, the dashboard reports recorded activity entered by the user; it does not synchronize with bank accounts or verify transactions against a bank statement.</w:t>
      </w:r>
    </w:p>
    <w:p>
      <w:pPr>
        <w:spacing w:after="120"/>
      </w:pPr>
      <w:r>
        <w:t>The source code shows the intended behaviors and safeguards. A final demonstration should show registration, sign-in, transaction entry, history filtering, dashboard totals, budget comparison, and export in the running environment.</w:t>
      </w:r>
    </w:p>
    <w:p>
      <w:pPr>
        <w:pStyle w:val="Heading2"/>
        <w:keepNext/>
      </w:pPr>
      <w:r>
        <w:t>7.1 Screenshots for Final Submission</w:t>
      </w:r>
    </w:p>
    <w:p>
      <w:pPr>
        <w:spacing w:after="120"/>
      </w:pPr>
      <w:r>
        <w:t>Insert genuine screenshots from the running application and add figure numbers and captions. Do not use mockups as proof of completed behavior.</w:t>
      </w:r>
    </w:p>
    <w:tbl>
      <w:tblPr>
        <w:tblStyle w:val="LightShading-Accent1"/>
        <w:tblW w:type="auto" w:w="0"/>
        <w:jc w:val="center"/>
        <w:tblLook w:firstColumn="1" w:firstRow="1" w:lastColumn="0" w:lastRow="0" w:noHBand="0" w:noVBand="1" w:val="04A0"/>
      </w:tblPr>
      <w:tblGrid>
        <w:gridCol w:w="3293"/>
        <w:gridCol w:w="3293"/>
        <w:gridCol w:w="3293"/>
      </w:tblGrid>
      <w:tr>
        <w:tc>
          <w:tcPr>
            <w:tcW w:type="dxa" w:w="936"/>
            <w:shd w:fill="1F3864"/>
          </w:tcPr>
          <w:p>
            <w:r>
              <w:rPr>
                <w:b/>
                <w:color w:val="FFFFFF"/>
                <w:sz w:val="18"/>
              </w:rPr>
              <w:t>Figure</w:t>
            </w:r>
          </w:p>
        </w:tc>
        <w:tc>
          <w:tcPr>
            <w:tcW w:type="dxa" w:w="3312"/>
            <w:shd w:fill="1F3864"/>
          </w:tcPr>
          <w:p>
            <w:r>
              <w:rPr>
                <w:b/>
                <w:color w:val="FFFFFF"/>
                <w:sz w:val="18"/>
              </w:rPr>
              <w:t>Screenshot to insert</w:t>
            </w:r>
          </w:p>
        </w:tc>
        <w:tc>
          <w:tcPr>
            <w:tcW w:type="dxa" w:w="5256"/>
            <w:shd w:fill="1F3864"/>
          </w:tcPr>
          <w:p>
            <w:r>
              <w:rPr>
                <w:b/>
                <w:color w:val="FFFFFF"/>
                <w:sz w:val="18"/>
              </w:rPr>
              <w:t>What it should demonstrate</w:t>
            </w:r>
          </w:p>
        </w:tc>
      </w:tr>
      <w:tr>
        <w:tc>
          <w:tcPr>
            <w:tcW w:type="dxa" w:w="936"/>
            <w:vAlign w:val="center"/>
          </w:tcPr>
          <w:p>
            <w:pPr>
              <w:spacing w:after="40"/>
            </w:pPr>
            <w:r>
              <w:rPr>
                <w:sz w:val="18"/>
              </w:rPr>
              <w:t>1</w:t>
            </w:r>
          </w:p>
        </w:tc>
        <w:tc>
          <w:tcPr>
            <w:tcW w:type="dxa" w:w="3312"/>
            <w:vAlign w:val="center"/>
          </w:tcPr>
          <w:p>
            <w:pPr>
              <w:spacing w:after="40"/>
            </w:pPr>
            <w:r>
              <w:rPr>
                <w:sz w:val="18"/>
              </w:rPr>
              <w:t>Registration or login screen</w:t>
            </w:r>
          </w:p>
        </w:tc>
        <w:tc>
          <w:tcPr>
            <w:tcW w:type="dxa" w:w="5256"/>
            <w:vAlign w:val="center"/>
          </w:tcPr>
          <w:p>
            <w:pPr>
              <w:spacing w:after="40"/>
            </w:pPr>
            <w:r>
              <w:rPr>
                <w:sz w:val="18"/>
              </w:rPr>
              <w:t>Account entry and sign-in interface</w:t>
            </w:r>
          </w:p>
        </w:tc>
      </w:tr>
      <w:tr>
        <w:tc>
          <w:tcPr>
            <w:tcW w:type="dxa" w:w="936"/>
            <w:vAlign w:val="center"/>
          </w:tcPr>
          <w:p>
            <w:pPr>
              <w:spacing w:after="40"/>
            </w:pPr>
            <w:r>
              <w:rPr>
                <w:sz w:val="18"/>
              </w:rPr>
              <w:t>2</w:t>
            </w:r>
          </w:p>
        </w:tc>
        <w:tc>
          <w:tcPr>
            <w:tcW w:type="dxa" w:w="3312"/>
            <w:vAlign w:val="center"/>
          </w:tcPr>
          <w:p>
            <w:pPr>
              <w:spacing w:after="40"/>
            </w:pPr>
            <w:r>
              <w:rPr>
                <w:sz w:val="18"/>
              </w:rPr>
              <w:t>Dashboard</w:t>
            </w:r>
          </w:p>
        </w:tc>
        <w:tc>
          <w:tcPr>
            <w:tcW w:type="dxa" w:w="5256"/>
            <w:vAlign w:val="center"/>
          </w:tcPr>
          <w:p>
            <w:pPr>
              <w:spacing w:after="40"/>
            </w:pPr>
            <w:r>
              <w:rPr>
                <w:sz w:val="18"/>
              </w:rPr>
              <w:t>Monthly income, expense, balance, category totals, and budget status</w:t>
            </w:r>
          </w:p>
        </w:tc>
      </w:tr>
      <w:tr>
        <w:tc>
          <w:tcPr>
            <w:tcW w:type="dxa" w:w="936"/>
            <w:vAlign w:val="center"/>
          </w:tcPr>
          <w:p>
            <w:pPr>
              <w:spacing w:after="40"/>
            </w:pPr>
            <w:r>
              <w:rPr>
                <w:sz w:val="18"/>
              </w:rPr>
              <w:t>3</w:t>
            </w:r>
          </w:p>
        </w:tc>
        <w:tc>
          <w:tcPr>
            <w:tcW w:type="dxa" w:w="3312"/>
            <w:vAlign w:val="center"/>
          </w:tcPr>
          <w:p>
            <w:pPr>
              <w:spacing w:after="40"/>
            </w:pPr>
            <w:r>
              <w:rPr>
                <w:sz w:val="18"/>
              </w:rPr>
              <w:t>Add/edit transaction form</w:t>
            </w:r>
          </w:p>
        </w:tc>
        <w:tc>
          <w:tcPr>
            <w:tcW w:type="dxa" w:w="5256"/>
            <w:vAlign w:val="center"/>
          </w:tcPr>
          <w:p>
            <w:pPr>
              <w:spacing w:after="40"/>
            </w:pPr>
            <w:r>
              <w:rPr>
                <w:sz w:val="18"/>
              </w:rPr>
              <w:t>Transaction fields and validation</w:t>
            </w:r>
          </w:p>
        </w:tc>
      </w:tr>
      <w:tr>
        <w:tc>
          <w:tcPr>
            <w:tcW w:type="dxa" w:w="936"/>
            <w:vAlign w:val="center"/>
          </w:tcPr>
          <w:p>
            <w:pPr>
              <w:spacing w:after="40"/>
            </w:pPr>
            <w:r>
              <w:rPr>
                <w:sz w:val="18"/>
              </w:rPr>
              <w:t>4</w:t>
            </w:r>
          </w:p>
        </w:tc>
        <w:tc>
          <w:tcPr>
            <w:tcW w:type="dxa" w:w="3312"/>
            <w:vAlign w:val="center"/>
          </w:tcPr>
          <w:p>
            <w:pPr>
              <w:spacing w:after="40"/>
            </w:pPr>
            <w:r>
              <w:rPr>
                <w:sz w:val="18"/>
              </w:rPr>
              <w:t>Transaction history</w:t>
            </w:r>
          </w:p>
        </w:tc>
        <w:tc>
          <w:tcPr>
            <w:tcW w:type="dxa" w:w="5256"/>
            <w:vAlign w:val="center"/>
          </w:tcPr>
          <w:p>
            <w:pPr>
              <w:spacing w:after="40"/>
            </w:pPr>
            <w:r>
              <w:rPr>
                <w:sz w:val="18"/>
              </w:rPr>
              <w:t>Search, filters, and paginated records</w:t>
            </w:r>
          </w:p>
        </w:tc>
      </w:tr>
      <w:tr>
        <w:tc>
          <w:tcPr>
            <w:tcW w:type="dxa" w:w="936"/>
            <w:vAlign w:val="center"/>
          </w:tcPr>
          <w:p>
            <w:pPr>
              <w:spacing w:after="40"/>
            </w:pPr>
            <w:r>
              <w:rPr>
                <w:sz w:val="18"/>
              </w:rPr>
              <w:t>5</w:t>
            </w:r>
          </w:p>
        </w:tc>
        <w:tc>
          <w:tcPr>
            <w:tcW w:type="dxa" w:w="3312"/>
            <w:vAlign w:val="center"/>
          </w:tcPr>
          <w:p>
            <w:pPr>
              <w:spacing w:after="40"/>
            </w:pPr>
            <w:r>
              <w:rPr>
                <w:sz w:val="18"/>
              </w:rPr>
              <w:t>Budget view</w:t>
            </w:r>
          </w:p>
        </w:tc>
        <w:tc>
          <w:tcPr>
            <w:tcW w:type="dxa" w:w="5256"/>
            <w:vAlign w:val="center"/>
          </w:tcPr>
          <w:p>
            <w:pPr>
              <w:spacing w:after="40"/>
            </w:pPr>
            <w:r>
              <w:rPr>
                <w:sz w:val="18"/>
              </w:rPr>
              <w:t>Monthly budget entry and comparison</w:t>
            </w:r>
          </w:p>
        </w:tc>
      </w:tr>
      <w:tr>
        <w:tc>
          <w:tcPr>
            <w:tcW w:type="dxa" w:w="936"/>
            <w:vAlign w:val="center"/>
          </w:tcPr>
          <w:p>
            <w:pPr>
              <w:spacing w:after="40"/>
            </w:pPr>
            <w:r>
              <w:rPr>
                <w:sz w:val="18"/>
              </w:rPr>
              <w:t>6</w:t>
            </w:r>
          </w:p>
        </w:tc>
        <w:tc>
          <w:tcPr>
            <w:tcW w:type="dxa" w:w="3312"/>
            <w:vAlign w:val="center"/>
          </w:tcPr>
          <w:p>
            <w:pPr>
              <w:spacing w:after="40"/>
            </w:pPr>
            <w:r>
              <w:rPr>
                <w:sz w:val="18"/>
              </w:rPr>
              <w:t>CSV export result (optional)</w:t>
            </w:r>
          </w:p>
        </w:tc>
        <w:tc>
          <w:tcPr>
            <w:tcW w:type="dxa" w:w="5256"/>
            <w:vAlign w:val="center"/>
          </w:tcPr>
          <w:p>
            <w:pPr>
              <w:spacing w:after="40"/>
            </w:pPr>
            <w:r>
              <w:rPr>
                <w:sz w:val="18"/>
              </w:rPr>
              <w:t>Exported file and selected filters</w:t>
            </w:r>
          </w:p>
        </w:tc>
      </w:tr>
    </w:tbl>
    <w:p>
      <w:pPr>
        <w:spacing w:after="0"/>
      </w:pPr>
    </w:p>
    <w:p>
      <w:r>
        <w:br w:type="page"/>
      </w:r>
    </w:p>
    <w:p>
      <w:pPr>
        <w:pStyle w:val="Heading1"/>
        <w:keepNext/>
      </w:pPr>
      <w:r>
        <w:t>8. Limitations and Future Enhancements</w:t>
      </w:r>
    </w:p>
    <w:p>
      <w:pPr>
        <w:pStyle w:val="Heading2"/>
        <w:keepNext/>
      </w:pPr>
      <w:r>
        <w:t>8.1 Current Limitations</w:t>
      </w:r>
    </w:p>
    <w:p>
      <w:pPr>
        <w:pStyle w:val="ListBullet"/>
        <w:spacing w:after="60"/>
      </w:pPr>
      <w:r>
        <w:t>The application keeps separate personal accounts; it does not split shared group expenses or calculate settlements.</w:t>
      </w:r>
    </w:p>
    <w:p>
      <w:pPr>
        <w:pStyle w:val="ListBullet"/>
        <w:spacing w:after="60"/>
      </w:pPr>
      <w:r>
        <w:t>Runtime screenshots should be captured before final submission.</w:t>
      </w:r>
    </w:p>
    <w:p>
      <w:pPr>
        <w:pStyle w:val="ListBullet"/>
        <w:spacing w:after="60"/>
      </w:pPr>
      <w:r>
        <w:t>The repository does not define deployment capacity or formal performance targets.</w:t>
      </w:r>
    </w:p>
    <w:p>
      <w:pPr>
        <w:pStyle w:val="ListBullet"/>
        <w:spacing w:after="60"/>
      </w:pPr>
      <w:r>
        <w:t>Only the implemented transaction categories and payment methods are available.</w:t>
      </w:r>
    </w:p>
    <w:p>
      <w:pPr>
        <w:pStyle w:val="ListBullet"/>
        <w:spacing w:after="60"/>
      </w:pPr>
      <w:r>
        <w:t>Bank synchronization, payment processing, receipt scanning, and currency conversion are not implemented.</w:t>
      </w:r>
    </w:p>
    <w:p>
      <w:pPr>
        <w:pStyle w:val="Heading2"/>
        <w:keepNext/>
      </w:pPr>
      <w:r>
        <w:t>8.2 Possible Enhancements</w:t>
      </w:r>
    </w:p>
    <w:p>
      <w:pPr>
        <w:pStyle w:val="ListBullet"/>
        <w:spacing w:after="60"/>
      </w:pPr>
      <w:r>
        <w:t>Add groups, participants, split rules, and settlement tracking.</w:t>
      </w:r>
    </w:p>
    <w:p>
      <w:pPr>
        <w:pStyle w:val="ListBullet"/>
        <w:spacing w:after="60"/>
      </w:pPr>
      <w:r>
        <w:t>Add recurring transactions and budget alerts.</w:t>
      </w:r>
    </w:p>
    <w:p>
      <w:pPr>
        <w:pStyle w:val="ListBullet"/>
        <w:spacing w:after="60"/>
      </w:pPr>
      <w:r>
        <w:t>Add receipt uploads and optical character recognition.</w:t>
      </w:r>
    </w:p>
    <w:p>
      <w:pPr>
        <w:pStyle w:val="ListBullet"/>
        <w:spacing w:after="60"/>
      </w:pPr>
      <w:r>
        <w:t>Add printable PDF reports and richer visual analytics.</w:t>
      </w:r>
    </w:p>
    <w:p>
      <w:pPr>
        <w:pStyle w:val="ListBullet"/>
        <w:spacing w:after="60"/>
      </w:pPr>
      <w:r>
        <w:t>Add multi-currency support and configurable currency display.</w:t>
      </w:r>
    </w:p>
    <w:p>
      <w:pPr>
        <w:pStyle w:val="ListBullet"/>
        <w:spacing w:after="60"/>
      </w:pPr>
      <w:r/>
    </w:p>
    <w:p>
      <w:pPr>
        <w:pStyle w:val="ListBullet"/>
        <w:spacing w:after="60"/>
      </w:pPr>
      <w:r>
        <w:t>Provide responsive mobile improvements or a dedicated mobile application.</w:t>
      </w:r>
    </w:p>
    <w:p>
      <w:r>
        <w:br w:type="page"/>
      </w:r>
    </w:p>
    <w:p>
      <w:pPr>
        <w:pStyle w:val="Heading1"/>
        <w:keepNext/>
      </w:pPr>
      <w:r>
        <w:t>9. Conclusion</w:t>
      </w:r>
    </w:p>
    <w:p>
      <w:pPr>
        <w:spacing w:after="120"/>
      </w:pPr>
      <w:r>
        <w:t>The Multi-User Expense Tracker provides an account-based web application for recording personal income and expenses, organizing records, viewing monthly summaries, setting budgets, and exporting transaction history. The implementation uses Node.js and Express for the API, MongoDB and Mongoose for persistence, and a browser-based frontend. Authentication and account ownership checks form the basis for keeping each user’s data separate.</w:t>
      </w:r>
    </w:p>
    <w:p>
      <w:pPr>
        <w:spacing w:after="120"/>
      </w:pPr>
      <w:r>
        <w:t>The project also demonstrates how data entered through a user interface can be transformed into useful summaries. Individual records are validated and stored with an owner and date. The dashboard then groups those records by month, type, and expense category. The budget comparison reuses the monthly expense total to calculate whether the selected period is within its target. This relationship between the entry form, data model, route logic, and dashboard is the main technical contribution of the application.</w:t>
      </w:r>
    </w:p>
    <w:p>
      <w:pPr>
        <w:spacing w:after="120"/>
      </w:pPr>
      <w:r>
        <w:t>The modular structure supports further development. New features can be added by defining their data requirements, applying owner-aware access checks, implementing route validation, and connecting the resulting response to the browser interface. A group expense feature, for example, would require new group and membership models, rules for participant access, split calculations, and settlement records; it cannot be added safely by treating current personal transactions as shared records.</w:t>
      </w:r>
    </w:p>
    <w:p>
      <w:pPr>
        <w:spacing w:after="120"/>
      </w:pPr>
      <w:r>
        <w:t>The project meets its core individual expense tracking objectives according to the inspected source code. Shared expense splitting is outside the current scope. Before academic submission, the student should capture real application screenshots, complete institutional identity fields, and conform the report to the college’s required format.</w:t>
      </w:r>
    </w:p>
    <w:p>
      <w:r>
        <w:br w:type="page"/>
      </w:r>
    </w:p>
    <w:p>
      <w:pPr>
        <w:pStyle w:val="Heading1"/>
        <w:keepNext/>
      </w:pPr>
      <w:r>
        <w:t>10. References</w:t>
      </w:r>
    </w:p>
    <w:p>
      <w:pPr>
        <w:spacing w:after="120"/>
      </w:pPr>
      <w:r>
        <w:t>Project source code: server.js, routes/, models/, middleware/auth.js, config/db.js, public/index.html.</w:t>
      </w:r>
    </w:p>
    <w:p>
      <w:pPr>
        <w:spacing w:after="120"/>
      </w:pPr>
      <w:r>
        <w:t>Node.js documentation, https://nodejs.org/docs/ (accessed 16 October 2026).</w:t>
      </w:r>
    </w:p>
    <w:p>
      <w:pPr>
        <w:spacing w:after="120"/>
      </w:pPr>
      <w:r>
        <w:t>Express documentation, https://expressjs.com/ (accessed 16 October 2026).</w:t>
      </w:r>
    </w:p>
    <w:p>
      <w:pPr>
        <w:spacing w:after="120"/>
      </w:pPr>
      <w:r>
        <w:t>MongoDB documentation, https://www.mongodb.com/docs/ (accessed 16 October 2026).</w:t>
      </w:r>
    </w:p>
    <w:p>
      <w:pPr>
        <w:spacing w:after="120"/>
      </w:pPr>
      <w:r>
        <w:t>Mongoose documentation, https://mongoosejs.com/docs/ (accessed 16 October 2026).</w:t>
      </w:r>
    </w:p>
    <w:p>
      <w:pPr>
        <w:spacing w:after="120"/>
      </w:pPr>
      <w:r>
        <w:t>bcryptjs package documentation, https://www.npmjs.com/package/bcryptjs (accessed 16 October 2026).</w:t>
      </w:r>
    </w:p>
    <w:p>
      <w:pPr>
        <w:spacing w:after="120"/>
      </w:pPr>
      <w:r>
        <w:t>jsonwebtoken package documentation, https://www.npmjs.com/package/jsonwebtoken (accessed 16 October 2026).</w:t>
      </w:r>
    </w:p>
    <w:p>
      <w:r>
        <w:br w:type="page"/>
      </w:r>
    </w:p>
    <w:p>
      <w:pPr>
        <w:pStyle w:val="Heading1"/>
        <w:keepNext/>
      </w:pPr>
      <w:r>
        <w:t>Detailed Design Supplement</w:t>
      </w:r>
    </w:p>
    <w:p>
      <w:pPr>
        <w:spacing w:after="120"/>
      </w:pPr>
      <w:r>
        <w:t>This supplement expands the design and operational explanation of the application. It is based on the project files present in the repository. It provides a more detailed academic description while distinguishing implemented behavior from proposed extensions. Screenshots and executed supporting evidence must still be collected from a running instance.</w:t>
      </w:r>
    </w:p>
    <w:p>
      <w:pPr>
        <w:pStyle w:val="Heading2"/>
        <w:keepNext/>
      </w:pPr>
      <w:r>
        <w:t>11. Development Method and Project Organization</w:t>
      </w:r>
    </w:p>
    <w:p>
      <w:pPr>
        <w:spacing w:after="120"/>
      </w:pPr>
      <w:r>
        <w:t>The source is organized by responsibility. The main server file configures Express middleware, mounts route modules, serves the public folder, connects to MongoDB, initializes model indexes, and starts listening on the configured port. Route modules implement HTTP endpoints. Mongoose models define persisted records and constraints. Authentication middleware verifies the signed session token and attaches the current user to the request.</w:t>
      </w:r>
    </w:p>
    <w:tbl>
      <w:tblPr>
        <w:tblStyle w:val="LightShading-Accent1"/>
        <w:tblW w:type="auto" w:w="0"/>
        <w:jc w:val="center"/>
        <w:tblLook w:firstColumn="1" w:firstRow="1" w:lastColumn="0" w:lastRow="0" w:noHBand="0" w:noVBand="1" w:val="04A0"/>
      </w:tblPr>
      <w:tblGrid>
        <w:gridCol w:w="4939"/>
        <w:gridCol w:w="4939"/>
      </w:tblGrid>
      <w:tr>
        <w:tc>
          <w:tcPr>
            <w:tcW w:type="dxa" w:w="4939"/>
            <w:shd w:fill="1F3864"/>
          </w:tcPr>
          <w:p>
            <w:r>
              <w:rPr>
                <w:b/>
                <w:color w:val="FFFFFF"/>
                <w:sz w:val="18"/>
              </w:rPr>
              <w:t>Project area</w:t>
            </w:r>
          </w:p>
        </w:tc>
        <w:tc>
          <w:tcPr>
            <w:tcW w:type="dxa" w:w="4939"/>
            <w:shd w:fill="1F3864"/>
          </w:tcPr>
          <w:p>
            <w:r>
              <w:rPr>
                <w:b/>
                <w:color w:val="FFFFFF"/>
                <w:sz w:val="18"/>
              </w:rPr>
              <w:t>Responsibility</w:t>
            </w:r>
          </w:p>
        </w:tc>
      </w:tr>
      <w:tr>
        <w:tc>
          <w:tcPr>
            <w:tcW w:type="dxa" w:w="4939"/>
            <w:vAlign w:val="center"/>
          </w:tcPr>
          <w:p>
            <w:pPr>
              <w:spacing w:after="40"/>
            </w:pPr>
            <w:r>
              <w:rPr>
                <w:sz w:val="18"/>
              </w:rPr>
              <w:t>server.js</w:t>
            </w:r>
          </w:p>
        </w:tc>
        <w:tc>
          <w:tcPr>
            <w:tcW w:type="dxa" w:w="4939"/>
            <w:vAlign w:val="center"/>
          </w:tcPr>
          <w:p>
            <w:pPr>
              <w:spacing w:after="40"/>
            </w:pPr>
            <w:r>
              <w:rPr>
                <w:sz w:val="18"/>
              </w:rPr>
              <w:t>Loads environment configuration, initializes Express, mounts routes, serves static files, connects to MongoDB, and starts the server.</w:t>
            </w:r>
          </w:p>
        </w:tc>
      </w:tr>
      <w:tr>
        <w:tc>
          <w:tcPr>
            <w:tcW w:type="dxa" w:w="4939"/>
            <w:vAlign w:val="center"/>
          </w:tcPr>
          <w:p>
            <w:pPr>
              <w:spacing w:after="40"/>
            </w:pPr>
            <w:r>
              <w:rPr>
                <w:sz w:val="18"/>
              </w:rPr>
              <w:t>config/db.js</w:t>
            </w:r>
          </w:p>
        </w:tc>
        <w:tc>
          <w:tcPr>
            <w:tcW w:type="dxa" w:w="4939"/>
            <w:vAlign w:val="center"/>
          </w:tcPr>
          <w:p>
            <w:pPr>
              <w:spacing w:after="40"/>
            </w:pPr>
            <w:r>
              <w:rPr>
                <w:sz w:val="18"/>
              </w:rPr>
              <w:t>Validates that MONGO_URI is configured and opens the Mongoose connection.</w:t>
            </w:r>
          </w:p>
        </w:tc>
      </w:tr>
      <w:tr>
        <w:tc>
          <w:tcPr>
            <w:tcW w:type="dxa" w:w="4939"/>
            <w:vAlign w:val="center"/>
          </w:tcPr>
          <w:p>
            <w:pPr>
              <w:spacing w:after="40"/>
            </w:pPr>
            <w:r>
              <w:rPr>
                <w:sz w:val="18"/>
              </w:rPr>
              <w:t>models/</w:t>
            </w:r>
          </w:p>
        </w:tc>
        <w:tc>
          <w:tcPr>
            <w:tcW w:type="dxa" w:w="4939"/>
            <w:vAlign w:val="center"/>
          </w:tcPr>
          <w:p>
            <w:pPr>
              <w:spacing w:after="40"/>
            </w:pPr>
            <w:r>
              <w:rPr>
                <w:sz w:val="18"/>
              </w:rPr>
              <w:t>Defines User, Transaction, and Budget schemas, validation, timestamps, and indexes.</w:t>
            </w:r>
          </w:p>
        </w:tc>
      </w:tr>
      <w:tr>
        <w:tc>
          <w:tcPr>
            <w:tcW w:type="dxa" w:w="4939"/>
            <w:vAlign w:val="center"/>
          </w:tcPr>
          <w:p>
            <w:pPr>
              <w:spacing w:after="40"/>
            </w:pPr>
            <w:r>
              <w:rPr>
                <w:sz w:val="18"/>
              </w:rPr>
              <w:t>middleware/auth.js</w:t>
            </w:r>
          </w:p>
        </w:tc>
        <w:tc>
          <w:tcPr>
            <w:tcW w:type="dxa" w:w="4939"/>
            <w:vAlign w:val="center"/>
          </w:tcPr>
          <w:p>
            <w:pPr>
              <w:spacing w:after="40"/>
            </w:pPr>
            <w:r>
              <w:rPr>
                <w:sz w:val="18"/>
              </w:rPr>
              <w:t>Validates the JWT cookie and resolves the corresponding user account.</w:t>
            </w:r>
          </w:p>
        </w:tc>
      </w:tr>
      <w:tr>
        <w:tc>
          <w:tcPr>
            <w:tcW w:type="dxa" w:w="4939"/>
            <w:vAlign w:val="center"/>
          </w:tcPr>
          <w:p>
            <w:pPr>
              <w:spacing w:after="40"/>
            </w:pPr>
            <w:r>
              <w:rPr>
                <w:sz w:val="18"/>
              </w:rPr>
              <w:t>routes/auth.js</w:t>
            </w:r>
          </w:p>
        </w:tc>
        <w:tc>
          <w:tcPr>
            <w:tcW w:type="dxa" w:w="4939"/>
            <w:vAlign w:val="center"/>
          </w:tcPr>
          <w:p>
            <w:pPr>
              <w:spacing w:after="40"/>
            </w:pPr>
            <w:r>
              <w:rPr>
                <w:sz w:val="18"/>
              </w:rPr>
              <w:t>Implements registration, login, and logout.</w:t>
            </w:r>
          </w:p>
        </w:tc>
      </w:tr>
      <w:tr>
        <w:tc>
          <w:tcPr>
            <w:tcW w:type="dxa" w:w="4939"/>
            <w:vAlign w:val="center"/>
          </w:tcPr>
          <w:p>
            <w:pPr>
              <w:spacing w:after="40"/>
            </w:pPr>
            <w:r>
              <w:rPr>
                <w:sz w:val="18"/>
              </w:rPr>
              <w:t>routes/profile.js</w:t>
            </w:r>
          </w:p>
        </w:tc>
        <w:tc>
          <w:tcPr>
            <w:tcW w:type="dxa" w:w="4939"/>
            <w:vAlign w:val="center"/>
          </w:tcPr>
          <w:p>
            <w:pPr>
              <w:spacing w:after="40"/>
            </w:pPr>
            <w:r>
              <w:rPr>
                <w:sz w:val="18"/>
              </w:rPr>
              <w:t>Implements profile reading, name changes, and password changes.</w:t>
            </w:r>
          </w:p>
        </w:tc>
      </w:tr>
      <w:tr>
        <w:tc>
          <w:tcPr>
            <w:tcW w:type="dxa" w:w="4939"/>
            <w:vAlign w:val="center"/>
          </w:tcPr>
          <w:p>
            <w:pPr>
              <w:spacing w:after="40"/>
            </w:pPr>
            <w:r>
              <w:rPr>
                <w:sz w:val="18"/>
              </w:rPr>
              <w:t>routes/transactions.js</w:t>
            </w:r>
          </w:p>
        </w:tc>
        <w:tc>
          <w:tcPr>
            <w:tcW w:type="dxa" w:w="4939"/>
            <w:vAlign w:val="center"/>
          </w:tcPr>
          <w:p>
            <w:pPr>
              <w:spacing w:after="40"/>
            </w:pPr>
            <w:r>
              <w:rPr>
                <w:sz w:val="18"/>
              </w:rPr>
              <w:t>Implements transaction validation, ownership-scoped CRUD, history filters, and CSV export.</w:t>
            </w:r>
          </w:p>
        </w:tc>
      </w:tr>
      <w:tr>
        <w:tc>
          <w:tcPr>
            <w:tcW w:type="dxa" w:w="4939"/>
            <w:vAlign w:val="center"/>
          </w:tcPr>
          <w:p>
            <w:pPr>
              <w:spacing w:after="40"/>
            </w:pPr>
            <w:r>
              <w:rPr>
                <w:sz w:val="18"/>
              </w:rPr>
              <w:t>routes/dashboard.js</w:t>
            </w:r>
          </w:p>
        </w:tc>
        <w:tc>
          <w:tcPr>
            <w:tcW w:type="dxa" w:w="4939"/>
            <w:vAlign w:val="center"/>
          </w:tcPr>
          <w:p>
            <w:pPr>
              <w:spacing w:after="40"/>
            </w:pPr>
            <w:r>
              <w:rPr>
                <w:sz w:val="18"/>
              </w:rPr>
              <w:t>Aggregates monthly totals, category spending, and budget comparison.</w:t>
            </w:r>
          </w:p>
        </w:tc>
      </w:tr>
      <w:tr>
        <w:tc>
          <w:tcPr>
            <w:tcW w:type="dxa" w:w="4939"/>
            <w:vAlign w:val="center"/>
          </w:tcPr>
          <w:p>
            <w:pPr>
              <w:spacing w:after="40"/>
            </w:pPr>
            <w:r>
              <w:rPr>
                <w:sz w:val="18"/>
              </w:rPr>
              <w:t>routes/budgets.js</w:t>
            </w:r>
          </w:p>
        </w:tc>
        <w:tc>
          <w:tcPr>
            <w:tcW w:type="dxa" w:w="4939"/>
            <w:vAlign w:val="center"/>
          </w:tcPr>
          <w:p>
            <w:pPr>
              <w:spacing w:after="40"/>
            </w:pPr>
            <w:r>
              <w:rPr>
                <w:sz w:val="18"/>
              </w:rPr>
              <w:t>Implements the monthly budget API.</w:t>
            </w:r>
          </w:p>
        </w:tc>
      </w:tr>
      <w:tr>
        <w:tc>
          <w:tcPr>
            <w:tcW w:type="dxa" w:w="4939"/>
            <w:vAlign w:val="center"/>
          </w:tcPr>
          <w:p>
            <w:pPr>
              <w:spacing w:after="40"/>
            </w:pPr>
            <w:r>
              <w:rPr>
                <w:sz w:val="18"/>
              </w:rPr>
              <w:t>public/index.html</w:t>
            </w:r>
          </w:p>
        </w:tc>
        <w:tc>
          <w:tcPr>
            <w:tcW w:type="dxa" w:w="4939"/>
            <w:vAlign w:val="center"/>
          </w:tcPr>
          <w:p>
            <w:pPr>
              <w:spacing w:after="40"/>
            </w:pPr>
            <w:r>
              <w:rPr>
                <w:sz w:val="18"/>
              </w:rPr>
              <w:t>Contains the browser user interface and styles.</w:t>
            </w:r>
          </w:p>
        </w:tc>
      </w:tr>
    </w:tbl>
    <w:p/>
    <w:p>
      <w:pPr>
        <w:spacing w:after="120"/>
      </w:pPr>
      <w:r>
        <w:t>This modular organization makes it possible to locate a behavior in the route that handles it and the model that stores it. The application uses a single repository and does not include a separate frontend build pipeline.</w:t>
      </w:r>
    </w:p>
    <w:p>
      <w:r>
        <w:br w:type="page"/>
      </w:r>
    </w:p>
    <w:p>
      <w:pPr>
        <w:pStyle w:val="Heading1"/>
        <w:keepNext/>
      </w:pPr>
      <w:r>
        <w:t>12. Detailed Data Dictionary</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shd w:fill="1F3864"/>
          </w:tcPr>
          <w:p>
            <w:r>
              <w:rPr>
                <w:b/>
                <w:color w:val="FFFFFF"/>
                <w:sz w:val="18"/>
              </w:rPr>
              <w:t>Collection</w:t>
            </w:r>
          </w:p>
        </w:tc>
        <w:tc>
          <w:tcPr>
            <w:tcW w:type="dxa" w:w="3293"/>
            <w:shd w:fill="1F3864"/>
          </w:tcPr>
          <w:p>
            <w:r>
              <w:rPr>
                <w:b/>
                <w:color w:val="FFFFFF"/>
                <w:sz w:val="18"/>
              </w:rPr>
              <w:t>Field</w:t>
            </w:r>
          </w:p>
        </w:tc>
        <w:tc>
          <w:tcPr>
            <w:tcW w:type="dxa" w:w="3293"/>
            <w:shd w:fill="1F3864"/>
          </w:tcPr>
          <w:p>
            <w:r>
              <w:rPr>
                <w:b/>
                <w:color w:val="FFFFFF"/>
                <w:sz w:val="18"/>
              </w:rPr>
              <w:t>Meaning and validation</w:t>
            </w:r>
          </w:p>
        </w:tc>
      </w:tr>
      <w:tr>
        <w:tc>
          <w:tcPr>
            <w:tcW w:type="dxa" w:w="3293"/>
            <w:vAlign w:val="center"/>
          </w:tcPr>
          <w:p>
            <w:pPr>
              <w:spacing w:after="40"/>
            </w:pPr>
            <w:r>
              <w:rPr>
                <w:sz w:val="18"/>
              </w:rPr>
              <w:t>users</w:t>
            </w:r>
          </w:p>
        </w:tc>
        <w:tc>
          <w:tcPr>
            <w:tcW w:type="dxa" w:w="3293"/>
            <w:vAlign w:val="center"/>
          </w:tcPr>
          <w:p>
            <w:pPr>
              <w:spacing w:after="40"/>
            </w:pPr>
            <w:r>
              <w:rPr>
                <w:sz w:val="18"/>
              </w:rPr>
              <w:t>name</w:t>
            </w:r>
          </w:p>
        </w:tc>
        <w:tc>
          <w:tcPr>
            <w:tcW w:type="dxa" w:w="3293"/>
            <w:vAlign w:val="center"/>
          </w:tcPr>
          <w:p>
            <w:pPr>
              <w:spacing w:after="40"/>
            </w:pPr>
            <w:r>
              <w:rPr>
                <w:sz w:val="18"/>
              </w:rPr>
              <w:t>Required string; trimmed; length 2 to 100 characters.</w:t>
            </w:r>
          </w:p>
        </w:tc>
      </w:tr>
      <w:tr>
        <w:tc>
          <w:tcPr>
            <w:tcW w:type="dxa" w:w="3293"/>
            <w:vAlign w:val="center"/>
          </w:tcPr>
          <w:p>
            <w:pPr>
              <w:spacing w:after="40"/>
            </w:pPr>
            <w:r>
              <w:rPr>
                <w:sz w:val="18"/>
              </w:rPr>
              <w:t>users</w:t>
            </w:r>
          </w:p>
        </w:tc>
        <w:tc>
          <w:tcPr>
            <w:tcW w:type="dxa" w:w="3293"/>
            <w:vAlign w:val="center"/>
          </w:tcPr>
          <w:p>
            <w:pPr>
              <w:spacing w:after="40"/>
            </w:pPr>
            <w:r>
              <w:rPr>
                <w:sz w:val="18"/>
              </w:rPr>
              <w:t>email</w:t>
            </w:r>
          </w:p>
        </w:tc>
        <w:tc>
          <w:tcPr>
            <w:tcW w:type="dxa" w:w="3293"/>
            <w:vAlign w:val="center"/>
          </w:tcPr>
          <w:p>
            <w:pPr>
              <w:spacing w:after="40"/>
            </w:pPr>
            <w:r>
              <w:rPr>
                <w:sz w:val="18"/>
              </w:rPr>
              <w:t>Required, unique, lowercase and trimmed; must match basic email pattern.</w:t>
            </w:r>
          </w:p>
        </w:tc>
      </w:tr>
      <w:tr>
        <w:tc>
          <w:tcPr>
            <w:tcW w:type="dxa" w:w="3293"/>
            <w:vAlign w:val="center"/>
          </w:tcPr>
          <w:p>
            <w:pPr>
              <w:spacing w:after="40"/>
            </w:pPr>
            <w:r>
              <w:rPr>
                <w:sz w:val="18"/>
              </w:rPr>
              <w:t>users</w:t>
            </w:r>
          </w:p>
        </w:tc>
        <w:tc>
          <w:tcPr>
            <w:tcW w:type="dxa" w:w="3293"/>
            <w:vAlign w:val="center"/>
          </w:tcPr>
          <w:p>
            <w:pPr>
              <w:spacing w:after="40"/>
            </w:pPr>
            <w:r>
              <w:rPr>
                <w:sz w:val="18"/>
              </w:rPr>
              <w:t>passwordHash</w:t>
            </w:r>
          </w:p>
        </w:tc>
        <w:tc>
          <w:tcPr>
            <w:tcW w:type="dxa" w:w="3293"/>
            <w:vAlign w:val="center"/>
          </w:tcPr>
          <w:p>
            <w:pPr>
              <w:spacing w:after="40"/>
            </w:pPr>
            <w:r>
              <w:rPr>
                <w:sz w:val="18"/>
              </w:rPr>
              <w:t>Required bcrypt hash; hidden from ordinary model queries.</w:t>
            </w:r>
          </w:p>
        </w:tc>
      </w:tr>
      <w:tr>
        <w:tc>
          <w:tcPr>
            <w:tcW w:type="dxa" w:w="3293"/>
            <w:vAlign w:val="center"/>
          </w:tcPr>
          <w:p>
            <w:pPr>
              <w:spacing w:after="40"/>
            </w:pPr>
            <w:r>
              <w:rPr>
                <w:sz w:val="18"/>
              </w:rPr>
              <w:t>transactions</w:t>
            </w:r>
          </w:p>
        </w:tc>
        <w:tc>
          <w:tcPr>
            <w:tcW w:type="dxa" w:w="3293"/>
            <w:vAlign w:val="center"/>
          </w:tcPr>
          <w:p>
            <w:pPr>
              <w:spacing w:after="40"/>
            </w:pPr>
            <w:r>
              <w:rPr>
                <w:sz w:val="18"/>
              </w:rPr>
              <w:t>userId</w:t>
            </w:r>
          </w:p>
        </w:tc>
        <w:tc>
          <w:tcPr>
            <w:tcW w:type="dxa" w:w="3293"/>
            <w:vAlign w:val="center"/>
          </w:tcPr>
          <w:p>
            <w:pPr>
              <w:spacing w:after="40"/>
            </w:pPr>
            <w:r>
              <w:rPr>
                <w:sz w:val="18"/>
              </w:rPr>
              <w:t>Required reference to the owning User document.</w:t>
            </w:r>
          </w:p>
        </w:tc>
      </w:tr>
      <w:tr>
        <w:tc>
          <w:tcPr>
            <w:tcW w:type="dxa" w:w="3293"/>
            <w:vAlign w:val="center"/>
          </w:tcPr>
          <w:p>
            <w:pPr>
              <w:spacing w:after="40"/>
            </w:pPr>
            <w:r>
              <w:rPr>
                <w:sz w:val="18"/>
              </w:rPr>
              <w:t>transactions</w:t>
            </w:r>
          </w:p>
        </w:tc>
        <w:tc>
          <w:tcPr>
            <w:tcW w:type="dxa" w:w="3293"/>
            <w:vAlign w:val="center"/>
          </w:tcPr>
          <w:p>
            <w:pPr>
              <w:spacing w:after="40"/>
            </w:pPr>
            <w:r>
              <w:rPr>
                <w:sz w:val="18"/>
              </w:rPr>
              <w:t>type</w:t>
            </w:r>
          </w:p>
        </w:tc>
        <w:tc>
          <w:tcPr>
            <w:tcW w:type="dxa" w:w="3293"/>
            <w:vAlign w:val="center"/>
          </w:tcPr>
          <w:p>
            <w:pPr>
              <w:spacing w:after="40"/>
            </w:pPr>
            <w:r>
              <w:rPr>
                <w:sz w:val="18"/>
              </w:rPr>
              <w:t>Required enum: income or expense.</w:t>
            </w:r>
          </w:p>
        </w:tc>
      </w:tr>
      <w:tr>
        <w:tc>
          <w:tcPr>
            <w:tcW w:type="dxa" w:w="3293"/>
            <w:vAlign w:val="center"/>
          </w:tcPr>
          <w:p>
            <w:pPr>
              <w:spacing w:after="40"/>
            </w:pPr>
            <w:r>
              <w:rPr>
                <w:sz w:val="18"/>
              </w:rPr>
              <w:t>transactions</w:t>
            </w:r>
          </w:p>
        </w:tc>
        <w:tc>
          <w:tcPr>
            <w:tcW w:type="dxa" w:w="3293"/>
            <w:vAlign w:val="center"/>
          </w:tcPr>
          <w:p>
            <w:pPr>
              <w:spacing w:after="40"/>
            </w:pPr>
            <w:r>
              <w:rPr>
                <w:sz w:val="18"/>
              </w:rPr>
              <w:t>title</w:t>
            </w:r>
          </w:p>
        </w:tc>
        <w:tc>
          <w:tcPr>
            <w:tcW w:type="dxa" w:w="3293"/>
            <w:vAlign w:val="center"/>
          </w:tcPr>
          <w:p>
            <w:pPr>
              <w:spacing w:after="40"/>
            </w:pPr>
            <w:r>
              <w:rPr>
                <w:sz w:val="18"/>
              </w:rPr>
              <w:t>Required trimmed string; maximum 150 characters.</w:t>
            </w:r>
          </w:p>
        </w:tc>
      </w:tr>
      <w:tr>
        <w:tc>
          <w:tcPr>
            <w:tcW w:type="dxa" w:w="3293"/>
            <w:vAlign w:val="center"/>
          </w:tcPr>
          <w:p>
            <w:pPr>
              <w:spacing w:after="40"/>
            </w:pPr>
            <w:r>
              <w:rPr>
                <w:sz w:val="18"/>
              </w:rPr>
              <w:t>transactions</w:t>
            </w:r>
          </w:p>
        </w:tc>
        <w:tc>
          <w:tcPr>
            <w:tcW w:type="dxa" w:w="3293"/>
            <w:vAlign w:val="center"/>
          </w:tcPr>
          <w:p>
            <w:pPr>
              <w:spacing w:after="40"/>
            </w:pPr>
            <w:r>
              <w:rPr>
                <w:sz w:val="18"/>
              </w:rPr>
              <w:t>amount</w:t>
            </w:r>
          </w:p>
        </w:tc>
        <w:tc>
          <w:tcPr>
            <w:tcW w:type="dxa" w:w="3293"/>
            <w:vAlign w:val="center"/>
          </w:tcPr>
          <w:p>
            <w:pPr>
              <w:spacing w:after="40"/>
            </w:pPr>
            <w:r>
              <w:rPr>
                <w:sz w:val="18"/>
              </w:rPr>
              <w:t>Required positive finite number. Route accepts at most two decimal places.</w:t>
            </w:r>
          </w:p>
        </w:tc>
      </w:tr>
      <w:tr>
        <w:tc>
          <w:tcPr>
            <w:tcW w:type="dxa" w:w="3293"/>
            <w:vAlign w:val="center"/>
          </w:tcPr>
          <w:p>
            <w:pPr>
              <w:spacing w:after="40"/>
            </w:pPr>
            <w:r>
              <w:rPr>
                <w:sz w:val="18"/>
              </w:rPr>
              <w:t>transactions</w:t>
            </w:r>
          </w:p>
        </w:tc>
        <w:tc>
          <w:tcPr>
            <w:tcW w:type="dxa" w:w="3293"/>
            <w:vAlign w:val="center"/>
          </w:tcPr>
          <w:p>
            <w:pPr>
              <w:spacing w:after="40"/>
            </w:pPr>
            <w:r>
              <w:rPr>
                <w:sz w:val="18"/>
              </w:rPr>
              <w:t>category</w:t>
            </w:r>
          </w:p>
        </w:tc>
        <w:tc>
          <w:tcPr>
            <w:tcW w:type="dxa" w:w="3293"/>
            <w:vAlign w:val="center"/>
          </w:tcPr>
          <w:p>
            <w:pPr>
              <w:spacing w:after="40"/>
            </w:pPr>
            <w:r>
              <w:rPr>
                <w:sz w:val="18"/>
              </w:rPr>
              <w:t>Required category that must match the selected transaction type.</w:t>
            </w:r>
          </w:p>
        </w:tc>
      </w:tr>
      <w:tr>
        <w:tc>
          <w:tcPr>
            <w:tcW w:type="dxa" w:w="3293"/>
            <w:vAlign w:val="center"/>
          </w:tcPr>
          <w:p>
            <w:pPr>
              <w:spacing w:after="40"/>
            </w:pPr>
            <w:r>
              <w:rPr>
                <w:sz w:val="18"/>
              </w:rPr>
              <w:t>transactions</w:t>
            </w:r>
          </w:p>
        </w:tc>
        <w:tc>
          <w:tcPr>
            <w:tcW w:type="dxa" w:w="3293"/>
            <w:vAlign w:val="center"/>
          </w:tcPr>
          <w:p>
            <w:pPr>
              <w:spacing w:after="40"/>
            </w:pPr>
            <w:r>
              <w:rPr>
                <w:sz w:val="18"/>
              </w:rPr>
              <w:t>date</w:t>
            </w:r>
          </w:p>
        </w:tc>
        <w:tc>
          <w:tcPr>
            <w:tcW w:type="dxa" w:w="3293"/>
            <w:vAlign w:val="center"/>
          </w:tcPr>
          <w:p>
            <w:pPr>
              <w:spacing w:after="40"/>
            </w:pPr>
            <w:r>
              <w:rPr>
                <w:sz w:val="18"/>
              </w:rPr>
              <w:t>Required Date value parsed from YYYY-MM-DD.</w:t>
            </w:r>
          </w:p>
        </w:tc>
      </w:tr>
      <w:tr>
        <w:tc>
          <w:tcPr>
            <w:tcW w:type="dxa" w:w="3293"/>
            <w:vAlign w:val="center"/>
          </w:tcPr>
          <w:p>
            <w:pPr>
              <w:spacing w:after="40"/>
            </w:pPr>
            <w:r>
              <w:rPr>
                <w:sz w:val="18"/>
              </w:rPr>
              <w:t>transactions</w:t>
            </w:r>
          </w:p>
        </w:tc>
        <w:tc>
          <w:tcPr>
            <w:tcW w:type="dxa" w:w="3293"/>
            <w:vAlign w:val="center"/>
          </w:tcPr>
          <w:p>
            <w:pPr>
              <w:spacing w:after="40"/>
            </w:pPr>
            <w:r>
              <w:rPr>
                <w:sz w:val="18"/>
              </w:rPr>
              <w:t>paymentMethod</w:t>
            </w:r>
          </w:p>
        </w:tc>
        <w:tc>
          <w:tcPr>
            <w:tcW w:type="dxa" w:w="3293"/>
            <w:vAlign w:val="center"/>
          </w:tcPr>
          <w:p>
            <w:pPr>
              <w:spacing w:after="40"/>
            </w:pPr>
            <w:r>
              <w:rPr>
                <w:sz w:val="18"/>
              </w:rPr>
              <w:t>Required enum: Cash, UPI, Card, or Bank Transfer.</w:t>
            </w:r>
          </w:p>
        </w:tc>
      </w:tr>
      <w:tr>
        <w:tc>
          <w:tcPr>
            <w:tcW w:type="dxa" w:w="3293"/>
            <w:vAlign w:val="center"/>
          </w:tcPr>
          <w:p>
            <w:pPr>
              <w:spacing w:after="40"/>
            </w:pPr>
            <w:r>
              <w:rPr>
                <w:sz w:val="18"/>
              </w:rPr>
              <w:t>transactions</w:t>
            </w:r>
          </w:p>
        </w:tc>
        <w:tc>
          <w:tcPr>
            <w:tcW w:type="dxa" w:w="3293"/>
            <w:vAlign w:val="center"/>
          </w:tcPr>
          <w:p>
            <w:pPr>
              <w:spacing w:after="40"/>
            </w:pPr>
            <w:r>
              <w:rPr>
                <w:sz w:val="18"/>
              </w:rPr>
              <w:t>notes</w:t>
            </w:r>
          </w:p>
        </w:tc>
        <w:tc>
          <w:tcPr>
            <w:tcW w:type="dxa" w:w="3293"/>
            <w:vAlign w:val="center"/>
          </w:tcPr>
          <w:p>
            <w:pPr>
              <w:spacing w:after="40"/>
            </w:pPr>
            <w:r>
              <w:rPr>
                <w:sz w:val="18"/>
              </w:rPr>
              <w:t>Optional trimmed string; maximum 1000 characters; defaults to empty.</w:t>
            </w:r>
          </w:p>
        </w:tc>
      </w:tr>
      <w:tr>
        <w:tc>
          <w:tcPr>
            <w:tcW w:type="dxa" w:w="3293"/>
            <w:vAlign w:val="center"/>
          </w:tcPr>
          <w:p>
            <w:pPr>
              <w:spacing w:after="40"/>
            </w:pPr>
            <w:r>
              <w:rPr>
                <w:sz w:val="18"/>
              </w:rPr>
              <w:t>budgets</w:t>
            </w:r>
          </w:p>
        </w:tc>
        <w:tc>
          <w:tcPr>
            <w:tcW w:type="dxa" w:w="3293"/>
            <w:vAlign w:val="center"/>
          </w:tcPr>
          <w:p>
            <w:pPr>
              <w:spacing w:after="40"/>
            </w:pPr>
            <w:r>
              <w:rPr>
                <w:sz w:val="18"/>
              </w:rPr>
              <w:t>userId</w:t>
            </w:r>
          </w:p>
        </w:tc>
        <w:tc>
          <w:tcPr>
            <w:tcW w:type="dxa" w:w="3293"/>
            <w:vAlign w:val="center"/>
          </w:tcPr>
          <w:p>
            <w:pPr>
              <w:spacing w:after="40"/>
            </w:pPr>
            <w:r>
              <w:rPr>
                <w:sz w:val="18"/>
              </w:rPr>
              <w:t>Required reference to owning User document.</w:t>
            </w:r>
          </w:p>
        </w:tc>
      </w:tr>
      <w:tr>
        <w:tc>
          <w:tcPr>
            <w:tcW w:type="dxa" w:w="3293"/>
            <w:vAlign w:val="center"/>
          </w:tcPr>
          <w:p>
            <w:pPr>
              <w:spacing w:after="40"/>
            </w:pPr>
            <w:r>
              <w:rPr>
                <w:sz w:val="18"/>
              </w:rPr>
              <w:t>budgets</w:t>
            </w:r>
          </w:p>
        </w:tc>
        <w:tc>
          <w:tcPr>
            <w:tcW w:type="dxa" w:w="3293"/>
            <w:vAlign w:val="center"/>
          </w:tcPr>
          <w:p>
            <w:pPr>
              <w:spacing w:after="40"/>
            </w:pPr>
            <w:r>
              <w:rPr>
                <w:sz w:val="18"/>
              </w:rPr>
              <w:t>month</w:t>
            </w:r>
          </w:p>
        </w:tc>
        <w:tc>
          <w:tcPr>
            <w:tcW w:type="dxa" w:w="3293"/>
            <w:vAlign w:val="center"/>
          </w:tcPr>
          <w:p>
            <w:pPr>
              <w:spacing w:after="40"/>
            </w:pPr>
            <w:r>
              <w:rPr>
                <w:sz w:val="18"/>
              </w:rPr>
              <w:t>Required integer from 1 to 12.</w:t>
            </w:r>
          </w:p>
        </w:tc>
      </w:tr>
      <w:tr>
        <w:tc>
          <w:tcPr>
            <w:tcW w:type="dxa" w:w="3293"/>
            <w:vAlign w:val="center"/>
          </w:tcPr>
          <w:p>
            <w:pPr>
              <w:spacing w:after="40"/>
            </w:pPr>
            <w:r>
              <w:rPr>
                <w:sz w:val="18"/>
              </w:rPr>
              <w:t>budgets</w:t>
            </w:r>
          </w:p>
        </w:tc>
        <w:tc>
          <w:tcPr>
            <w:tcW w:type="dxa" w:w="3293"/>
            <w:vAlign w:val="center"/>
          </w:tcPr>
          <w:p>
            <w:pPr>
              <w:spacing w:after="40"/>
            </w:pPr>
            <w:r>
              <w:rPr>
                <w:sz w:val="18"/>
              </w:rPr>
              <w:t>year</w:t>
            </w:r>
          </w:p>
        </w:tc>
        <w:tc>
          <w:tcPr>
            <w:tcW w:type="dxa" w:w="3293"/>
            <w:vAlign w:val="center"/>
          </w:tcPr>
          <w:p>
            <w:pPr>
              <w:spacing w:after="40"/>
            </w:pPr>
            <w:r>
              <w:rPr>
                <w:sz w:val="18"/>
              </w:rPr>
              <w:t>Required positive integer.</w:t>
            </w:r>
          </w:p>
        </w:tc>
      </w:tr>
      <w:tr>
        <w:tc>
          <w:tcPr>
            <w:tcW w:type="dxa" w:w="3293"/>
            <w:vAlign w:val="center"/>
          </w:tcPr>
          <w:p>
            <w:pPr>
              <w:spacing w:after="40"/>
            </w:pPr>
            <w:r>
              <w:rPr>
                <w:sz w:val="18"/>
              </w:rPr>
              <w:t>budgets</w:t>
            </w:r>
          </w:p>
        </w:tc>
        <w:tc>
          <w:tcPr>
            <w:tcW w:type="dxa" w:w="3293"/>
            <w:vAlign w:val="center"/>
          </w:tcPr>
          <w:p>
            <w:pPr>
              <w:spacing w:after="40"/>
            </w:pPr>
            <w:r>
              <w:rPr>
                <w:sz w:val="18"/>
              </w:rPr>
              <w:t>amount</w:t>
            </w:r>
          </w:p>
        </w:tc>
        <w:tc>
          <w:tcPr>
            <w:tcW w:type="dxa" w:w="3293"/>
            <w:vAlign w:val="center"/>
          </w:tcPr>
          <w:p>
            <w:pPr>
              <w:spacing w:after="40"/>
            </w:pPr>
            <w:r>
              <w:rPr>
                <w:sz w:val="18"/>
              </w:rPr>
              <w:t>Required positive finite number.</w:t>
            </w:r>
          </w:p>
        </w:tc>
      </w:tr>
    </w:tbl>
    <w:p/>
    <w:p>
      <w:pPr>
        <w:spacing w:after="120"/>
      </w:pPr>
      <w:r>
        <w:t>All three schemas enable timestamps, so createdAt and updatedAt values are maintained by Mongoose. The transaction collection has an index on userId and date for owner-scoped date ordering. The budget collection has a unique compound index on userId, month, and year. The user email field is unique.</w:t>
      </w:r>
    </w:p>
    <w:p>
      <w:r>
        <w:br w:type="page"/>
      </w:r>
    </w:p>
    <w:p>
      <w:pPr>
        <w:pStyle w:val="Heading1"/>
        <w:keepNext/>
      </w:pPr>
      <w:r>
        <w:t>13. Validation and Error Handling</w:t>
      </w:r>
    </w:p>
    <w:p>
      <w:pPr>
        <w:spacing w:after="120"/>
      </w:pPr>
      <w:r>
        <w:t>Validation occurs at both route and schema levels. Route checks produce client-facing 400 responses for invalid data before database writes. Authentication failures return 401 responses, duplicate registration returns 409, and unexpected server or database errors return 500 with a generic message. Internal logging records error names rather than returning raw exception details to the client.</w:t>
      </w:r>
    </w:p>
    <w:tbl>
      <w:tblPr>
        <w:tblStyle w:val="LightShading-Accent1"/>
        <w:tblW w:type="auto" w:w="0"/>
        <w:jc w:val="center"/>
        <w:tblLook w:firstColumn="1" w:firstRow="1" w:lastColumn="0" w:lastRow="0" w:noHBand="0" w:noVBand="1" w:val="04A0"/>
      </w:tblPr>
      <w:tblGrid>
        <w:gridCol w:w="4939"/>
        <w:gridCol w:w="4939"/>
      </w:tblGrid>
      <w:tr>
        <w:tc>
          <w:tcPr>
            <w:tcW w:type="dxa" w:w="4939"/>
            <w:shd w:fill="1F3864"/>
          </w:tcPr>
          <w:p>
            <w:r>
              <w:rPr>
                <w:b/>
                <w:color w:val="FFFFFF"/>
                <w:sz w:val="18"/>
              </w:rPr>
              <w:t>Input area</w:t>
            </w:r>
          </w:p>
        </w:tc>
        <w:tc>
          <w:tcPr>
            <w:tcW w:type="dxa" w:w="4939"/>
            <w:shd w:fill="1F3864"/>
          </w:tcPr>
          <w:p>
            <w:r>
              <w:rPr>
                <w:b/>
                <w:color w:val="FFFFFF"/>
                <w:sz w:val="18"/>
              </w:rPr>
              <w:t>Implemented checks</w:t>
            </w:r>
          </w:p>
        </w:tc>
      </w:tr>
      <w:tr>
        <w:tc>
          <w:tcPr>
            <w:tcW w:type="dxa" w:w="4939"/>
            <w:vAlign w:val="center"/>
          </w:tcPr>
          <w:p>
            <w:pPr>
              <w:spacing w:after="40"/>
            </w:pPr>
            <w:r>
              <w:rPr>
                <w:sz w:val="18"/>
              </w:rPr>
              <w:t>Registration</w:t>
            </w:r>
          </w:p>
        </w:tc>
        <w:tc>
          <w:tcPr>
            <w:tcW w:type="dxa" w:w="4939"/>
            <w:vAlign w:val="center"/>
          </w:tcPr>
          <w:p>
            <w:pPr>
              <w:spacing w:after="40"/>
            </w:pPr>
            <w:r>
              <w:rPr>
                <w:sz w:val="18"/>
              </w:rPr>
              <w:t>Required string fields, trimmed name length, email format, password length/byte limit, password confirmation, duplicate email.</w:t>
            </w:r>
          </w:p>
        </w:tc>
      </w:tr>
      <w:tr>
        <w:tc>
          <w:tcPr>
            <w:tcW w:type="dxa" w:w="4939"/>
            <w:vAlign w:val="center"/>
          </w:tcPr>
          <w:p>
            <w:pPr>
              <w:spacing w:after="40"/>
            </w:pPr>
            <w:r>
              <w:rPr>
                <w:sz w:val="18"/>
              </w:rPr>
              <w:t>Login</w:t>
            </w:r>
          </w:p>
        </w:tc>
        <w:tc>
          <w:tcPr>
            <w:tcW w:type="dxa" w:w="4939"/>
            <w:vAlign w:val="center"/>
          </w:tcPr>
          <w:p>
            <w:pPr>
              <w:spacing w:after="40"/>
            </w:pPr>
            <w:r>
              <w:rPr>
                <w:sz w:val="18"/>
              </w:rPr>
              <w:t>Email and password required; password byte limit; generic invalid-credential response.</w:t>
            </w:r>
          </w:p>
        </w:tc>
      </w:tr>
      <w:tr>
        <w:tc>
          <w:tcPr>
            <w:tcW w:type="dxa" w:w="4939"/>
            <w:vAlign w:val="center"/>
          </w:tcPr>
          <w:p>
            <w:pPr>
              <w:spacing w:after="40"/>
            </w:pPr>
            <w:r>
              <w:rPr>
                <w:sz w:val="18"/>
              </w:rPr>
              <w:t>Transaction</w:t>
            </w:r>
          </w:p>
        </w:tc>
        <w:tc>
          <w:tcPr>
            <w:tcW w:type="dxa" w:w="4939"/>
            <w:vAlign w:val="center"/>
          </w:tcPr>
          <w:p>
            <w:pPr>
              <w:spacing w:after="40"/>
            </w:pPr>
            <w:r>
              <w:rPr>
                <w:sz w:val="18"/>
              </w:rPr>
              <w:t>Allowed type, title length, positive finite amount, two decimal places, matching category, valid date, allowed payment method, notes length.</w:t>
            </w:r>
          </w:p>
        </w:tc>
      </w:tr>
      <w:tr>
        <w:tc>
          <w:tcPr>
            <w:tcW w:type="dxa" w:w="4939"/>
            <w:vAlign w:val="center"/>
          </w:tcPr>
          <w:p>
            <w:pPr>
              <w:spacing w:after="40"/>
            </w:pPr>
            <w:r>
              <w:rPr>
                <w:sz w:val="18"/>
              </w:rPr>
              <w:t>History filters</w:t>
            </w:r>
          </w:p>
        </w:tc>
        <w:tc>
          <w:tcPr>
            <w:tcW w:type="dxa" w:w="4939"/>
            <w:vAlign w:val="center"/>
          </w:tcPr>
          <w:p>
            <w:pPr>
              <w:spacing w:after="40"/>
            </w:pPr>
            <w:r>
              <w:rPr>
                <w:sz w:val="18"/>
              </w:rPr>
              <w:t>Allowed query fields; search length; valid type/category; valid date range; start date not after end date; valid page number.</w:t>
            </w:r>
          </w:p>
        </w:tc>
      </w:tr>
      <w:tr>
        <w:tc>
          <w:tcPr>
            <w:tcW w:type="dxa" w:w="4939"/>
            <w:vAlign w:val="center"/>
          </w:tcPr>
          <w:p>
            <w:pPr>
              <w:spacing w:after="40"/>
            </w:pPr>
            <w:r>
              <w:rPr>
                <w:sz w:val="18"/>
              </w:rPr>
              <w:t>Dashboard month</w:t>
            </w:r>
          </w:p>
        </w:tc>
        <w:tc>
          <w:tcPr>
            <w:tcW w:type="dxa" w:w="4939"/>
            <w:vAlign w:val="center"/>
          </w:tcPr>
          <w:p>
            <w:pPr>
              <w:spacing w:after="40"/>
            </w:pPr>
            <w:r>
              <w:rPr>
                <w:sz w:val="18"/>
              </w:rPr>
              <w:t>Month must be a valid YYYY-MM value.</w:t>
            </w:r>
          </w:p>
        </w:tc>
      </w:tr>
      <w:tr>
        <w:tc>
          <w:tcPr>
            <w:tcW w:type="dxa" w:w="4939"/>
            <w:vAlign w:val="center"/>
          </w:tcPr>
          <w:p>
            <w:pPr>
              <w:spacing w:after="40"/>
            </w:pPr>
            <w:r>
              <w:rPr>
                <w:sz w:val="18"/>
              </w:rPr>
              <w:t>Budget</w:t>
            </w:r>
          </w:p>
        </w:tc>
        <w:tc>
          <w:tcPr>
            <w:tcW w:type="dxa" w:w="4939"/>
            <w:vAlign w:val="center"/>
          </w:tcPr>
          <w:p>
            <w:pPr>
              <w:spacing w:after="40"/>
            </w:pPr>
            <w:r>
              <w:rPr>
                <w:sz w:val="18"/>
              </w:rPr>
              <w:t>Month/year integer constraints and positive amount, according to model and route checks.</w:t>
            </w:r>
          </w:p>
        </w:tc>
      </w:tr>
      <w:tr>
        <w:tc>
          <w:tcPr>
            <w:tcW w:type="dxa" w:w="4939"/>
            <w:vAlign w:val="center"/>
          </w:tcPr>
          <w:p>
            <w:pPr>
              <w:spacing w:after="40"/>
            </w:pPr>
            <w:r>
              <w:rPr>
                <w:sz w:val="18"/>
              </w:rPr>
              <w:t>Profile name</w:t>
            </w:r>
          </w:p>
        </w:tc>
        <w:tc>
          <w:tcPr>
            <w:tcW w:type="dxa" w:w="4939"/>
            <w:vAlign w:val="center"/>
          </w:tcPr>
          <w:p>
            <w:pPr>
              <w:spacing w:after="40"/>
            </w:pPr>
            <w:r>
              <w:rPr>
                <w:sz w:val="18"/>
              </w:rPr>
              <w:t>String required and trimmed length 2 to 100.</w:t>
            </w:r>
          </w:p>
        </w:tc>
      </w:tr>
      <w:tr>
        <w:tc>
          <w:tcPr>
            <w:tcW w:type="dxa" w:w="4939"/>
            <w:vAlign w:val="center"/>
          </w:tcPr>
          <w:p>
            <w:pPr>
              <w:spacing w:after="40"/>
            </w:pPr>
            <w:r>
              <w:rPr>
                <w:sz w:val="18"/>
              </w:rPr>
              <w:t>Password change</w:t>
            </w:r>
          </w:p>
        </w:tc>
        <w:tc>
          <w:tcPr>
            <w:tcW w:type="dxa" w:w="4939"/>
            <w:vAlign w:val="center"/>
          </w:tcPr>
          <w:p>
            <w:pPr>
              <w:spacing w:after="40"/>
            </w:pPr>
            <w:r>
              <w:rPr>
                <w:sz w:val="18"/>
              </w:rPr>
              <w:t>Required fields, current password check, new-password limits, confirmation, and changed-password check.</w:t>
            </w:r>
          </w:p>
        </w:tc>
      </w:tr>
    </w:tbl>
    <w:p/>
    <w:p>
      <w:r>
        <w:br w:type="page"/>
      </w:r>
    </w:p>
    <w:p>
      <w:pPr>
        <w:pStyle w:val="Heading1"/>
        <w:keepNext/>
      </w:pPr>
      <w:r>
        <w:t>14. Security and Privacy Considerations</w:t>
      </w:r>
    </w:p>
    <w:p>
      <w:pPr>
        <w:pStyle w:val="ListBullet"/>
        <w:spacing w:after="60"/>
      </w:pPr>
      <w:r>
        <w:t>Passwords are hashed before being persisted, and the password hash is excluded from normal User queries.</w:t>
      </w:r>
    </w:p>
    <w:p>
      <w:pPr>
        <w:pStyle w:val="ListBullet"/>
        <w:spacing w:after="60"/>
      </w:pPr>
      <w:r>
        <w:t>A signed token is stored in an HTTP-only cookie, which prevents ordinary page scripts from reading the cookie value.</w:t>
      </w:r>
    </w:p>
    <w:p>
      <w:pPr>
        <w:pStyle w:val="ListBullet"/>
        <w:spacing w:after="60"/>
      </w:pPr>
      <w:r>
        <w:t>The cookie uses sameSite strict and sets secure in production. The token expires after one hour.</w:t>
      </w:r>
    </w:p>
    <w:p>
      <w:pPr>
        <w:pStyle w:val="ListBullet"/>
        <w:spacing w:after="60"/>
      </w:pPr>
      <w:r>
        <w:t>Protected routes use middleware to verify the token and load the user before continuing.</w:t>
      </w:r>
    </w:p>
    <w:p>
      <w:pPr>
        <w:pStyle w:val="ListBullet"/>
        <w:spacing w:after="60"/>
      </w:pPr>
      <w:r>
        <w:t>Transaction list and mutation operations scope queries to the authenticated owner.</w:t>
      </w:r>
    </w:p>
    <w:p>
      <w:pPr>
        <w:pStyle w:val="ListBullet"/>
        <w:spacing w:after="60"/>
      </w:pPr>
      <w:r>
        <w:t>The CSV export escapes quotes and prefixes formula-like values to reduce spreadsheet formula injection risk.</w:t>
      </w:r>
    </w:p>
    <w:p>
      <w:pPr>
        <w:pStyle w:val="ListBullet"/>
        <w:spacing w:after="60"/>
      </w:pPr>
      <w:r>
        <w:t>The repository’s local environment file must remain private; credentials and signing secrets should not be committed or reproduced in reports.</w:t>
      </w:r>
    </w:p>
    <w:p>
      <w:pPr>
        <w:spacing w:after="120"/>
      </w:pPr>
      <w:r>
        <w:t>These controls are visible in the inspected implementation but do not replace a full security review. Deployment should also use HTTPS, a strong secret, carefully controlled database access, backups, dependency updates, and appropriate request-rate controls. These deployment practices are recommendations; this report does not claim they have been configured.</w:t>
      </w:r>
    </w:p>
    <w:p>
      <w:r>
        <w:br w:type="page"/>
      </w:r>
    </w:p>
    <w:p>
      <w:pPr>
        <w:pStyle w:val="Heading1"/>
        <w:keepNext/>
      </w:pPr>
      <w:r>
        <w:t>15. Detailed Frontend and User Interface</w:t>
      </w:r>
    </w:p>
    <w:p>
      <w:pPr>
        <w:spacing w:after="120"/>
      </w:pPr>
      <w:r>
        <w:t>The user interface is contained in public/index.html and uses a single HTML document with separate sections for the home page, login, registration, profile, transactions, dashboard, and budget views. Navigation changes the visible section and uses the browser URL hash to retain the selected view. A shared status area presents messages, and status regions on key views use ARIA live roles so assistive technology can announce updates.</w:t>
      </w:r>
    </w:p>
    <w:p>
      <w:pPr>
        <w:pStyle w:val="Heading2"/>
        <w:keepNext/>
      </w:pPr>
      <w:r>
        <w:t>15.1 Main Screens</w:t>
      </w:r>
    </w:p>
    <w:tbl>
      <w:tblPr>
        <w:tblStyle w:val="LightShading-Accent1"/>
        <w:tblW w:type="auto" w:w="0"/>
        <w:tblLook w:firstColumn="1" w:firstRow="1" w:lastColumn="0" w:lastRow="0" w:noHBand="0" w:noVBand="1" w:val="04A0"/>
      </w:tblPr>
      <w:tblGrid>
        <w:gridCol w:w="4939"/>
        <w:gridCol w:w="4939"/>
      </w:tblGrid>
      <w:tr>
        <w:tc>
          <w:tcPr>
            <w:tcW w:type="dxa" w:w="4939"/>
            <w:shd w:fill="1F3864"/>
          </w:tcPr>
          <w:p>
            <w:r>
              <w:rPr>
                <w:b/>
                <w:color w:val="FFFFFF"/>
                <w:sz w:val="18"/>
              </w:rPr>
              <w:t>Screen</w:t>
            </w:r>
          </w:p>
        </w:tc>
        <w:tc>
          <w:tcPr>
            <w:tcW w:type="dxa" w:w="4939"/>
            <w:shd w:fill="1F3864"/>
          </w:tcPr>
          <w:p>
            <w:r>
              <w:rPr>
                <w:b/>
                <w:color w:val="FFFFFF"/>
                <w:sz w:val="18"/>
              </w:rPr>
              <w:t>Purpose and controls visible in source</w:t>
            </w:r>
          </w:p>
        </w:tc>
      </w:tr>
      <w:tr>
        <w:tc>
          <w:tcPr>
            <w:tcW w:type="dxa" w:w="4939"/>
          </w:tcPr>
          <w:p>
            <w:pPr>
              <w:spacing w:after="40"/>
            </w:pPr>
            <w:r>
              <w:rPr>
                <w:sz w:val="18"/>
              </w:rPr>
              <w:t>Home</w:t>
            </w:r>
          </w:p>
        </w:tc>
        <w:tc>
          <w:tcPr>
            <w:tcW w:type="dxa" w:w="4939"/>
          </w:tcPr>
          <w:p>
            <w:pPr>
              <w:spacing w:after="40"/>
            </w:pPr>
            <w:r>
              <w:rPr>
                <w:sz w:val="18"/>
              </w:rPr>
              <w:t>Introduces the application and explains account-based use, income/expenses, and budgets/reports.</w:t>
            </w:r>
          </w:p>
        </w:tc>
      </w:tr>
      <w:tr>
        <w:tc>
          <w:tcPr>
            <w:tcW w:type="dxa" w:w="4939"/>
          </w:tcPr>
          <w:p>
            <w:pPr>
              <w:spacing w:after="40"/>
            </w:pPr>
            <w:r>
              <w:rPr>
                <w:sz w:val="18"/>
              </w:rPr>
              <w:t>Login</w:t>
            </w:r>
          </w:p>
        </w:tc>
        <w:tc>
          <w:tcPr>
            <w:tcW w:type="dxa" w:w="4939"/>
          </w:tcPr>
          <w:p>
            <w:pPr>
              <w:spacing w:after="40"/>
            </w:pPr>
            <w:r>
              <w:rPr>
                <w:sz w:val="18"/>
              </w:rPr>
              <w:t>Accepts email and password.</w:t>
            </w:r>
          </w:p>
        </w:tc>
      </w:tr>
      <w:tr>
        <w:tc>
          <w:tcPr>
            <w:tcW w:type="dxa" w:w="4939"/>
          </w:tcPr>
          <w:p>
            <w:pPr>
              <w:spacing w:after="40"/>
            </w:pPr>
            <w:r>
              <w:rPr>
                <w:sz w:val="18"/>
              </w:rPr>
              <w:t>Registration</w:t>
            </w:r>
          </w:p>
        </w:tc>
        <w:tc>
          <w:tcPr>
            <w:tcW w:type="dxa" w:w="4939"/>
          </w:tcPr>
          <w:p>
            <w:pPr>
              <w:spacing w:after="40"/>
            </w:pPr>
            <w:r>
              <w:rPr>
                <w:sz w:val="18"/>
              </w:rPr>
              <w:t>Collects name, email, password, and confirmation; includes password guidance.</w:t>
            </w:r>
          </w:p>
        </w:tc>
      </w:tr>
      <w:tr>
        <w:tc>
          <w:tcPr>
            <w:tcW w:type="dxa" w:w="4939"/>
          </w:tcPr>
          <w:p>
            <w:pPr>
              <w:spacing w:after="40"/>
            </w:pPr>
            <w:r>
              <w:rPr>
                <w:sz w:val="18"/>
              </w:rPr>
              <w:t>Profile</w:t>
            </w:r>
          </w:p>
        </w:tc>
        <w:tc>
          <w:tcPr>
            <w:tcW w:type="dxa" w:w="4939"/>
          </w:tcPr>
          <w:p>
            <w:pPr>
              <w:spacing w:after="40"/>
            </w:pPr>
            <w:r>
              <w:rPr>
                <w:sz w:val="18"/>
              </w:rPr>
              <w:t>Displays name and email; includes a name update form and password change form.</w:t>
            </w:r>
          </w:p>
        </w:tc>
      </w:tr>
      <w:tr>
        <w:tc>
          <w:tcPr>
            <w:tcW w:type="dxa" w:w="4939"/>
          </w:tcPr>
          <w:p>
            <w:pPr>
              <w:spacing w:after="40"/>
            </w:pPr>
            <w:r>
              <w:rPr>
                <w:sz w:val="18"/>
              </w:rPr>
              <w:t>Transactions</w:t>
            </w:r>
          </w:p>
        </w:tc>
        <w:tc>
          <w:tcPr>
            <w:tcW w:type="dxa" w:w="4939"/>
          </w:tcPr>
          <w:p>
            <w:pPr>
              <w:spacing w:after="40"/>
            </w:pPr>
            <w:r>
              <w:rPr>
                <w:sz w:val="18"/>
              </w:rPr>
              <w:t>Add or edit income/expense, choose category, date, payment method, and notes; view history, filter, paginate, edit/delete, and export CSV.</w:t>
            </w:r>
          </w:p>
        </w:tc>
      </w:tr>
      <w:tr>
        <w:tc>
          <w:tcPr>
            <w:tcW w:type="dxa" w:w="4939"/>
          </w:tcPr>
          <w:p>
            <w:pPr>
              <w:spacing w:after="40"/>
            </w:pPr>
            <w:r>
              <w:rPr>
                <w:sz w:val="18"/>
              </w:rPr>
              <w:t>Monthly dashboard</w:t>
            </w:r>
          </w:p>
        </w:tc>
        <w:tc>
          <w:tcPr>
            <w:tcW w:type="dxa" w:w="4939"/>
          </w:tcPr>
          <w:p>
            <w:pPr>
              <w:spacing w:after="40"/>
            </w:pPr>
            <w:r>
              <w:rPr>
                <w:sz w:val="18"/>
              </w:rPr>
              <w:t>Select a month; view income, expenses, balance, transaction count, budget comparison, and expenses by category.</w:t>
            </w:r>
          </w:p>
        </w:tc>
      </w:tr>
      <w:tr>
        <w:tc>
          <w:tcPr>
            <w:tcW w:type="dxa" w:w="4939"/>
          </w:tcPr>
          <w:p>
            <w:pPr>
              <w:spacing w:after="40"/>
            </w:pPr>
            <w:r>
              <w:rPr>
                <w:sz w:val="18"/>
              </w:rPr>
              <w:t>Monthly budget</w:t>
            </w:r>
          </w:p>
        </w:tc>
        <w:tc>
          <w:tcPr>
            <w:tcW w:type="dxa" w:w="4939"/>
          </w:tcPr>
          <w:p>
            <w:pPr>
              <w:spacing w:after="40"/>
            </w:pPr>
            <w:r>
              <w:rPr>
                <w:sz w:val="18"/>
              </w:rPr>
              <w:t>Select a month, load an existing budget, enter an amount, and save it.</w:t>
            </w:r>
          </w:p>
        </w:tc>
      </w:tr>
    </w:tbl>
    <w:p/>
    <w:p>
      <w:pPr>
        <w:pStyle w:val="Heading2"/>
        <w:keepNext/>
      </w:pPr>
      <w:r>
        <w:t>15.2 Browser-to-Server Interaction</w:t>
      </w:r>
    </w:p>
    <w:p>
      <w:pPr>
        <w:spacing w:after="120"/>
      </w:pPr>
      <w:r>
        <w:t>The browser code uses fetch requests to call the application API. Forms handle submission events, update visible status messages, and refresh relevant data after successful operations. Transaction editing reuses the transaction form and supports cancellation of edit mode. Category options respond to the selected transaction type. History filters are submitted as search parameters, while the export action builds a matching filtered URL and downloads the CSV response.</w:t>
      </w:r>
    </w:p>
    <w:p>
      <w:pPr>
        <w:spacing w:after="120"/>
      </w:pPr>
      <w:r>
        <w:t>The page defines responsive layout styles using flexible widths and wrapping navigation. Form labels and input controls are connected using identifiers, required fields are indicated in HTML, and status elements provide feedback. These UI behaviors are based on source inspection; visual appearance and accessibility should still be confirmed in the target browser.</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MULTI-USER EXPENSE TRACKER  |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Multi-User Expense Tracker Project Report</dc:title>
  <dc:subject>Software project report for a web-based personal expense tracker</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