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vvb91v8yy5j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720" w:firstLine="0"/>
        <w:rPr/>
      </w:pPr>
      <w:bookmarkStart w:colFirst="0" w:colLast="0" w:name="_9ct0mi2mmfe4" w:id="1"/>
      <w:bookmarkEnd w:id="1"/>
      <w:r w:rsidDel="00000000" w:rsidR="00000000" w:rsidRPr="00000000">
        <w:rPr>
          <w:rtl w:val="0"/>
        </w:rPr>
        <w:t xml:space="preserve">Joy Ajara Tennison Razak- 10211100360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gjpeirmblaf9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Streamlit-Based Machine Learning and AI Explorer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Streamlit application provides an interactive platform for exploring various machine learning and AI tasks through four integrated sections: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vt8yiman1ak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Regression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allows users to analyze relationships between variables and make predictions: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regression datasets in CSV format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target variable for prediction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 data (handle missing values, encode categorical variables)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linear regression models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performance with metrics like MAE and R² score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predictions versus actual values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custom predictions with new input data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7d7hld3g5y5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Clustering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helps users discover natural groupings in data: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datasets containing at least two features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Interactively select the desired number of clusters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clusters in 2D or 3D plots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cluster centroids and membership assignments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clustered data with added labels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f29rtmq6wpk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Neural Networks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 framework for building and training neural networks: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classification datasets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target variable and hyperparameters (epochs, learning rate)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feedforward neural networks using TensorFlow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training with real-time performance graphs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model with new samples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pcyw7fn687w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Large Language Model (RAG Approach)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advanced component demonstrates Retrieval-Augmented Generation using Ghana's 2025 Budget Statement: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user queries about the budget document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relevant context using vector similarity search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responses with Mistral-7B-Instruct LLM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answers with supporting context and confidence scores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more factually grounded responses compared to standard LLM approaches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emphasizes user interaction, visualization, and practical exploration of machine learning and AI concepts.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