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3F3E1B" w:rsidRPr="003F3E1B">
          <w:rPr>
            <w:sz w:val="40"/>
          </w:rPr>
          <w:t>ICD</w:t>
        </w:r>
        <w:r w:rsidR="00A335CA">
          <w:rPr>
            <w:sz w:val="40"/>
          </w:rPr>
          <w:t>XX</w:t>
        </w:r>
      </w:fldSimple>
    </w:p>
    <w:p w:rsidR="000E3490" w:rsidRPr="003D3DB5" w:rsidRDefault="00123EF8" w:rsidP="000E3490">
      <w:pPr>
        <w:pStyle w:val="ReportTitle"/>
      </w:pPr>
      <w:fldSimple w:instr=" TITLE  \* MERGEFORMAT ">
        <w:r w:rsidR="003F3E1B">
          <w:t>G</w:t>
        </w:r>
        <w:r w:rsidR="00A335CA">
          <w:t>DS to Gemini ICD</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Nicolas A. Barriga, Carlos Quiroz, Arturo N</w:t>
      </w:r>
      <w:r w:rsidRPr="003F3E1B">
        <w:rPr>
          <w:noProof/>
        </w:rPr>
        <w:t>úñez</w:t>
      </w:r>
    </w:p>
    <w:p w:rsidR="000E3490" w:rsidRPr="00BD6118" w:rsidRDefault="000E3490">
      <w:pPr>
        <w:pStyle w:val="ReportAuthor"/>
      </w:pPr>
    </w:p>
    <w:p w:rsidR="000E3490" w:rsidRDefault="000E3490">
      <w:pPr>
        <w:pStyle w:val="ReportAuthor"/>
      </w:pPr>
    </w:p>
    <w:p w:rsidR="000E3490" w:rsidRDefault="00123EF8"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ICD</w:t>
        </w:r>
        <w:r w:rsidR="00A335CA">
          <w:rPr>
            <w:b w:val="0"/>
          </w:rPr>
          <w:t>XX</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123EF8">
        <w:fldChar w:fldCharType="begin"/>
      </w:r>
      <w:r>
        <w:instrText xml:space="preserve"> SAVEDATE \@ "MMMM d, yyyy" \* MERGEFORMAT </w:instrText>
      </w:r>
      <w:r w:rsidR="00123EF8">
        <w:fldChar w:fldCharType="separate"/>
      </w:r>
      <w:r w:rsidR="00A84C61">
        <w:rPr>
          <w:noProof/>
        </w:rPr>
        <w:t>May 27, 2011</w:t>
      </w:r>
      <w:r w:rsidR="00123EF8">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D143DA" w:rsidRDefault="00123EF8">
          <w:pPr>
            <w:pStyle w:val="TOC1"/>
            <w:tabs>
              <w:tab w:val="left" w:pos="382"/>
              <w:tab w:val="right" w:leader="dot" w:pos="9458"/>
            </w:tabs>
            <w:rPr>
              <w:rFonts w:eastAsiaTheme="minorEastAsia" w:cstheme="minorBidi"/>
              <w:b w:val="0"/>
              <w:noProof/>
            </w:rPr>
          </w:pPr>
          <w:r w:rsidRPr="00123EF8">
            <w:fldChar w:fldCharType="begin"/>
          </w:r>
          <w:r w:rsidR="006A473F">
            <w:instrText xml:space="preserve"> TOC \o "1-3" \h \z \u </w:instrText>
          </w:r>
          <w:r w:rsidRPr="00123EF8">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sidR="00D143DA">
            <w:rPr>
              <w:noProof/>
            </w:rPr>
            <w:fldChar w:fldCharType="begin"/>
          </w:r>
          <w:r w:rsidR="00D143DA">
            <w:rPr>
              <w:noProof/>
            </w:rPr>
            <w:instrText xml:space="preserve"> PAGEREF _Toc168132040 \h </w:instrText>
          </w:r>
          <w:r w:rsidR="00CF166F">
            <w:rPr>
              <w:noProof/>
            </w:rPr>
          </w:r>
          <w:r w:rsidR="00D143DA">
            <w:rPr>
              <w:noProof/>
            </w:rPr>
            <w:fldChar w:fldCharType="separate"/>
          </w:r>
          <w:r w:rsidR="00D143DA">
            <w:rPr>
              <w:noProof/>
            </w:rPr>
            <w:t>1</w:t>
          </w:r>
          <w:r w:rsidR="00D143DA">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Pr>
              <w:noProof/>
            </w:rPr>
            <w:fldChar w:fldCharType="begin"/>
          </w:r>
          <w:r>
            <w:rPr>
              <w:noProof/>
            </w:rPr>
            <w:instrText xml:space="preserve"> PAGEREF _Toc168132041 \h </w:instrText>
          </w:r>
          <w:r w:rsidR="00CF166F">
            <w:rPr>
              <w:noProof/>
            </w:rPr>
          </w:r>
          <w:r>
            <w:rPr>
              <w:noProof/>
            </w:rPr>
            <w:fldChar w:fldCharType="separate"/>
          </w:r>
          <w:r>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Pr>
              <w:noProof/>
            </w:rPr>
            <w:fldChar w:fldCharType="begin"/>
          </w:r>
          <w:r>
            <w:rPr>
              <w:noProof/>
            </w:rPr>
            <w:instrText xml:space="preserve"> PAGEREF _Toc168132044 \h </w:instrText>
          </w:r>
          <w:r w:rsidR="00CF166F">
            <w:rPr>
              <w:noProof/>
            </w:rPr>
          </w:r>
          <w:r>
            <w:rPr>
              <w:noProof/>
            </w:rPr>
            <w:fldChar w:fldCharType="separate"/>
          </w:r>
          <w:r>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Pr>
              <w:noProof/>
            </w:rPr>
            <w:fldChar w:fldCharType="begin"/>
          </w:r>
          <w:r>
            <w:rPr>
              <w:noProof/>
            </w:rPr>
            <w:instrText xml:space="preserve"> PAGEREF _Toc168132045 \h </w:instrText>
          </w:r>
          <w:r w:rsidR="00CF166F">
            <w:rPr>
              <w:noProof/>
            </w:rPr>
          </w:r>
          <w:r>
            <w:rPr>
              <w:noProof/>
            </w:rPr>
            <w:fldChar w:fldCharType="separate"/>
          </w:r>
          <w:r>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Pr>
              <w:noProof/>
            </w:rPr>
            <w:fldChar w:fldCharType="begin"/>
          </w:r>
          <w:r>
            <w:rPr>
              <w:noProof/>
            </w:rPr>
            <w:instrText xml:space="preserve"> PAGEREF _Toc168132046 \h </w:instrText>
          </w:r>
          <w:r w:rsidR="00CF166F">
            <w:rPr>
              <w:noProof/>
            </w:rPr>
          </w:r>
          <w:r>
            <w:rPr>
              <w:noProof/>
            </w:rPr>
            <w:fldChar w:fldCharType="separate"/>
          </w:r>
          <w:r>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Pr>
              <w:noProof/>
            </w:rPr>
            <w:fldChar w:fldCharType="begin"/>
          </w:r>
          <w:r>
            <w:rPr>
              <w:noProof/>
            </w:rPr>
            <w:instrText xml:space="preserve"> PAGEREF _Toc168132047 \h </w:instrText>
          </w:r>
          <w:r w:rsidR="00CF166F">
            <w:rPr>
              <w:noProof/>
            </w:rPr>
          </w:r>
          <w:r>
            <w:rPr>
              <w:noProof/>
            </w:rPr>
            <w:fldChar w:fldCharType="separate"/>
          </w:r>
          <w:r>
            <w:rPr>
              <w:noProof/>
            </w:rPr>
            <w:t>1</w:t>
          </w:r>
          <w:r>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Pr>
              <w:noProof/>
            </w:rPr>
            <w:fldChar w:fldCharType="begin"/>
          </w:r>
          <w:r>
            <w:rPr>
              <w:noProof/>
            </w:rPr>
            <w:instrText xml:space="preserve"> PAGEREF _Toc168132048 \h </w:instrText>
          </w:r>
          <w:r w:rsidR="00CF166F">
            <w:rPr>
              <w:noProof/>
            </w:rPr>
          </w:r>
          <w:r>
            <w:rPr>
              <w:noProof/>
            </w:rPr>
            <w:fldChar w:fldCharType="separate"/>
          </w:r>
          <w:r>
            <w:rPr>
              <w:noProof/>
            </w:rPr>
            <w:t>1</w:t>
          </w:r>
          <w:r>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Pr>
              <w:noProof/>
            </w:rPr>
            <w:fldChar w:fldCharType="begin"/>
          </w:r>
          <w:r>
            <w:rPr>
              <w:noProof/>
            </w:rPr>
            <w:instrText xml:space="preserve"> PAGEREF _Toc168132049 \h </w:instrText>
          </w:r>
          <w:r w:rsidR="00CF166F">
            <w:rPr>
              <w:noProof/>
            </w:rPr>
          </w:r>
          <w:r>
            <w:rPr>
              <w:noProof/>
            </w:rPr>
            <w:fldChar w:fldCharType="separate"/>
          </w:r>
          <w:r>
            <w:rPr>
              <w:noProof/>
            </w:rPr>
            <w:t>2</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Pr>
              <w:noProof/>
            </w:rPr>
            <w:fldChar w:fldCharType="begin"/>
          </w:r>
          <w:r>
            <w:rPr>
              <w:noProof/>
            </w:rPr>
            <w:instrText xml:space="preserve"> PAGEREF _Toc168132050 \h </w:instrText>
          </w:r>
          <w:r w:rsidR="00CF166F">
            <w:rPr>
              <w:noProof/>
            </w:rPr>
          </w:r>
          <w:r>
            <w:rPr>
              <w:noProof/>
            </w:rPr>
            <w:fldChar w:fldCharType="separate"/>
          </w:r>
          <w:r>
            <w:rPr>
              <w:noProof/>
            </w:rPr>
            <w:t>2</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Pr>
              <w:noProof/>
            </w:rPr>
            <w:fldChar w:fldCharType="begin"/>
          </w:r>
          <w:r>
            <w:rPr>
              <w:noProof/>
            </w:rPr>
            <w:instrText xml:space="preserve"> PAGEREF _Toc168132051 \h </w:instrText>
          </w:r>
          <w:r w:rsidR="00CF166F">
            <w:rPr>
              <w:noProof/>
            </w:rPr>
          </w:r>
          <w:r>
            <w:rPr>
              <w:noProof/>
            </w:rPr>
            <w:fldChar w:fldCharType="separate"/>
          </w:r>
          <w:r>
            <w:rPr>
              <w:noProof/>
            </w:rPr>
            <w:t>2</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Pr>
              <w:noProof/>
            </w:rPr>
            <w:fldChar w:fldCharType="begin"/>
          </w:r>
          <w:r>
            <w:rPr>
              <w:noProof/>
            </w:rPr>
            <w:instrText xml:space="preserve"> PAGEREF _Toc168132052 \h </w:instrText>
          </w:r>
          <w:r w:rsidR="00CF166F">
            <w:rPr>
              <w:noProof/>
            </w:rPr>
          </w:r>
          <w:r>
            <w:rPr>
              <w:noProof/>
            </w:rPr>
            <w:fldChar w:fldCharType="separate"/>
          </w:r>
          <w:r>
            <w:rPr>
              <w:noProof/>
            </w:rPr>
            <w:t>2</w:t>
          </w:r>
          <w:r>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Pr>
              <w:noProof/>
            </w:rPr>
            <w:fldChar w:fldCharType="begin"/>
          </w:r>
          <w:r>
            <w:rPr>
              <w:noProof/>
            </w:rPr>
            <w:instrText xml:space="preserve"> PAGEREF _Toc168132053 \h </w:instrText>
          </w:r>
          <w:r w:rsidR="00CF166F">
            <w:rPr>
              <w:noProof/>
            </w:rPr>
          </w:r>
          <w:r>
            <w:rPr>
              <w:noProof/>
            </w:rPr>
            <w:fldChar w:fldCharType="separate"/>
          </w:r>
          <w:r>
            <w:rPr>
              <w:noProof/>
            </w:rPr>
            <w:t>2</w:t>
          </w:r>
          <w:r>
            <w:rPr>
              <w:noProof/>
            </w:rPr>
            <w:fldChar w:fldCharType="end"/>
          </w:r>
        </w:p>
        <w:p w:rsidR="006A473F" w:rsidRDefault="00123EF8">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2040"/>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rsidR="000E3490" w:rsidRPr="00985408" w:rsidRDefault="00424CFA" w:rsidP="005A4074">
      <w:pPr>
        <w:pStyle w:val="Heading2"/>
      </w:pPr>
      <w:bookmarkStart w:id="8" w:name="_Toc123038138"/>
      <w:bookmarkStart w:id="9" w:name="_Toc168132041"/>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D143DA">
              <w:rPr>
                <w:noProof/>
              </w:rPr>
              <w:t>[</w:t>
            </w:r>
            <w:hyperlink w:anchor="Kim1" w:history="1">
              <w:r w:rsidR="00D143DA">
                <w:rPr>
                  <w:rStyle w:val="Footer"/>
                  <w:noProof/>
                </w:rPr>
                <w:t>1</w:t>
              </w:r>
            </w:hyperlink>
            <w:r w:rsidR="00D143DA">
              <w:rPr>
                <w:noProof/>
              </w:rPr>
              <w:t>]</w:t>
            </w:r>
          </w:fldSimple>
        </w:sdtContent>
      </w:sdt>
      <w:r w:rsidRPr="00985408">
        <w:t xml:space="preserve"> and </w:t>
      </w:r>
      <w:sdt>
        <w:sdtPr>
          <w:id w:val="249096690"/>
          <w:citation/>
        </w:sdtPr>
        <w:sdtContent>
          <w:fldSimple w:instr=" CITATION Kim \l 1033  ">
            <w:r w:rsidR="00D143DA">
              <w:rPr>
                <w:noProof/>
              </w:rPr>
              <w:t>[</w:t>
            </w:r>
            <w:hyperlink w:anchor="Kim" w:history="1">
              <w:r w:rsidR="00D143DA">
                <w:rPr>
                  <w:rStyle w:val="Footer"/>
                  <w:noProof/>
                </w:rPr>
                <w:t>2</w:t>
              </w:r>
            </w:hyperlink>
            <w:r w:rsidR="00D143DA">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204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r w:rsidRPr="00D60172">
        <w:rPr>
          <w:rStyle w:val="Code"/>
          <w:color w:val="000000"/>
        </w:rPr>
        <w:t>unsubscribeToStatus</w:t>
      </w:r>
      <w:r w:rsidRPr="00D60172">
        <w:t>.</w:t>
      </w:r>
    </w:p>
    <w:p w:rsidR="000E3490" w:rsidRDefault="00424CFA" w:rsidP="005A4074">
      <w:pPr>
        <w:pStyle w:val="Heading2"/>
      </w:pPr>
      <w:bookmarkStart w:id="15" w:name="_Toc123038141"/>
      <w:bookmarkStart w:id="16" w:name="_Toc16813204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color w:val="auto"/>
          <w:u w:val="none"/>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D143DA" w:rsidRDefault="00123EF8" w:rsidP="00D143DA">
              <w:pPr>
                <w:pStyle w:val="Bibliography"/>
                <w:rPr>
                  <w:noProof/>
                  <w:vanish/>
                </w:rPr>
              </w:pPr>
              <w:r>
                <w:fldChar w:fldCharType="begin"/>
              </w:r>
              <w:r w:rsidR="005A4074">
                <w:instrText xml:space="preserve"> BIBLIOGRAPHY </w:instrText>
              </w:r>
              <w:r>
                <w:fldChar w:fldCharType="separate"/>
              </w:r>
              <w:r w:rsidR="00D143DA">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D143DA">
                <w:trPr>
                  <w:tblCellSpacing w:w="15" w:type="dxa"/>
                </w:trPr>
                <w:tc>
                  <w:tcPr>
                    <w:tcW w:w="0" w:type="auto"/>
                    <w:shd w:val="clear" w:color="auto" w:fill="auto"/>
                  </w:tcPr>
                  <w:p w:rsidR="00D143DA" w:rsidRDefault="00D143DA">
                    <w:pPr>
                      <w:pStyle w:val="Bibliography"/>
                      <w:jc w:val="right"/>
                      <w:rPr>
                        <w:noProof/>
                      </w:rPr>
                    </w:pPr>
                    <w:r>
                      <w:rPr>
                        <w:noProof/>
                      </w:rPr>
                      <w:t>[1]</w:t>
                    </w:r>
                  </w:p>
                </w:tc>
                <w:tc>
                  <w:tcPr>
                    <w:tcW w:w="0" w:type="auto"/>
                    <w:shd w:val="clear" w:color="auto" w:fill="auto"/>
                  </w:tcPr>
                  <w:p w:rsidR="00D143DA" w:rsidRDefault="00D143DA">
                    <w:pPr>
                      <w:pStyle w:val="Bibliography"/>
                      <w:rPr>
                        <w:noProof/>
                      </w:rPr>
                    </w:pPr>
                    <w:r>
                      <w:rPr>
                        <w:noProof/>
                      </w:rPr>
                      <w:t>Kim Gillies and Arturo Nunez, "Aspen GIAPI Design and Use," 2006.</w:t>
                    </w:r>
                  </w:p>
                </w:tc>
              </w:tr>
              <w:tr w:rsidR="00D143DA">
                <w:trPr>
                  <w:tblCellSpacing w:w="15" w:type="dxa"/>
                </w:trPr>
                <w:tc>
                  <w:tcPr>
                    <w:tcW w:w="0" w:type="auto"/>
                    <w:shd w:val="clear" w:color="auto" w:fill="auto"/>
                  </w:tcPr>
                  <w:p w:rsidR="00D143DA" w:rsidRDefault="00D143DA">
                    <w:pPr>
                      <w:pStyle w:val="Bibliography"/>
                      <w:jc w:val="right"/>
                      <w:rPr>
                        <w:noProof/>
                      </w:rPr>
                    </w:pPr>
                    <w:r>
                      <w:rPr>
                        <w:noProof/>
                      </w:rPr>
                      <w:t>[2]</w:t>
                    </w:r>
                  </w:p>
                </w:tc>
                <w:tc>
                  <w:tcPr>
                    <w:tcW w:w="0" w:type="auto"/>
                    <w:shd w:val="clear" w:color="auto" w:fill="auto"/>
                  </w:tcPr>
                  <w:p w:rsidR="00D143DA" w:rsidRDefault="00D143DA">
                    <w:pPr>
                      <w:pStyle w:val="Bibliography"/>
                      <w:rPr>
                        <w:noProof/>
                      </w:rPr>
                    </w:pPr>
                    <w:r>
                      <w:rPr>
                        <w:noProof/>
                      </w:rPr>
                      <w:t>Kim Gillies, "Guidelines for Designing Gemini Aspen Instrument Software," 2004.</w:t>
                    </w:r>
                  </w:p>
                </w:tc>
              </w:tr>
              <w:tr w:rsidR="00D143DA">
                <w:trPr>
                  <w:tblCellSpacing w:w="15" w:type="dxa"/>
                </w:trPr>
                <w:tc>
                  <w:tcPr>
                    <w:tcW w:w="0" w:type="auto"/>
                    <w:shd w:val="clear" w:color="auto" w:fill="auto"/>
                  </w:tcPr>
                  <w:p w:rsidR="00D143DA" w:rsidRDefault="00D143DA">
                    <w:pPr>
                      <w:pStyle w:val="Bibliography"/>
                      <w:jc w:val="right"/>
                      <w:rPr>
                        <w:noProof/>
                      </w:rPr>
                    </w:pPr>
                    <w:bookmarkStart w:id="18" w:name="FIT"/>
                    <w:r>
                      <w:rPr>
                        <w:noProof/>
                      </w:rPr>
                      <w:t>[3]</w:t>
                    </w:r>
                    <w:bookmarkEnd w:id="18"/>
                  </w:p>
                </w:tc>
                <w:tc>
                  <w:tcPr>
                    <w:tcW w:w="0" w:type="auto"/>
                    <w:shd w:val="clear" w:color="auto" w:fill="auto"/>
                  </w:tcPr>
                  <w:p w:rsidR="00D143DA" w:rsidRDefault="00D143DA">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D143DA" w:rsidRDefault="00D143DA" w:rsidP="00D143DA">
              <w:pPr>
                <w:pStyle w:val="Bibliography"/>
                <w:rPr>
                  <w:noProof/>
                  <w:vanish/>
                </w:rPr>
              </w:pPr>
              <w:r>
                <w:rPr>
                  <w:noProof/>
                  <w:vanish/>
                </w:rPr>
                <w:t>x</w:t>
              </w:r>
            </w:p>
            <w:p w:rsidR="000E3490" w:rsidRPr="00E633A6" w:rsidRDefault="00123EF8"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19" w:name="_Toc65298752"/>
      <w:bookmarkStart w:id="20" w:name="_Toc65300594"/>
      <w:bookmarkStart w:id="21" w:name="_Toc123038143"/>
      <w:bookmarkStart w:id="22" w:name="_Toc168132048"/>
      <w:bookmarkEnd w:id="19"/>
      <w:bookmarkEnd w:id="20"/>
      <w:r w:rsidRPr="00614138">
        <w:t xml:space="preserve">Overview of </w:t>
      </w:r>
      <w:bookmarkEnd w:id="21"/>
      <w:r w:rsidR="00593DB9">
        <w:t>the Gemini Data Service</w:t>
      </w:r>
      <w:bookmarkEnd w:id="22"/>
    </w:p>
    <w:p w:rsidR="000E3490" w:rsidRPr="0034735D" w:rsidRDefault="0034735D" w:rsidP="0034735D">
      <w:pPr>
        <w:pStyle w:val="NormalFirst"/>
      </w:pPr>
      <w:r>
        <w:t>Add general description of the GDS. Take from doxygen docs. Add a few diagrams</w:t>
      </w:r>
    </w:p>
    <w:p w:rsidR="008259AE" w:rsidRDefault="00593DB9" w:rsidP="00352B1C">
      <w:pPr>
        <w:pStyle w:val="Heading1"/>
      </w:pPr>
      <w:bookmarkStart w:id="23" w:name="_Ref52450088"/>
      <w:bookmarkStart w:id="24" w:name="_Toc168132049"/>
      <w:r>
        <w:t>GDS &lt;-&gt; OCS Interface</w:t>
      </w:r>
      <w:bookmarkStart w:id="25" w:name="_Ref24605105"/>
      <w:bookmarkEnd w:id="23"/>
      <w:bookmarkEnd w:id="24"/>
    </w:p>
    <w:p w:rsidR="008259AE" w:rsidRDefault="008259AE" w:rsidP="008259AE">
      <w:pPr>
        <w:pStyle w:val="Heading2"/>
      </w:pPr>
      <w:bookmarkStart w:id="26" w:name="_Toc168132050"/>
      <w:r>
        <w:t>GDS &lt;-&gt; ODB Interface</w:t>
      </w:r>
      <w:bookmarkEnd w:id="26"/>
    </w:p>
    <w:p w:rsidR="008259AE" w:rsidRDefault="008259AE" w:rsidP="008259AE">
      <w:pPr>
        <w:pStyle w:val="NormalFirst"/>
      </w:pPr>
      <w:r>
        <w:t>Document which data is taken from the ODB and how</w:t>
      </w:r>
    </w:p>
    <w:p w:rsidR="0034735D" w:rsidRPr="008259AE" w:rsidRDefault="008259AE" w:rsidP="008259AE">
      <w:pPr>
        <w:pStyle w:val="Heading2"/>
      </w:pPr>
      <w:bookmarkStart w:id="27" w:name="_Toc168132051"/>
      <w:r>
        <w:t>GDS &lt;-&gt; Seqexec Interface</w:t>
      </w:r>
      <w:bookmarkEnd w:id="27"/>
    </w:p>
    <w:p w:rsidR="000E3490" w:rsidRPr="0034735D" w:rsidRDefault="0034735D" w:rsidP="0034735D">
      <w:pPr>
        <w:pStyle w:val="NormalFirst"/>
      </w:pPr>
      <w:r>
        <w:t>Document which commands/data is sent by seqexec to GDS and how. Also add the new seqexec&lt;-&gt; DHS usage pattern.</w:t>
      </w:r>
    </w:p>
    <w:p w:rsidR="0034735D" w:rsidRDefault="00593DB9" w:rsidP="008259AE">
      <w:pPr>
        <w:pStyle w:val="Heading2"/>
      </w:pPr>
      <w:bookmarkStart w:id="28" w:name="_Toc168132052"/>
      <w:bookmarkEnd w:id="25"/>
      <w:r>
        <w:t>GDS &lt;-&gt; EPICS Interface</w:t>
      </w:r>
      <w:bookmarkEnd w:id="28"/>
    </w:p>
    <w:p w:rsidR="000E3490" w:rsidRPr="0034735D" w:rsidRDefault="0034735D" w:rsidP="0034735D">
      <w:pPr>
        <w:pStyle w:val="NormalFirst"/>
      </w:pPr>
      <w:r>
        <w:t>Document which EPICS channel are read by GDS</w:t>
      </w:r>
    </w:p>
    <w:p w:rsidR="0034735D" w:rsidRDefault="00593DB9" w:rsidP="000E3490">
      <w:pPr>
        <w:pStyle w:val="Heading1"/>
      </w:pPr>
      <w:bookmarkStart w:id="29" w:name="_Toc168132053"/>
      <w:r>
        <w:t>GDS &lt;-&gt; Instrument Interface</w:t>
      </w:r>
      <w:bookmarkEnd w:id="29"/>
      <w:r>
        <w:t xml:space="preserve"> </w:t>
      </w:r>
    </w:p>
    <w:p w:rsidR="00104B5F" w:rsidRDefault="00104B5F" w:rsidP="0034735D">
      <w:pPr>
        <w:pStyle w:val="NormalFirst"/>
      </w:pPr>
    </w:p>
    <w:p w:rsidR="00D80625" w:rsidRDefault="00D80625" w:rsidP="0034735D">
      <w:pPr>
        <w:pStyle w:val="NormalFirst"/>
      </w:pPr>
      <w:r>
        <w:t xml:space="preserve">According to </w:t>
      </w:r>
      <w:sdt>
        <w:sdtPr>
          <w:id w:val="251130717"/>
          <w:citation/>
        </w:sdtPr>
        <w:sdtContent>
          <w:fldSimple w:instr=" CITATION Kim1 \l 1033 ">
            <w:r w:rsidR="00D143DA">
              <w:rPr>
                <w:noProof/>
              </w:rPr>
              <w:t>[</w:t>
            </w:r>
            <w:hyperlink w:anchor="Kim1" w:history="1">
              <w:r w:rsidR="00D143DA">
                <w:rPr>
                  <w:rStyle w:val="Footer"/>
                  <w:noProof/>
                </w:rPr>
                <w:t>1</w:t>
              </w:r>
            </w:hyperlink>
            <w:r w:rsidR="00D143DA">
              <w:rPr>
                <w:noProof/>
              </w:rPr>
              <w:t>]</w:t>
            </w:r>
          </w:fldSimple>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fldSimple w:instr=" CITATION FIT \l 1033 ">
            <w:r w:rsidR="00D143DA">
              <w:rPr>
                <w:noProof/>
              </w:rPr>
              <w:t>[</w:t>
            </w:r>
            <w:hyperlink w:anchor="FIT" w:history="1">
              <w:r w:rsidR="00D143DA">
                <w:rPr>
                  <w:rStyle w:val="Footer"/>
                  <w:noProof/>
                </w:rPr>
                <w:t>3</w:t>
              </w:r>
            </w:hyperlink>
            <w:r w:rsidR="00D143DA">
              <w:rPr>
                <w:noProof/>
              </w:rPr>
              <w:t>]</w:t>
            </w:r>
          </w:fldSimple>
        </w:sdtContent>
      </w:sdt>
      <w:r>
        <w:t xml:space="preserve"> file generated</w:t>
      </w:r>
      <w:r w:rsidRPr="00D80625">
        <w:t xml:space="preserve"> </w:t>
      </w:r>
      <w:r>
        <w:t>by the instrument.</w:t>
      </w:r>
    </w:p>
    <w:p w:rsidR="00D80625" w:rsidRDefault="00D80625" w:rsidP="00D80625">
      <w:r>
        <w:t>The data collection is done at specific points during an observation, called observation events</w:t>
      </w:r>
      <w:r w:rsidR="003B0779">
        <w:t xml:space="preserve">, described at </w:t>
      </w:r>
      <w:sdt>
        <w:sdtPr>
          <w:id w:val="251130745"/>
          <w:citation/>
        </w:sdtPr>
        <w:sdtContent>
          <w:fldSimple w:instr=" CITATION Kim1 \l 1033 ">
            <w:r w:rsidR="003B0779">
              <w:rPr>
                <w:noProof/>
              </w:rPr>
              <w:t>[</w:t>
            </w:r>
            <w:hyperlink w:anchor="Kim1" w:history="1">
              <w:r w:rsidR="003B0779">
                <w:rPr>
                  <w:rStyle w:val="Footer"/>
                  <w:noProof/>
                </w:rPr>
                <w:t>1</w:t>
              </w:r>
            </w:hyperlink>
            <w:r w:rsidR="003B0779">
              <w:rPr>
                <w:noProof/>
              </w:rPr>
              <w:t>]</w:t>
            </w:r>
          </w:fldSimple>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rsidR="00D80625" w:rsidRDefault="00D80625" w:rsidP="00D80625"/>
    <w:tbl>
      <w:tblPr>
        <w:tblStyle w:val="ColorfulGrid-Accent1"/>
        <w:tblW w:w="9072" w:type="dxa"/>
        <w:tblInd w:w="756" w:type="dxa"/>
        <w:tblLook w:val="0400"/>
      </w:tblPr>
      <w:tblGrid>
        <w:gridCol w:w="2298"/>
        <w:gridCol w:w="2274"/>
        <w:gridCol w:w="2385"/>
        <w:gridCol w:w="2115"/>
      </w:tblGrid>
      <w:tr w:rsidR="00D80625">
        <w:trPr>
          <w:cnfStyle w:val="000000100000"/>
          <w:trHeight w:val="609"/>
        </w:trPr>
        <w:tc>
          <w:tcPr>
            <w:tcW w:w="2298" w:type="dxa"/>
            <w:shd w:val="clear" w:color="auto" w:fill="548DD4" w:themeFill="text2" w:themeFillTint="99"/>
          </w:tcPr>
          <w:p w:rsidR="00D80625" w:rsidRDefault="00D80625">
            <w:r>
              <w:t>Status Item</w:t>
            </w:r>
          </w:p>
        </w:tc>
        <w:tc>
          <w:tcPr>
            <w:tcW w:w="2274" w:type="dxa"/>
            <w:shd w:val="clear" w:color="auto" w:fill="548DD4" w:themeFill="text2" w:themeFillTint="99"/>
          </w:tcPr>
          <w:p w:rsidR="00D80625" w:rsidRDefault="00D80625">
            <w:r>
              <w:t>FITS Keyword</w:t>
            </w:r>
          </w:p>
        </w:tc>
        <w:tc>
          <w:tcPr>
            <w:tcW w:w="2385" w:type="dxa"/>
            <w:shd w:val="clear" w:color="auto" w:fill="548DD4" w:themeFill="text2" w:themeFillTint="99"/>
          </w:tcPr>
          <w:p w:rsidR="00D80625" w:rsidRDefault="00D80625">
            <w:r>
              <w:t>Observation Event</w:t>
            </w:r>
          </w:p>
        </w:tc>
        <w:tc>
          <w:tcPr>
            <w:tcW w:w="2115" w:type="dxa"/>
            <w:shd w:val="clear" w:color="auto" w:fill="548DD4" w:themeFill="text2" w:themeFillTint="99"/>
          </w:tcPr>
          <w:p w:rsidR="00D80625" w:rsidRDefault="00D80625">
            <w:r>
              <w:t>Data Type</w:t>
            </w:r>
          </w:p>
        </w:tc>
      </w:tr>
      <w:tr w:rsidR="00D80625">
        <w:trPr>
          <w:trHeight w:val="365"/>
        </w:trPr>
        <w:tc>
          <w:tcPr>
            <w:tcW w:w="2298" w:type="dxa"/>
          </w:tcPr>
          <w:p w:rsidR="00D80625" w:rsidRDefault="00D80625">
            <w:r>
              <w:t>gpi:status</w:t>
            </w:r>
          </w:p>
        </w:tc>
        <w:tc>
          <w:tcPr>
            <w:tcW w:w="2274" w:type="dxa"/>
          </w:tcPr>
          <w:p w:rsidR="00D80625" w:rsidRDefault="00D80625">
            <w:r>
              <w:t>STATUS</w:t>
            </w:r>
          </w:p>
        </w:tc>
        <w:tc>
          <w:tcPr>
            <w:tcW w:w="2385" w:type="dxa"/>
          </w:tcPr>
          <w:p w:rsidR="00D80625" w:rsidRDefault="00D80625">
            <w:r>
              <w:t>OBS_START_ACQ</w:t>
            </w:r>
          </w:p>
        </w:tc>
        <w:tc>
          <w:tcPr>
            <w:tcW w:w="2115" w:type="dxa"/>
          </w:tcPr>
          <w:p w:rsidR="00D80625" w:rsidRDefault="00D80625">
            <w:r>
              <w:t>DOUBLE</w:t>
            </w:r>
          </w:p>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bl>
    <w:p w:rsidR="000E3490" w:rsidRPr="008726D3" w:rsidRDefault="000E3490" w:rsidP="00F83EBB">
      <w:pPr>
        <w:ind w:left="0"/>
        <w:rPr>
          <w:rStyle w:val="Code"/>
          <w:b/>
          <w:noProof/>
          <w:kern w:val="32"/>
          <w:u w:val="single"/>
        </w:rPr>
      </w:pPr>
    </w:p>
    <w:sectPr w:rsidR="000E3490" w:rsidRPr="008726D3" w:rsidSect="000E3490">
      <w:headerReference w:type="default" r:id="rId11"/>
      <w:footerReference w:type="default" r:id="rId12"/>
      <w:footerReference w:type="first" r:id="rId13"/>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6F" w:rsidRDefault="00CF166F"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CF166F" w:rsidRDefault="00CF166F"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6F" w:rsidRDefault="00CF166F"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sidR="00315567">
      <w:rPr>
        <w:rStyle w:val="PageNumber"/>
        <w:noProof/>
      </w:rPr>
      <w:t>iii</w:t>
    </w:r>
    <w:r>
      <w:rPr>
        <w:rStyle w:val="PageNumber"/>
      </w:rPr>
      <w:fldChar w:fldCharType="end"/>
    </w:r>
  </w:p>
  <w:p w:rsidR="00CF166F" w:rsidRPr="00A335CA" w:rsidRDefault="00CF166F"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CF166F" w:rsidRDefault="00CF166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6F" w:rsidRDefault="00CF166F"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315567" w:rsidRPr="00315567">
        <w:rPr>
          <w:b w:val="0"/>
          <w:noProof/>
        </w:rPr>
        <w:t>1</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6F" w:rsidRDefault="00CF166F">
    <w:pPr>
      <w:pStyle w:val="Footer"/>
    </w:pPr>
  </w:p>
  <w:p w:rsidR="00CF166F" w:rsidRDefault="00CF166F"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123EF8">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0" w:name="_Ref7425757"/>
    <w:bookmarkStart w:id="31" w:name="_Toc478453722"/>
    <w:bookmarkStart w:id="32" w:name="_Toc482440233"/>
    <w:bookmarkStart w:id="33" w:name="_Ref522027700"/>
  </w:p>
  <w:bookmarkEnd w:id="30"/>
  <w:bookmarkEnd w:id="31"/>
  <w:bookmarkEnd w:id="32"/>
  <w:bookmarkEnd w:id="33"/>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6F" w:rsidRDefault="00CF166F" w:rsidP="000E3490">
    <w:pPr>
      <w:pStyle w:val="Footer"/>
      <w:tabs>
        <w:tab w:val="clear" w:pos="9639"/>
        <w:tab w:val="left" w:pos="4140"/>
        <w:tab w:val="right" w:pos="9360"/>
      </w:tabs>
    </w:pPr>
    <w:r>
      <w:fldChar w:fldCharType="begin"/>
    </w:r>
    <w:r>
      <w:instrText xml:space="preserve"> REF _Ref7425757 \h </w:instrText>
    </w:r>
    <w:r>
      <w:fldChar w:fldCharType="separate"/>
    </w:r>
  </w:p>
  <w:p w:rsidR="00CF166F" w:rsidRDefault="00CF166F">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3">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4">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5">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6">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7">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2"/>
  </w:num>
  <w:num w:numId="4">
    <w:abstractNumId w:val="11"/>
  </w:num>
  <w:num w:numId="5">
    <w:abstractNumId w:val="0"/>
  </w:num>
  <w:num w:numId="6">
    <w:abstractNumId w:val="10"/>
  </w:num>
  <w:num w:numId="7">
    <w:abstractNumId w:val="8"/>
  </w:num>
  <w:num w:numId="8">
    <w:abstractNumId w:val="4"/>
  </w:num>
  <w:num w:numId="9">
    <w:abstractNumId w:val="7"/>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500D0"/>
    <w:rsid w:val="00174F22"/>
    <w:rsid w:val="001F6776"/>
    <w:rsid w:val="00210BCE"/>
    <w:rsid w:val="00246F76"/>
    <w:rsid w:val="00253ADD"/>
    <w:rsid w:val="00266083"/>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F372F"/>
    <w:rsid w:val="00540EC1"/>
    <w:rsid w:val="005643FF"/>
    <w:rsid w:val="00593DB9"/>
    <w:rsid w:val="005A4074"/>
    <w:rsid w:val="005C44CD"/>
    <w:rsid w:val="005F03D5"/>
    <w:rsid w:val="0060069D"/>
    <w:rsid w:val="00613189"/>
    <w:rsid w:val="00631070"/>
    <w:rsid w:val="00657F2B"/>
    <w:rsid w:val="00693986"/>
    <w:rsid w:val="006A0965"/>
    <w:rsid w:val="006A473F"/>
    <w:rsid w:val="006A5F51"/>
    <w:rsid w:val="00744321"/>
    <w:rsid w:val="00752FA9"/>
    <w:rsid w:val="00797633"/>
    <w:rsid w:val="007F5716"/>
    <w:rsid w:val="008259AE"/>
    <w:rsid w:val="0086596C"/>
    <w:rsid w:val="00881551"/>
    <w:rsid w:val="008D102C"/>
    <w:rsid w:val="008E2263"/>
    <w:rsid w:val="008F4634"/>
    <w:rsid w:val="008F5C87"/>
    <w:rsid w:val="00900582"/>
    <w:rsid w:val="009248FD"/>
    <w:rsid w:val="009457B2"/>
    <w:rsid w:val="00974301"/>
    <w:rsid w:val="009932A5"/>
    <w:rsid w:val="00994D62"/>
    <w:rsid w:val="009D2E15"/>
    <w:rsid w:val="009D6449"/>
    <w:rsid w:val="009E7FC0"/>
    <w:rsid w:val="00A335CA"/>
    <w:rsid w:val="00A84C61"/>
    <w:rsid w:val="00AB6900"/>
    <w:rsid w:val="00AE24D3"/>
    <w:rsid w:val="00B10D20"/>
    <w:rsid w:val="00B248FB"/>
    <w:rsid w:val="00B33AC8"/>
    <w:rsid w:val="00BC581D"/>
    <w:rsid w:val="00C727AB"/>
    <w:rsid w:val="00CF166F"/>
    <w:rsid w:val="00D143DA"/>
    <w:rsid w:val="00D47074"/>
    <w:rsid w:val="00D5249F"/>
    <w:rsid w:val="00D80625"/>
    <w:rsid w:val="00D84948"/>
    <w:rsid w:val="00D97F70"/>
    <w:rsid w:val="00DC731B"/>
    <w:rsid w:val="00DE40A0"/>
    <w:rsid w:val="00E24BBA"/>
    <w:rsid w:val="00E278A5"/>
    <w:rsid w:val="00E36660"/>
    <w:rsid w:val="00E42939"/>
    <w:rsid w:val="00E633A6"/>
    <w:rsid w:val="00EB5B7B"/>
    <w:rsid w:val="00EF35B0"/>
    <w:rsid w:val="00F0480A"/>
    <w:rsid w:val="00F6039F"/>
    <w:rsid w:val="00F83EBB"/>
    <w:rsid w:val="00FD6B28"/>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Hyperlink" w:uiPriority="99"/>
    <w:lsdException w:name="Colorful Grid Accent 1" w:uiPriority="73"/>
    <w:lsdException w:name="TOC Heading" w:uiPriority="39" w:qFormat="1"/>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A844882B-B83F-BB45-91A2-82D303FF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85</TotalTime>
  <Pages>5</Pages>
  <Words>640</Words>
  <Characters>3652</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4484</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GIAPI C++ Language Glue API</dc:title>
  <dc:subject/>
  <dc:creator>Arturo Núñez, Kim Gillies</dc:creator>
  <cp:keywords/>
  <dc:description/>
  <cp:lastModifiedBy>Nicolas Barriga</cp:lastModifiedBy>
  <cp:revision>17</cp:revision>
  <cp:lastPrinted>2009-12-21T21:09:00Z</cp:lastPrinted>
  <dcterms:created xsi:type="dcterms:W3CDTF">2011-05-27T16:45:00Z</dcterms:created>
  <dcterms:modified xsi:type="dcterms:W3CDTF">2011-05-27T20:27:00Z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GIAPIC++ICD50-02042008</vt:lpwstr>
  </property>
  <property fmtid="{D5CDD505-2E9C-101B-9397-08002B2CF9AE}" pid="3" name="Version">
    <vt:lpwstr>08</vt:lpwstr>
  </property>
  <property fmtid="{D5CDD505-2E9C-101B-9397-08002B2CF9AE}" pid="4" name="ICD Number">
    <vt:lpwstr>ICD50</vt:lpwstr>
  </property>
</Properties>
</file>