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Features overview ― the what and where of biodiversity</w:t>
      </w:r>
    </w:p>
    <w:p>
      <w:pPr>
        <w:pStyle w:val="Author"/>
      </w:pPr>
      <w:r>
        <w:t xml:space="preserve">Paul Gordijn</w:t>
      </w:r>
    </w:p>
    <w:p>
      <w:pPr>
        <w:pStyle w:val="Author"/>
      </w:pPr>
      <w:r>
        <w:t xml:space="preserve">Felicity Elliot</w:t>
      </w:r>
    </w:p>
    <w:p>
      <w:pPr>
        <w:pStyle w:val="Author"/>
      </w:pPr>
      <w:r>
        <w:t xml:space="preserve">Shannon Rushworth</w:t>
      </w:r>
    </w:p>
    <w:p>
      <w:pPr>
        <w:pStyle w:val="Author"/>
      </w:pPr>
      <w:r>
        <w:t xml:space="preserve">Andy Blackmore</w:t>
      </w:r>
    </w:p>
    <w:p>
      <w:pPr>
        <w:pStyle w:val="Author"/>
      </w:pPr>
      <w:r>
        <w:t xml:space="preserve">Craig Mulqueeny</w:t>
      </w:r>
    </w:p>
    <w:p>
      <w:pPr>
        <w:pStyle w:val="Author"/>
      </w:pPr>
      <w:r>
        <w:t xml:space="preserve">Ian Rushworth</w:t>
      </w:r>
    </w:p>
    <w:p>
      <w:pPr>
        <w:pStyle w:val="Author"/>
      </w:pPr>
      <w:r>
        <w:t xml:space="preserve">Adrian Armstrong</w:t>
      </w:r>
    </w:p>
    <w:p>
      <w:pPr>
        <w:pStyle w:val="Author"/>
      </w:pPr>
      <w:r>
        <w:t xml:space="preserve">Clinton Carbutt</w:t>
      </w:r>
    </w:p>
    <w:p>
      <w:pPr>
        <w:pStyle w:val="Author"/>
      </w:pPr>
      <w:r>
        <w:t xml:space="preserve">Brent Coverdale</w:t>
      </w:r>
    </w:p>
    <w:p>
      <w:pPr>
        <w:pStyle w:val="Author"/>
      </w:pPr>
      <w:r>
        <w:t xml:space="preserve">Debbie Jewitt</w:t>
      </w:r>
    </w:p>
    <w:p>
      <w:pPr>
        <w:pStyle w:val="Author"/>
      </w:pPr>
      <w:r>
        <w:t xml:space="preserve">Skhumuzo Khubeka</w:t>
      </w:r>
    </w:p>
    <w:p>
      <w:pPr>
        <w:pStyle w:val="AbstractTitle"/>
      </w:pPr>
      <w:r>
        <w:t xml:space="preserve">Abstract</w:t>
      </w:r>
    </w:p>
    <w:p>
      <w:pPr>
        <w:pStyle w:val="Abstract"/>
      </w:pPr>
      <w:r>
        <w:t xml:space="preserve">Accurate representation of features in a landscape, that is, the what and where of biodiversity, is critical for a robust conservation plan. The systematic collation of the what and where of biodiversity helps guarantee that the plan considers the current space used by biodiversity features ― enabling survival ― and future habitat that is critical, under current climate change tradjectories, to support the persistence of biodiversity.</w:t>
      </w:r>
    </w:p>
    <w:bookmarkStart w:id="14" w:name="chap-ecosys-layer"/>
    <w:p>
      <w:pPr>
        <w:pStyle w:val="Heading1"/>
      </w:pPr>
      <w:r>
        <w:t xml:space="preserve">The what and where of biodiversity</w:t>
      </w:r>
    </w:p>
    <w:p>
      <w:pPr>
        <w:pStyle w:val="FirstParagraph"/>
      </w:pPr>
      <w:r>
        <w:t xml:space="preserve">For robust representation of biodiversity, and associated ecosystem infrastructure and services into the future, the what and where of biodiversity has to be considered. Moreover, the functions of biodiversity, and associated ecosystems, also need to be considered for accurate representation when attempting to ensure conservation of these features.</w:t>
      </w:r>
    </w:p>
    <w:p>
      <w:pPr>
        <w:pStyle w:val="BodyText"/>
      </w:pPr>
      <w:r>
        <w:t xml:space="preserve">In order to maximise representation of biodiversity in a landscape, the conservation planning process adopts a two-pronged approach, specifically:</w:t>
      </w:r>
    </w:p>
    <w:p>
      <w:pPr>
        <w:pStyle w:val="Compact"/>
        <w:numPr>
          <w:ilvl w:val="0"/>
          <w:numId w:val="1001"/>
        </w:numPr>
      </w:pPr>
      <w:r>
        <w:t xml:space="preserve">a</w:t>
      </w:r>
      <w:r>
        <w:t xml:space="preserve"> </w:t>
      </w:r>
      <w:r>
        <w:rPr>
          <w:b/>
          <w:bCs/>
        </w:rPr>
        <w:t xml:space="preserve">wide-ranging</w:t>
      </w:r>
      <w:r>
        <w:t xml:space="preserve"> </w:t>
      </w:r>
      <w:r>
        <w:t xml:space="preserve">(or coarse-filter): “Ecosystem representation” approach (see</w:t>
      </w:r>
      <w:r>
        <w:t xml:space="preserve"> </w:t>
      </w:r>
      <w:hyperlink r:id="rId9">
        <w:r>
          <w:rPr>
            <w:rStyle w:val="Hyperlink"/>
          </w:rPr>
          <w:t xml:space="preserve">Ecosystems</w:t>
        </w:r>
      </w:hyperlink>
      <w:r>
        <w:t xml:space="preserve">), and</w:t>
      </w:r>
      <w:r>
        <w:br/>
      </w:r>
    </w:p>
    <w:p>
      <w:pPr>
        <w:pStyle w:val="Compact"/>
        <w:numPr>
          <w:ilvl w:val="0"/>
          <w:numId w:val="1001"/>
        </w:numPr>
      </w:pPr>
      <w:r>
        <w:t xml:space="preserve">a</w:t>
      </w:r>
      <w:r>
        <w:t xml:space="preserve"> </w:t>
      </w:r>
      <w:r>
        <w:rPr>
          <w:b/>
          <w:bCs/>
        </w:rPr>
        <w:t xml:space="preserve">targeted</w:t>
      </w:r>
      <w:r>
        <w:t xml:space="preserve"> </w:t>
      </w:r>
      <w:r>
        <w:t xml:space="preserve">(or fine-filter): “Species representation” approach (see section</w:t>
      </w:r>
      <w:r>
        <w:t xml:space="preserve"> </w:t>
      </w:r>
      <w:hyperlink r:id="rId10">
        <w:r>
          <w:rPr>
            <w:rStyle w:val="Hyperlink"/>
          </w:rPr>
          <w:t xml:space="preserve">Species</w:t>
        </w:r>
      </w:hyperlink>
      <w:r>
        <w:t xml:space="preserve">)</w:t>
      </w:r>
      <w:r>
        <w:t xml:space="preserve"> </w:t>
      </w:r>
      <w:r>
        <w:t xml:space="preserve">(SANBI and UNEP-WCMC 2024)</w:t>
      </w:r>
      <w:r>
        <w:t xml:space="preserve">.</w:t>
      </w:r>
    </w:p>
    <w:p>
      <w:pPr>
        <w:pStyle w:val="FirstParagraph"/>
      </w:pPr>
      <w:r>
        <w:t xml:space="preserve">Representation of the ecosystem types in the area-of-interest largely fulfils the</w:t>
      </w:r>
      <w:r>
        <w:t xml:space="preserve"> </w:t>
      </w:r>
      <w:r>
        <w:rPr>
          <w:b/>
          <w:bCs/>
        </w:rPr>
        <w:t xml:space="preserve">wide-ranging</w:t>
      </w:r>
      <w:r>
        <w:t xml:space="preserve"> </w:t>
      </w:r>
      <w:r>
        <w:t xml:space="preserve">component, that is, if the SCP incorporates the full diversity of ecosystems, it is likely to represent their constituent taxa. The complementary approach, that is, the</w:t>
      </w:r>
      <w:r>
        <w:t xml:space="preserve"> </w:t>
      </w:r>
      <w:r>
        <w:rPr>
          <w:b/>
          <w:bCs/>
        </w:rPr>
        <w:t xml:space="preserve">targeted</w:t>
      </w:r>
      <w:r>
        <w:t xml:space="preserve"> </w:t>
      </w:r>
      <w:r>
        <w:t xml:space="preserve">approach, caters for specific, threatened taxa, or those not operating within the parameters of represented ecosystems</w:t>
      </w:r>
      <w:r>
        <w:t xml:space="preserve"> </w:t>
      </w:r>
      <w:r>
        <w:t xml:space="preserve">(Margules and Pressey 2000)</w:t>
      </w:r>
      <w:r>
        <w:t xml:space="preserve">.</w:t>
      </w:r>
    </w:p>
    <w:bookmarkStart w:id="13" w:name="refs"/>
    <w:bookmarkStart w:id="11" w:name="ref-margules2000scp"/>
    <w:p>
      <w:pPr>
        <w:pStyle w:val="Bibliography"/>
      </w:pPr>
      <w:r>
        <w:t xml:space="preserve">Margules, Christopher Robert, and Robert L Pressey. 2000.</w:t>
      </w:r>
      <w:r>
        <w:t xml:space="preserve"> </w:t>
      </w:r>
      <w:r>
        <w:t xml:space="preserve">“Systematic Conservation Planning.”</w:t>
      </w:r>
      <w:r>
        <w:t xml:space="preserve"> </w:t>
      </w:r>
      <w:r>
        <w:rPr>
          <w:i/>
          <w:iCs/>
        </w:rPr>
        <w:t xml:space="preserve">Nature</w:t>
      </w:r>
      <w:r>
        <w:t xml:space="preserve"> </w:t>
      </w:r>
      <w:r>
        <w:t xml:space="preserve">405 (6783): 243–53.</w:t>
      </w:r>
    </w:p>
    <w:bookmarkEnd w:id="11"/>
    <w:bookmarkStart w:id="12" w:name="ref-sanbi2024mbp"/>
    <w:p>
      <w:pPr>
        <w:pStyle w:val="Bibliography"/>
      </w:pPr>
      <w:r>
        <w:t xml:space="preserve">SANBI, and UNEP-WCMC. 2024.</w:t>
      </w:r>
      <w:r>
        <w:t xml:space="preserve"> </w:t>
      </w:r>
      <w:r>
        <w:rPr>
          <w:i/>
          <w:iCs/>
        </w:rPr>
        <w:t xml:space="preserve">Mapping Biodiversity Priorities: A Practical Approach to Spatial Biodiversity Assessment and Priortisation to Inform National Policy, Planning, Decisions and Action</w:t>
      </w:r>
      <w:r>
        <w:t xml:space="preserve">. 2nd ed. South African National Biodiversity Institute. Pretoria, ZA.</w:t>
      </w:r>
    </w:p>
    <w:bookmarkEnd w:id="12"/>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features_ecosystems.qmd" TargetMode="External" /><Relationship Type="http://schemas.openxmlformats.org/officeDocument/2006/relationships/hyperlink" Id="rId10" Target="features_spp_intro.qmd" TargetMode="External" /></Relationships>
</file>

<file path=word/_rels/footnotes.xml.rels><?xml version="1.0" encoding="UTF-8"?><Relationships xmlns="http://schemas.openxmlformats.org/package/2006/relationships"><Relationship Type="http://schemas.openxmlformats.org/officeDocument/2006/relationships/hyperlink" Id="rId9" Target="features_ecosystems.qmd" TargetMode="External" /><Relationship Type="http://schemas.openxmlformats.org/officeDocument/2006/relationships/hyperlink" Id="rId10" Target="features_spp_intro.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Features overview ― the what and where of biodiversity</dc:title>
  <dc:creator>Paul Gordijn; Felicity Elliot; Shannon Rushworth; Andy Blackmore; Craig Mulqueeny; Ian Rushworth; Adrian Armstrong; Clinton Carbutt; Brent Coverdale; Debbie Jewitt; Skhumuzo Khubeka</dc:creator>
  <cp:keywords/>
  <dcterms:created xsi:type="dcterms:W3CDTF">2026-03-30T09:01:57Z</dcterms:created>
  <dcterms:modified xsi:type="dcterms:W3CDTF">2026-03-30T09:01:57Z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Accurate representation of features in a landscape, that is, the what and where of biodiversity, is critical for a robust conservation plan. The systematic collation of the what and where of biodiversity helps guarantee that the plan considers the current space used by biodiversity features ― enabling survival ― and future habitat that is critical, under current climate change tradjectories, to support the persistence of biodiversity.</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/home/paulg/refs/bspi.bib</vt:lpwstr>
  </property>
  <property fmtid="{D5CDD505-2E9C-101B-9397-08002B2CF9AE}" pid="7" name="by-affiliation">
    <vt:lpwstr/>
  </property>
  <property fmtid="{D5CDD505-2E9C-101B-9397-08002B2CF9AE}" pid="8" name="by-author">
    <vt:lpwstr/>
  </property>
  <property fmtid="{D5CDD505-2E9C-101B-9397-08002B2CF9AE}" pid="9" name="engines">
    <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itle-block-banner">
    <vt:lpwstr>True</vt:lpwstr>
  </property>
  <property fmtid="{D5CDD505-2E9C-101B-9397-08002B2CF9AE}" pid="16" name="toc-title">
    <vt:lpwstr>Table of contents</vt:lpwstr>
  </property>
</Properties>
</file>