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Species representation</w:t>
      </w:r>
    </w:p>
    <w:p>
      <w:pPr>
        <w:pStyle w:val="Author"/>
      </w:pPr>
      <w:r>
        <w:t xml:space="preserve">Paul Gordijn</w:t>
      </w:r>
    </w:p>
    <w:p>
      <w:pPr>
        <w:pStyle w:val="Author"/>
      </w:pPr>
      <w:r>
        <w:t xml:space="preserve">Felicity Elliot</w:t>
      </w:r>
    </w:p>
    <w:p>
      <w:pPr>
        <w:pStyle w:val="Author"/>
      </w:pPr>
      <w:r>
        <w:t xml:space="preserve">Shannon Rushworth</w:t>
      </w:r>
    </w:p>
    <w:p>
      <w:pPr>
        <w:pStyle w:val="Author"/>
      </w:pPr>
      <w:r>
        <w:t xml:space="preserve">Andy Blackmore</w:t>
      </w:r>
    </w:p>
    <w:p>
      <w:pPr>
        <w:pStyle w:val="Author"/>
      </w:pPr>
      <w:r>
        <w:t xml:space="preserve">Craig Mulqueeny</w:t>
      </w:r>
    </w:p>
    <w:p>
      <w:pPr>
        <w:pStyle w:val="Author"/>
      </w:pPr>
      <w:r>
        <w:t xml:space="preserve">Ian Rushworth</w:t>
      </w:r>
    </w:p>
    <w:p>
      <w:pPr>
        <w:pStyle w:val="Author"/>
      </w:pPr>
      <w:r>
        <w:t xml:space="preserve">Adrian Armstrong</w:t>
      </w:r>
    </w:p>
    <w:p>
      <w:pPr>
        <w:pStyle w:val="Author"/>
      </w:pPr>
      <w:r>
        <w:t xml:space="preserve">Clinton Carbutt</w:t>
      </w:r>
    </w:p>
    <w:p>
      <w:pPr>
        <w:pStyle w:val="Author"/>
      </w:pPr>
      <w:r>
        <w:t xml:space="preserve">Brent Coverdale</w:t>
      </w:r>
    </w:p>
    <w:p>
      <w:pPr>
        <w:pStyle w:val="Author"/>
      </w:pPr>
      <w:r>
        <w:t xml:space="preserve">Debbie Jewitt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21" w:name="sec-spp_crit"/>
    <w:p>
      <w:pPr>
        <w:pStyle w:val="Heading1"/>
      </w:pPr>
      <w:r>
        <w:t xml:space="preserve">Criteria for the selection of species</w:t>
      </w:r>
    </w:p>
    <w:bookmarkStart w:id="15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broad-ranging</w:t>
      </w:r>
      <w:r>
        <w:t xml:space="preserve"> </w:t>
      </w:r>
      <w:r>
        <w:t xml:space="preserve">ecosystem representation is complemented by a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approach that focuses on specific species (see</w:t>
      </w:r>
      <w:r>
        <w:t xml:space="preserve"> </w:t>
      </w:r>
      <w:r>
        <w:rPr>
          <w:b/>
          <w:bCs/>
        </w:rPr>
        <w:t xml:space="preserve">?@sec-spp-rep</w:t>
      </w:r>
      <w:r>
        <w:t xml:space="preserve">). The targeted approach required a systematic selection of species</w:t>
      </w:r>
      <w:r>
        <w:t xml:space="preserve"> </w:t>
      </w:r>
      <w:r>
        <w:t xml:space="preserve">(SANBI and UNEP-WCMC 2024)</w:t>
      </w:r>
      <w:r>
        <w:t xml:space="preserve">. Ezemvelo KZN Wildlife scientists and a broad range of stakeholders developed the criteria for the inclusion of species</w:t>
      </w:r>
      <w:r>
        <w:t xml:space="preserve"> </w:t>
      </w:r>
      <w:r>
        <w:t xml:space="preserve">(Elliot 2023)</w:t>
      </w:r>
      <w:r>
        <w:t xml:space="preserve">. For the KwaZulu-Natal conservation plan, these criteria were applied to each group of taxa:</w:t>
      </w:r>
      <w:r>
        <w:t xml:space="preserve"> </w:t>
      </w:r>
      <w:hyperlink r:id="rId9">
        <w:r>
          <w:rPr>
            <w:rStyle w:val="Hyperlink"/>
          </w:rPr>
          <w:t xml:space="preserve">Amphibians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Aquatic taxa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Invertebrates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Mammals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Plants</w:t>
        </w:r>
      </w:hyperlink>
      <w:r>
        <w:t xml:space="preserve">, and</w:t>
      </w:r>
      <w:r>
        <w:t xml:space="preserve"> </w:t>
      </w:r>
      <w:hyperlink r:id="rId14">
        <w:r>
          <w:rPr>
            <w:rStyle w:val="Hyperlink"/>
          </w:rPr>
          <w:t xml:space="preserve">Reptiles</w:t>
        </w:r>
      </w:hyperlink>
      <w:r>
        <w:t xml:space="preserve">.</w:t>
      </w:r>
    </w:p>
    <w:bookmarkEnd w:id="15"/>
    <w:bookmarkStart w:id="20" w:name="criteria-for-inclusion"/>
    <w:p>
      <w:pPr>
        <w:pStyle w:val="Heading2"/>
      </w:pPr>
      <w:r>
        <w:t xml:space="preserve">Criteria for inclusion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pp-criteri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Criteria for inclusion of species in the targeted approach.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691"/>
              <w:gridCol w:w="10355"/>
              <w:gridCol w:w="17971"/>
            </w:tblGrid>
            <w:tr>
              <w:trPr>
                <w:trHeight w:val="581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Criteria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Rules</w:t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Endemic to KwaZulu-Natal.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Feature must be triggered by ≥1 criterion; criteria equal weighting; may include uncertain data but removed if insufficient; consider age and accuracy of data.</w:t>
                  </w:r>
                </w:p>
              </w:tc>
            </w:tr>
            <w:tr>
              <w:trPr>
                <w:trHeight w:val="607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Near Endemic to KwaZulu-Natal (50–99% of taxon distribution falls within KwaZulu-Natal).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Threat status (CR, EN, Rare, VU, NT). Global or Regional. Highest threat status taken.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International obligation.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Umbrella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Isolated from core known range with genetic differences.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Edge of range species (may be well protected in KZN but globally/regionally threatened).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Life‑history stage essential for protection of species.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Species conservation plan or biodiversity management plan.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Other (specify).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58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Resource use threat.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  <w:tr>
              <w:trPr>
                <w:trHeight w:val="624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>Specific populations (e.g., Tembe elephants, berg eland).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DejaVu Sans" w:hAnsi="DejaVu Sans" w:eastAsia="DejaVu Sans" w:cs="DejaVu Sans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2E2828"/>
                    </w:rPr>
                    <w:t xml:space="preserve"/>
                  </w:r>
                </w:p>
              </w:tc>
            </w:tr>
          </w:tbl>
          <w:bookmarkEnd w:id="16"/>
        </w:tc>
      </w:tr>
    </w:tbl>
    <w:bookmarkStart w:id="19" w:name="refs"/>
    <w:bookmarkStart w:id="17" w:name="ref-elliot2023bcp"/>
    <w:p>
      <w:pPr>
        <w:pStyle w:val="Bibliography"/>
      </w:pPr>
      <w:r>
        <w:t xml:space="preserve">Elliot, Felicity. 2023.</w:t>
      </w:r>
      <w:r>
        <w:t xml:space="preserve"> </w:t>
      </w:r>
      <w:r>
        <w:rPr>
          <w:i/>
          <w:iCs/>
        </w:rPr>
        <w:t xml:space="preserve">Biodiversity Conservation Plan Background Document: Workshop for Steps, Gaps and Specialist Information to Be Presented</w:t>
      </w:r>
      <w:r>
        <w:t xml:space="preserve">. Technical report. Ezemvelo KZN Wildlife.</w:t>
      </w:r>
    </w:p>
    <w:bookmarkEnd w:id="17"/>
    <w:bookmarkStart w:id="18" w:name="ref-sanbi2024mbp"/>
    <w:p>
      <w:pPr>
        <w:pStyle w:val="Bibliography"/>
      </w:pPr>
      <w:r>
        <w:t xml:space="preserve">SANBI, and UNEP-WCMC. 2024.</w:t>
      </w:r>
      <w:r>
        <w:t xml:space="preserve"> </w:t>
      </w:r>
      <w:r>
        <w:rPr>
          <w:i/>
          <w:iCs/>
        </w:rPr>
        <w:t xml:space="preserve">Mapping Biodiversity Priorities: A Practical Approach to Spatial Biodiversity Assessment and Priortisation to Inform National Policy, Planning, Decisions and Action</w:t>
      </w:r>
      <w:r>
        <w:t xml:space="preserve">. 2nd ed. South African National Biodiversity Institute. Pretoria, ZA.</w:t>
      </w:r>
    </w:p>
    <w:bookmarkEnd w:id="18"/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eatures_spp_amphibians.qmd" TargetMode="External" /><Relationship Type="http://schemas.openxmlformats.org/officeDocument/2006/relationships/hyperlink" Id="rId10" Target="features_spp_aquatic.qmd" TargetMode="External" /><Relationship Type="http://schemas.openxmlformats.org/officeDocument/2006/relationships/hyperlink" Id="rId11" Target="features_spp_invertebrates.qmd" TargetMode="External" /><Relationship Type="http://schemas.openxmlformats.org/officeDocument/2006/relationships/hyperlink" Id="rId12" Target="features_spp_mammals.qmd" TargetMode="External" /><Relationship Type="http://schemas.openxmlformats.org/officeDocument/2006/relationships/hyperlink" Id="rId13" Target="features_spp_plants.qmd" TargetMode="External" /><Relationship Type="http://schemas.openxmlformats.org/officeDocument/2006/relationships/hyperlink" Id="rId14" Target="features_spp_reptil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eatures_spp_amphibians.qmd" TargetMode="External" /><Relationship Type="http://schemas.openxmlformats.org/officeDocument/2006/relationships/hyperlink" Id="rId10" Target="features_spp_aquatic.qmd" TargetMode="External" /><Relationship Type="http://schemas.openxmlformats.org/officeDocument/2006/relationships/hyperlink" Id="rId11" Target="features_spp_invertebrates.qmd" TargetMode="External" /><Relationship Type="http://schemas.openxmlformats.org/officeDocument/2006/relationships/hyperlink" Id="rId12" Target="features_spp_mammals.qmd" TargetMode="External" /><Relationship Type="http://schemas.openxmlformats.org/officeDocument/2006/relationships/hyperlink" Id="rId13" Target="features_spp_plants.qmd" TargetMode="External" /><Relationship Type="http://schemas.openxmlformats.org/officeDocument/2006/relationships/hyperlink" Id="rId14" Target="features_spp_reptil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Species representation</dc:title>
  <dc:creator>Paul Gordijn; Felicity Elliot; Shannon Rushworth; Andy Blackmore; Craig Mulqueeny; Ian Rushworth; Adrian Armstrong; Clinton Carbutt; Brent Coverdale; Debbie Jewitt; Skhumuzo Khubeka</dc:creator>
  <cp:keywords/>
  <dcterms:created xsi:type="dcterms:W3CDTF">2026-04-02T09:41:55Z</dcterms:created>
  <dcterms:modified xsi:type="dcterms:W3CDTF">2026-04-02T09:41:55Z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