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Species representation</w:t>
      </w:r>
    </w:p>
    <w:p>
      <w:pPr>
        <w:pStyle w:val="Author"/>
      </w:pPr>
      <w:r>
        <w:t xml:space="preserve">Paul Gordijn</w:t>
      </w:r>
    </w:p>
    <w:p>
      <w:pPr>
        <w:pStyle w:val="Author"/>
      </w:pPr>
      <w:r>
        <w:t xml:space="preserve">Felicity Elliot</w:t>
      </w:r>
    </w:p>
    <w:p>
      <w:pPr>
        <w:pStyle w:val="Author"/>
      </w:pPr>
      <w:r>
        <w:t xml:space="preserve">Shannon Rushworth</w:t>
      </w:r>
    </w:p>
    <w:p>
      <w:pPr>
        <w:pStyle w:val="Author"/>
      </w:pPr>
      <w:r>
        <w:t xml:space="preserve">Andy Blackmore</w:t>
      </w:r>
    </w:p>
    <w:p>
      <w:pPr>
        <w:pStyle w:val="Author"/>
      </w:pPr>
      <w:r>
        <w:t xml:space="preserve">Craig Mulqueeny</w:t>
      </w:r>
    </w:p>
    <w:p>
      <w:pPr>
        <w:pStyle w:val="Author"/>
      </w:pPr>
      <w:r>
        <w:t xml:space="preserve">Ian Rushworth</w:t>
      </w:r>
    </w:p>
    <w:p>
      <w:pPr>
        <w:pStyle w:val="Author"/>
      </w:pPr>
      <w:r>
        <w:t xml:space="preserve">Adrian Armstrong</w:t>
      </w:r>
    </w:p>
    <w:p>
      <w:pPr>
        <w:pStyle w:val="Author"/>
      </w:pPr>
      <w:r>
        <w:t xml:space="preserve">Clinton Carbutt</w:t>
      </w:r>
    </w:p>
    <w:p>
      <w:pPr>
        <w:pStyle w:val="Author"/>
      </w:pPr>
      <w:r>
        <w:t xml:space="preserve">Brent Coverdale</w:t>
      </w:r>
    </w:p>
    <w:p>
      <w:pPr>
        <w:pStyle w:val="Author"/>
      </w:pPr>
      <w:r>
        <w:t xml:space="preserve">Debbie Jewitt</w:t>
      </w:r>
    </w:p>
    <w:p>
      <w:pPr>
        <w:pStyle w:val="Author"/>
      </w:pPr>
      <w:r>
        <w:t xml:space="preserve">Skhumuzo Khubeka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10" w:name="sec-spp-rep"/>
    <w:p>
      <w:pPr>
        <w:pStyle w:val="Heading1"/>
      </w:pPr>
      <w:r>
        <w:t xml:space="preserve">Species representation</w:t>
      </w:r>
    </w:p>
    <w:bookmarkStart w:id="9" w:name="species-selection-criteria"/>
    <w:p>
      <w:pPr>
        <w:pStyle w:val="Heading2"/>
      </w:pPr>
      <w:r>
        <w:t xml:space="preserve">Species selection criteria</w:t>
      </w:r>
    </w:p>
    <w:bookmarkEnd w:id="9"/>
    <w:bookmarkEnd w:id="10"/>
    <w:bookmarkStart w:id="26" w:name="app-spp_crit"/>
    <w:p>
      <w:pPr>
        <w:pStyle w:val="Heading1"/>
      </w:pPr>
      <w:r>
        <w:t xml:space="preserve">Criteria for the selection of species</w:t>
      </w:r>
    </w:p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broad-ranging</w:t>
      </w:r>
      <w:r>
        <w:t xml:space="preserve"> </w:t>
      </w:r>
      <w:r>
        <w:t xml:space="preserve">approach for representation of biodiversity in the SCP was complemented by a</w:t>
      </w:r>
      <w:r>
        <w:t xml:space="preserve"> </w:t>
      </w:r>
      <w:r>
        <w:rPr>
          <w:i/>
          <w:iCs/>
        </w:rPr>
        <w:t xml:space="preserve">targeted</w:t>
      </w:r>
      <w:r>
        <w:t xml:space="preserve"> </w:t>
      </w:r>
      <w:r>
        <w:t xml:space="preserve">approach (see</w:t>
      </w:r>
      <w:r>
        <w:t xml:space="preserve"> </w:t>
      </w:r>
      <w:hyperlink w:anchor="sec-spp-rep">
        <w:r>
          <w:rPr>
            <w:rStyle w:val="Hyperlink"/>
          </w:rPr>
          <w:t xml:space="preserve">Section 1</w:t>
        </w:r>
      </w:hyperlink>
      <w:r>
        <w:t xml:space="preserve">). The targeted approach required a systematic selection of species</w:t>
      </w:r>
      <w:r>
        <w:t xml:space="preserve"> </w:t>
      </w:r>
      <w:r>
        <w:t xml:space="preserve">(SANBI and UNEP-WCMC 2024)</w:t>
      </w:r>
      <w:r>
        <w:t xml:space="preserve">. Ezemvelo KZN Wildlife scientists and a broad range of stakeholders at an SCP inaugural workshop</w:t>
      </w:r>
      <w:r>
        <w:t xml:space="preserve"> </w:t>
      </w:r>
      <w:r>
        <w:t xml:space="preserve">(Elliot 2023)</w:t>
      </w:r>
      <w:r>
        <w:t xml:space="preserve">, developed the criteria for the inclusion of species in a workshop session with external stakeholders. For the KwaZulu-Natal SCP, these criteria were applied to each grouping of taxa as shown below.</w:t>
      </w:r>
    </w:p>
    <w:bookmarkEnd w:id="11"/>
    <w:bookmarkStart w:id="13" w:name="criteria-for-inclusion"/>
    <w:p>
      <w:pPr>
        <w:pStyle w:val="Heading2"/>
      </w:pPr>
      <w:r>
        <w:t xml:space="preserve">Criteria for inclusion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spp-criteri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Criteria for inclusion of species in the targeted approach.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691"/>
              <w:gridCol w:w="10355"/>
              <w:gridCol w:w="17971"/>
            </w:tblGrid>
            <w:tr>
              <w:trPr>
                <w:trHeight w:val="581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Criteria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Rules</w:t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Endemic to KwaZulu-Natal.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Feature must be triggered by ≥1 criterion; criteria equal weighting; may include uncertain data but removed if insufficient; consider age and accuracy of data.</w:t>
                  </w:r>
                </w:p>
              </w:tc>
            </w:tr>
            <w:tr>
              <w:trPr>
                <w:trHeight w:val="60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Near Endemic to KwaZulu-Natal (50–99% of taxon distribution falls within KwaZulu-Natal).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Threat status (CR, EN, Rare, VU, NT). Global or Regional. Highest threat status taken.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International obligation.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Umbrella species.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Isolated from core known range with genetic differences.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Edge of range species (may be well protected in KZN but globally/regionally threatened).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Life‑history stage essential for protection of species.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Species conservation plan or biodiversity management plan.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Other (specify).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58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Resource use threat.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Specific populations (e.g., Tembe elephants, berg eland).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</w:tbl>
          <w:bookmarkEnd w:id="12"/>
        </w:tc>
      </w:tr>
    </w:tbl>
    <w:bookmarkEnd w:id="13"/>
    <w:bookmarkStart w:id="25" w:name="taxonspecific-species-selection"/>
    <w:p>
      <w:pPr>
        <w:pStyle w:val="Heading2"/>
      </w:pPr>
      <w:r>
        <w:t xml:space="preserve">Taxon‑specific species selection</w:t>
      </w:r>
    </w:p>
    <w:p>
      <w:pPr>
        <w:pStyle w:val="FirstParagraph"/>
      </w:pPr>
      <w:r>
        <w:t xml:space="preserve">Following the criteria in</w:t>
      </w:r>
      <w:r>
        <w:t xml:space="preserve"> </w:t>
      </w:r>
      <w:hyperlink w:anchor="tbl-spp-criteria">
        <w:r>
          <w:rPr>
            <w:rStyle w:val="Hyperlink"/>
          </w:rPr>
          <w:t xml:space="preserve">Table 1</w:t>
        </w:r>
      </w:hyperlink>
      <w:r>
        <w:t xml:space="preserve">, species were selected for groupings of taxa: amphibians, aquatic species, birds, invertebrates, mammals, and plants.</w:t>
      </w:r>
    </w:p>
    <w:bookmarkStart w:id="14" w:name="amphibians-championed-by-a.-armstrong"/>
    <w:p>
      <w:pPr>
        <w:pStyle w:val="Heading3"/>
      </w:pPr>
      <w:r>
        <w:t xml:space="preserve">Amphibians</w:t>
      </w:r>
      <w:r>
        <w:t xml:space="preserve"> </w:t>
      </w:r>
      <w:r>
        <w:rPr>
          <w:i/>
          <w:iCs/>
        </w:rPr>
        <w:t xml:space="preserve">(championed by A. Armstrong)</w:t>
      </w:r>
    </w:p>
    <w:p>
      <w:pPr>
        <w:pStyle w:val="FirstParagraph"/>
      </w:pPr>
      <w:r>
        <w:t xml:space="preserve">All endemic, near-endemic, and threatened (CR, EN, VU) species were included.</w:t>
      </w:r>
    </w:p>
    <w:bookmarkEnd w:id="14"/>
    <w:bookmarkStart w:id="15" w:name="Xe3738df19485121deab067567eb1b76951b2211"/>
    <w:p>
      <w:pPr>
        <w:pStyle w:val="Heading3"/>
      </w:pPr>
      <w:r>
        <w:t xml:space="preserve">Aquatic species</w:t>
      </w:r>
      <w:r>
        <w:t xml:space="preserve"> </w:t>
      </w:r>
      <w:r>
        <w:rPr>
          <w:i/>
          <w:iCs/>
        </w:rPr>
        <w:t xml:space="preserve">(championed by S. Khubheka)</w:t>
      </w:r>
    </w:p>
    <w:bookmarkEnd w:id="15"/>
    <w:bookmarkStart w:id="16" w:name="birds-championed-by-b.-coverdale"/>
    <w:p>
      <w:pPr>
        <w:pStyle w:val="Heading3"/>
      </w:pPr>
      <w:r>
        <w:t xml:space="preserve">Birds</w:t>
      </w:r>
      <w:r>
        <w:t xml:space="preserve"> </w:t>
      </w:r>
      <w:r>
        <w:rPr>
          <w:i/>
          <w:iCs/>
        </w:rPr>
        <w:t xml:space="preserve">(championed by B. Coverdale)</w:t>
      </w:r>
    </w:p>
    <w:bookmarkEnd w:id="16"/>
    <w:bookmarkStart w:id="17" w:name="invertebrates-championed-by-a.-armstrong"/>
    <w:p>
      <w:pPr>
        <w:pStyle w:val="Heading3"/>
      </w:pPr>
      <w:r>
        <w:t xml:space="preserve">Invertebrates</w:t>
      </w:r>
      <w:r>
        <w:t xml:space="preserve"> </w:t>
      </w:r>
      <w:r>
        <w:rPr>
          <w:i/>
          <w:iCs/>
        </w:rPr>
        <w:t xml:space="preserve">(championed by A. Armstrong)</w:t>
      </w:r>
    </w:p>
    <w:p>
      <w:pPr>
        <w:pStyle w:val="FirstParagraph"/>
      </w:pPr>
      <w:r>
        <w:t xml:space="preserve">All endemic, near-endemic and threatened (CR, EN, VU) taxa are included. Only taxa in the Biodiversity Database are included in the analysis.</w:t>
      </w:r>
    </w:p>
    <w:bookmarkEnd w:id="17"/>
    <w:bookmarkStart w:id="18" w:name="mammals-championed-by-b.-coverdale"/>
    <w:p>
      <w:pPr>
        <w:pStyle w:val="Heading3"/>
      </w:pPr>
      <w:r>
        <w:t xml:space="preserve">Mammals</w:t>
      </w:r>
      <w:r>
        <w:t xml:space="preserve"> </w:t>
      </w:r>
      <w:r>
        <w:rPr>
          <w:i/>
          <w:iCs/>
        </w:rPr>
        <w:t xml:space="preserve">(championed by B. Coverdale)</w:t>
      </w:r>
    </w:p>
    <w:bookmarkEnd w:id="18"/>
    <w:bookmarkStart w:id="19" w:name="plants-championed-by-c.-carbutt"/>
    <w:p>
      <w:pPr>
        <w:pStyle w:val="Heading3"/>
      </w:pPr>
      <w:r>
        <w:t xml:space="preserve">Plants</w:t>
      </w:r>
      <w:r>
        <w:t xml:space="preserve"> </w:t>
      </w:r>
      <w:r>
        <w:rPr>
          <w:i/>
          <w:iCs/>
        </w:rPr>
        <w:t xml:space="preserve">(championed by C. Carbutt)</w:t>
      </w:r>
    </w:p>
    <w:p>
      <w:pPr>
        <w:pStyle w:val="FirstParagraph"/>
      </w:pPr>
      <w:r>
        <w:t xml:space="preserve">The targeted plant species list for the updated KZN SCP revision was developed as follows:</w:t>
      </w:r>
    </w:p>
    <w:p>
      <w:pPr>
        <w:pStyle w:val="Compact"/>
        <w:numPr>
          <w:ilvl w:val="0"/>
          <w:numId w:val="1001"/>
        </w:numPr>
      </w:pPr>
      <w:r>
        <w:t xml:space="preserve">An extract of the plant list used for the previous SCP by</w:t>
      </w:r>
      <w:r>
        <w:t xml:space="preserve"> </w:t>
      </w:r>
      <w:r>
        <w:t xml:space="preserve">Escott (2010)</w:t>
      </w:r>
      <w:r>
        <w:t xml:space="preserve"> </w:t>
      </w:r>
      <w:r>
        <w:t xml:space="preserve">was made.</w:t>
      </w:r>
    </w:p>
    <w:p>
      <w:pPr>
        <w:pStyle w:val="Compact"/>
        <w:numPr>
          <w:ilvl w:val="0"/>
          <w:numId w:val="1001"/>
        </w:numPr>
      </w:pPr>
      <w:r>
        <w:t xml:space="preserve">The extract was evaluated by the plant group (Ezemvelo KZN Wildlife + SANBI) at the C‑Plan workshop at Didima, Jan 2025.</w:t>
      </w:r>
    </w:p>
    <w:p>
      <w:pPr>
        <w:pStyle w:val="Compact"/>
        <w:numPr>
          <w:ilvl w:val="0"/>
          <w:numId w:val="1001"/>
        </w:numPr>
      </w:pPr>
      <w:r>
        <w:t xml:space="preserve">The list was further refined and checked.</w:t>
      </w:r>
    </w:p>
    <w:p>
      <w:pPr>
        <w:pStyle w:val="Compact"/>
        <w:numPr>
          <w:ilvl w:val="0"/>
          <w:numId w:val="1001"/>
        </w:numPr>
      </w:pPr>
      <w:r>
        <w:t xml:space="preserve">Species names were updated for taxonomic changes.</w:t>
      </w:r>
    </w:p>
    <w:p>
      <w:pPr>
        <w:pStyle w:val="Compact"/>
        <w:numPr>
          <w:ilvl w:val="0"/>
          <w:numId w:val="1001"/>
        </w:numPr>
      </w:pPr>
      <w:r>
        <w:t xml:space="preserve">Red List status updated to SANBI RL version 2024.</w:t>
      </w:r>
    </w:p>
    <w:p>
      <w:pPr>
        <w:pStyle w:val="Compact"/>
        <w:numPr>
          <w:ilvl w:val="0"/>
          <w:numId w:val="1001"/>
        </w:numPr>
      </w:pPr>
      <w:r>
        <w:t xml:space="preserve">The list was tabled at the July 2025 C‑Plan Steering Committee meeting.</w:t>
      </w:r>
    </w:p>
    <w:p>
      <w:pPr>
        <w:pStyle w:val="Compact"/>
        <w:numPr>
          <w:ilvl w:val="0"/>
          <w:numId w:val="1001"/>
        </w:numPr>
      </w:pPr>
      <w:r>
        <w:t xml:space="preserve">Approved pending minor revision.</w:t>
      </w:r>
    </w:p>
    <w:p>
      <w:pPr>
        <w:pStyle w:val="Compact"/>
        <w:numPr>
          <w:ilvl w:val="0"/>
          <w:numId w:val="1001"/>
        </w:numPr>
      </w:pPr>
      <w:r>
        <w:t xml:space="preserve">Fully revised in Aug 2025 per Steering Committee directives.</w:t>
      </w:r>
    </w:p>
    <w:p>
      <w:pPr>
        <w:pStyle w:val="Compact"/>
        <w:numPr>
          <w:ilvl w:val="0"/>
          <w:numId w:val="1001"/>
        </w:numPr>
      </w:pPr>
      <w:r>
        <w:t xml:space="preserve">~23 taxa were the focus: extinct or widespread non‑endemic taxa removed; endemic/near‑endemic or declining taxa retained.</w:t>
      </w:r>
    </w:p>
    <w:p>
      <w:pPr>
        <w:pStyle w:val="Compact"/>
        <w:numPr>
          <w:ilvl w:val="0"/>
          <w:numId w:val="1001"/>
        </w:numPr>
      </w:pPr>
      <w:r>
        <w:t xml:space="preserve">Final revised list (Aug 2025) was uploaded to MS Teams as directed.</w:t>
      </w:r>
    </w:p>
    <w:bookmarkEnd w:id="19"/>
    <w:bookmarkStart w:id="24" w:name="reptiles-championed-by-a.-armstrong"/>
    <w:p>
      <w:pPr>
        <w:pStyle w:val="Heading3"/>
      </w:pPr>
      <w:r>
        <w:t xml:space="preserve">Reptiles</w:t>
      </w:r>
      <w:r>
        <w:t xml:space="preserve"> </w:t>
      </w:r>
      <w:r>
        <w:rPr>
          <w:i/>
          <w:iCs/>
        </w:rPr>
        <w:t xml:space="preserve">(championed by A. Armstrong)</w:t>
      </w:r>
    </w:p>
    <w:p>
      <w:pPr>
        <w:pStyle w:val="FirstParagraph"/>
      </w:pPr>
      <w:r>
        <w:t xml:space="preserve">All endemic, near-endemic and threatened (CR, EN, VU) species are included.</w:t>
      </w:r>
    </w:p>
    <w:bookmarkStart w:id="23" w:name="refs"/>
    <w:bookmarkStart w:id="20" w:name="ref-elliot2023bcp"/>
    <w:p>
      <w:pPr>
        <w:pStyle w:val="Bibliography"/>
      </w:pPr>
      <w:r>
        <w:t xml:space="preserve">Elliot, Felicity. 2023.</w:t>
      </w:r>
      <w:r>
        <w:t xml:space="preserve"> </w:t>
      </w:r>
      <w:r>
        <w:rPr>
          <w:i/>
          <w:iCs/>
        </w:rPr>
        <w:t xml:space="preserve">Biodiversity Conservation Plan Background Document: Workshop for Steps, Gaps and Specialist Information to Be Presented</w:t>
      </w:r>
      <w:r>
        <w:t xml:space="preserve">. Technical report. Ezemvelo KZN Wildlife.</w:t>
      </w:r>
    </w:p>
    <w:bookmarkEnd w:id="20"/>
    <w:bookmarkStart w:id="21" w:name="ref-escott2010cpw"/>
    <w:p>
      <w:pPr>
        <w:pStyle w:val="Bibliography"/>
      </w:pPr>
      <w:r>
        <w:t xml:space="preserve">Escott, Boyd. 2010.</w:t>
      </w:r>
      <w:r>
        <w:t xml:space="preserve"> </w:t>
      </w:r>
      <w:r>
        <w:rPr>
          <w:i/>
          <w:iCs/>
        </w:rPr>
        <w:t xml:space="preserve">Conservation Plan Work Notes</w:t>
      </w:r>
      <w:r>
        <w:t xml:space="preserve">. Technical Report No. 2.</w:t>
      </w:r>
      <w:r>
        <w:t xml:space="preserve"> </w:t>
      </w:r>
      <w:r>
        <w:t xml:space="preserve">Ezemvelo KZN Wildlife</w:t>
      </w:r>
      <w:r>
        <w:t xml:space="preserve">.</w:t>
      </w:r>
    </w:p>
    <w:bookmarkEnd w:id="21"/>
    <w:bookmarkStart w:id="22" w:name="ref-sanbi2024mbp"/>
    <w:p>
      <w:pPr>
        <w:pStyle w:val="Bibliography"/>
      </w:pPr>
      <w:r>
        <w:t xml:space="preserve">SANBI, and UNEP-WCMC. 2024.</w:t>
      </w:r>
      <w:r>
        <w:t xml:space="preserve"> </w:t>
      </w:r>
      <w:r>
        <w:rPr>
          <w:i/>
          <w:iCs/>
        </w:rPr>
        <w:t xml:space="preserve">Mapping Biodiversity Priorities: A Practical Approach to Spatial Biodiversity Assessment and Priortisation to Inform National Policy, Planning, Decisions and Action</w:t>
      </w:r>
      <w:r>
        <w:t xml:space="preserve">. 2nd ed. South African National Biodiversity Institute. Pretoria, ZA.</w:t>
      </w:r>
    </w:p>
    <w:bookmarkEnd w:id="22"/>
    <w:bookmarkEnd w:id="23"/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Species representation</dc:title>
  <dc:creator>Paul Gordijn; Felicity Elliot; Shannon Rushworth; Andy Blackmore; Craig Mulqueeny; Ian Rushworth; Adrian Armstrong; Clinton Carbutt; Brent Coverdale; Debbie Jewitt; Skhumuzo Khubeka</dc:creator>
  <cp:keywords/>
  <dcterms:created xsi:type="dcterms:W3CDTF">2026-03-27T12:05:24Z</dcterms:created>
  <dcterms:modified xsi:type="dcterms:W3CDTF">2026-03-27T12:05:24Z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