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Ecosystem representation</w:t>
      </w:r>
    </w:p>
    <w:p>
      <w:pPr>
        <w:pStyle w:val="Author"/>
      </w:pPr>
      <w:r>
        <w:t xml:space="preserve">Debbie Jewitt</w:t>
      </w:r>
    </w:p>
    <w:p>
      <w:pPr>
        <w:pStyle w:val="Author"/>
      </w:pPr>
      <w:r>
        <w:t xml:space="preserve">Felicity Elliot</w:t>
      </w:r>
    </w:p>
    <w:p>
      <w:pPr>
        <w:pStyle w:val="Author"/>
      </w:pPr>
      <w:r>
        <w:t xml:space="preserve">Shannon Rushworth</w:t>
      </w:r>
    </w:p>
    <w:p>
      <w:pPr>
        <w:pStyle w:val="Author"/>
      </w:pPr>
      <w:r>
        <w:t xml:space="preserve">Andy Blackmore</w:t>
      </w:r>
    </w:p>
    <w:p>
      <w:pPr>
        <w:pStyle w:val="Author"/>
      </w:pPr>
      <w:r>
        <w:t xml:space="preserve">Craig Mulqueeny</w:t>
      </w:r>
    </w:p>
    <w:p>
      <w:pPr>
        <w:pStyle w:val="Author"/>
      </w:pPr>
      <w:r>
        <w:t xml:space="preserve">Ian Rushworth</w:t>
      </w:r>
    </w:p>
    <w:p>
      <w:pPr>
        <w:pStyle w:val="Author"/>
      </w:pPr>
      <w:r>
        <w:t xml:space="preserve">Adrian Armstrong</w:t>
      </w:r>
    </w:p>
    <w:p>
      <w:pPr>
        <w:pStyle w:val="Author"/>
      </w:pPr>
      <w:r>
        <w:t xml:space="preserve">Clinton Carbutt</w:t>
      </w:r>
    </w:p>
    <w:p>
      <w:pPr>
        <w:pStyle w:val="Author"/>
      </w:pPr>
      <w:r>
        <w:t xml:space="preserve">Brent Coverdale</w:t>
      </w:r>
    </w:p>
    <w:p>
      <w:pPr>
        <w:pStyle w:val="Author"/>
      </w:pPr>
      <w:r>
        <w:t xml:space="preserve">Debbie Jewitt</w:t>
      </w:r>
    </w:p>
    <w:p>
      <w:pPr>
        <w:pStyle w:val="Author"/>
      </w:pPr>
      <w:r>
        <w:t xml:space="preserve">Skhumuzo Khubeka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The ecosystem coverage selected for the KwaZulu-Natal Systematic Conservation Plan has been developed over many decades using the acute knowledge of Ezemvelo specialist scientists.</w:t>
      </w:r>
    </w:p>
    <w:bookmarkStart w:id="16" w:name="sec-eco-rep"/>
    <w:p>
      <w:pPr>
        <w:pStyle w:val="Heading2"/>
      </w:pPr>
      <w:r>
        <w:t xml:space="preserve">Ecosystem representation</w:t>
      </w:r>
    </w:p>
    <w:p>
      <w:pPr>
        <w:pStyle w:val="FirstParagraph"/>
      </w:pPr>
      <w:r>
        <w:t xml:space="preserve">Incorporating ecosystem types in the conservation planning process serves to broadly capture the spatial distribution of distinct-biological communities, and associated species diversity, that is, the gamma diversity</w:t>
      </w:r>
      <w:r>
        <w:t xml:space="preserve"> </w:t>
      </w:r>
      <w:r>
        <w:t xml:space="preserve">(Whittaker 1960)</w:t>
      </w:r>
      <w:r>
        <w:t xml:space="preserve"> </w:t>
      </w:r>
      <w:r>
        <w:t xml:space="preserve">across the region of interest</w:t>
      </w:r>
      <w:r>
        <w:t xml:space="preserve"> </w:t>
      </w:r>
      <w:r>
        <w:t xml:space="preserve">(Mucina 2024)</w:t>
      </w:r>
      <w:r>
        <w:t xml:space="preserve">. Following the previous terrestrial SCP for KwaZulu-Natal</w:t>
      </w:r>
      <w:r>
        <w:t xml:space="preserve"> </w:t>
      </w:r>
      <w:r>
        <w:t xml:space="preserve">(Escott 2010)</w:t>
      </w:r>
      <w:r>
        <w:t xml:space="preserve">, a vegetation-type map formed a robust surrogate for ecosystem types. Vegetation types commonly serve as surrogates for ecosystem types because they largely capture differences in biodiversity patterns across the landscape</w:t>
      </w:r>
      <w:r>
        <w:t xml:space="preserve"> </w:t>
      </w:r>
      <w:r>
        <w:t xml:space="preserve">(SANBI and UNEP-WCMC 2024)</w:t>
      </w:r>
      <w:r>
        <w:t xml:space="preserve">.</w:t>
      </w:r>
    </w:p>
    <w:p>
      <w:pPr>
        <w:pStyle w:val="BodyText"/>
      </w:pPr>
      <w:r>
        <w:t xml:space="preserve">For an up-to-date representation of ecosystem extent, the provincial-vegetation map (i.e., coverage) had to be adjusted. The provincial-vegetation coverage serves as a representation of “natural” vegetation communities prior to global change pressures ca. 1750</w:t>
      </w:r>
      <w:r>
        <w:t xml:space="preserve"> </w:t>
      </w:r>
      <w:r>
        <w:t xml:space="preserve">(Mucina et al. 2018)</w:t>
      </w:r>
      <w:r>
        <w:t xml:space="preserve">. Therefore, the coverage had to be adjusted to reflect the current state of ecosystems using the best available data.</w:t>
      </w:r>
    </w:p>
    <w:bookmarkStart w:id="15" w:name="refs"/>
    <w:bookmarkStart w:id="9" w:name="ref-escott2010cpw"/>
    <w:p>
      <w:pPr>
        <w:pStyle w:val="Bibliography"/>
      </w:pPr>
      <w:r>
        <w:t xml:space="preserve">Escott, Boyd. 2010.</w:t>
      </w:r>
      <w:r>
        <w:t xml:space="preserve"> </w:t>
      </w:r>
      <w:r>
        <w:rPr>
          <w:i/>
          <w:iCs/>
        </w:rPr>
        <w:t xml:space="preserve">Conservation Plan Work Notes</w:t>
      </w:r>
      <w:r>
        <w:t xml:space="preserve">. Technical Report No. 2.</w:t>
      </w:r>
      <w:r>
        <w:t xml:space="preserve"> </w:t>
      </w:r>
      <w:r>
        <w:t xml:space="preserve">Ezemvelo KZN Wildlife</w:t>
      </w:r>
      <w:r>
        <w:t xml:space="preserve">.</w:t>
      </w:r>
    </w:p>
    <w:bookmarkEnd w:id="9"/>
    <w:bookmarkStart w:id="10" w:name="ref-mucina2024evb"/>
    <w:p>
      <w:pPr>
        <w:pStyle w:val="Bibliography"/>
      </w:pPr>
      <w:r>
        <w:t xml:space="preserve">Mucina, Ladislav. 2024.</w:t>
      </w:r>
      <w:r>
        <w:t xml:space="preserve"> </w:t>
      </w:r>
      <w:r>
        <w:t xml:space="preserve">“Ecological Versus Biogeographical Regionalization: Colliding or Colluding?”</w:t>
      </w:r>
      <w:r>
        <w:t xml:space="preserve"> </w:t>
      </w:r>
      <w:r>
        <w:rPr>
          <w:i/>
          <w:iCs/>
        </w:rPr>
        <w:t xml:space="preserve">Journal of Biogeography</w:t>
      </w:r>
      <w:r>
        <w:t xml:space="preserve"> </w:t>
      </w:r>
      <w:r>
        <w:t xml:space="preserve">51 (9): 1795–800.</w:t>
      </w:r>
    </w:p>
    <w:bookmarkEnd w:id="10"/>
    <w:bookmarkStart w:id="12" w:name="ref-mucina2018tvm"/>
    <w:p>
      <w:pPr>
        <w:pStyle w:val="Bibliography"/>
      </w:pPr>
      <w:r>
        <w:t xml:space="preserve">Mucina, L., M. C. Rutherford, and L. W. Powrie. 2018.</w:t>
      </w:r>
      <w:r>
        <w:t xml:space="preserve"> </w:t>
      </w:r>
      <w:r>
        <w:rPr>
          <w:i/>
          <w:iCs/>
        </w:rPr>
        <w:t xml:space="preserve">The Vegetation Map of South Africa, Lesotho and Swaziland</w:t>
      </w:r>
      <w:r>
        <w:t xml:space="preserve">. Edited by South African National Biodiversity Institute. South African National Biodiversity Institute.</w:t>
      </w:r>
      <w:r>
        <w:t xml:space="preserve"> </w:t>
      </w:r>
      <w:hyperlink r:id="rId11">
        <w:r>
          <w:rPr>
            <w:rStyle w:val="Hyperlink"/>
          </w:rPr>
          <w:t xml:space="preserve">bgis.sanbi.org/Projects/Detail/186</w:t>
        </w:r>
      </w:hyperlink>
      <w:r>
        <w:t xml:space="preserve">.</w:t>
      </w:r>
    </w:p>
    <w:bookmarkEnd w:id="12"/>
    <w:bookmarkStart w:id="13" w:name="ref-sanbi2024mbp"/>
    <w:p>
      <w:pPr>
        <w:pStyle w:val="Bibliography"/>
      </w:pPr>
      <w:r>
        <w:t xml:space="preserve">SANBI, and UNEP-WCMC. 2024.</w:t>
      </w:r>
      <w:r>
        <w:t xml:space="preserve"> </w:t>
      </w:r>
      <w:r>
        <w:rPr>
          <w:i/>
          <w:iCs/>
        </w:rPr>
        <w:t xml:space="preserve">Mapping Biodiversity Priorities: A Practical Approach to Spatial Biodiversity Assessment and Priortisation to Inform National Policy, Planning, Decisions and Action</w:t>
      </w:r>
      <w:r>
        <w:t xml:space="preserve">. 2nd ed. South African National Biodiversity Institute. Pretoria, ZA.</w:t>
      </w:r>
    </w:p>
    <w:bookmarkEnd w:id="13"/>
    <w:bookmarkStart w:id="14" w:name="ref-whittaker1960vot"/>
    <w:p>
      <w:pPr>
        <w:pStyle w:val="Bibliography"/>
      </w:pPr>
      <w:r>
        <w:t xml:space="preserve">Whittaker, Robert Harding. 1960.</w:t>
      </w:r>
      <w:r>
        <w:t xml:space="preserve"> </w:t>
      </w:r>
      <w:r>
        <w:t xml:space="preserve">“Vegetation of the Siskiyou Mountains, Oregon and California.”</w:t>
      </w:r>
      <w:r>
        <w:t xml:space="preserve"> </w:t>
      </w:r>
      <w:r>
        <w:rPr>
          <w:i/>
          <w:iCs/>
        </w:rPr>
        <w:t xml:space="preserve">Ecological Monographs</w:t>
      </w:r>
      <w:r>
        <w:t xml:space="preserve"> </w:t>
      </w:r>
      <w:r>
        <w:t xml:space="preserve">30 (3): 279–338.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bgis.sanbi.org/Projects/Detail/18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bgis.sanbi.org/Projects/Detail/18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Ecosystem representation</dc:title>
  <dc:creator>Debbie Jewitt; Felicity Elliot; Shannon Rushworth; Andy Blackmore; Craig Mulqueeny; Ian Rushworth; Adrian Armstrong; Clinton Carbutt; Brent Coverdale; Debbie Jewitt; Skhumuzo Khubeka</dc:creator>
  <cp:keywords/>
  <dcterms:created xsi:type="dcterms:W3CDTF">2026-04-02T09:41:52Z</dcterms:created>
  <dcterms:modified xsi:type="dcterms:W3CDTF">2026-04-02T09:41:52Z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The ecosystem coverage selected for the KwaZulu-Natal Systematic Conservation Plan has been developed over many decades using the acute knowledge of Ezemvelo specialist scientists.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/home/paulg/refs/bspi.bib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engines">
    <vt:lpwstr/>
  </property>
  <property fmtid="{D5CDD505-2E9C-101B-9397-08002B2CF9AE}" pid="10" name="execute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itle-block-banner">
    <vt:lpwstr>True</vt:lpwstr>
  </property>
  <property fmtid="{D5CDD505-2E9C-101B-9397-08002B2CF9AE}" pid="16" name="toc-title">
    <vt:lpwstr>Table of contents</vt:lpwstr>
  </property>
</Properties>
</file>