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200" w:before="0"/>
        <w:jc w:val="center"/>
      </w:pPr>
      <w:r>
        <w:rPr>
          <w:rFonts w:ascii="Tahoma" w:hAnsi="Tahoma" w:eastAsia="Tahoma"/>
          <w:b/>
          <w:i w:val="0"/>
          <w:sz w:val="24"/>
        </w:rPr>
        <w:t>Quantum-Enhanced Machine Learning for Biomedical Diagnostics: An Image-to-ECG Transfer Study on PhysioNet 2017</w:t>
      </w:r>
    </w:p>
    <w:p>
      <w:pPr>
        <w:spacing w:line="264" w:lineRule="auto" w:after="0" w:before="0"/>
        <w:jc w:val="center"/>
      </w:pPr>
      <w:r>
        <w:rPr>
          <w:rFonts w:ascii="Times New Roman" w:hAnsi="Times New Roman" w:eastAsia="Times New Roman"/>
          <w:b w:val="0"/>
          <w:i/>
          <w:sz w:val="20"/>
        </w:rPr>
        <w:t>Sogodam Atadana1, Özlem Karabiber Cura2*</w:t>
      </w:r>
    </w:p>
    <w:p>
      <w:pPr>
        <w:spacing w:line="264" w:lineRule="auto" w:after="0" w:before="0"/>
        <w:jc w:val="center"/>
      </w:pPr>
      <w:r>
        <w:rPr>
          <w:rFonts w:ascii="Times New Roman" w:hAnsi="Times New Roman" w:eastAsia="Times New Roman"/>
          <w:b w:val="0"/>
          <w:i/>
          <w:sz w:val="20"/>
        </w:rPr>
        <w:t>1,2 İzmir Kâtip Çelebi University, Department of Biomedical Engineering, İzmir, Türkiye</w:t>
      </w:r>
    </w:p>
    <w:p>
      <w:pPr>
        <w:spacing w:line="264" w:lineRule="auto" w:after="200" w:before="0"/>
        <w:jc w:val="center"/>
      </w:pPr>
      <w:r>
        <w:rPr>
          <w:rFonts w:ascii="Times New Roman" w:hAnsi="Times New Roman" w:eastAsia="Times New Roman"/>
          <w:b w:val="0"/>
          <w:i/>
          <w:sz w:val="20"/>
        </w:rPr>
        <w:t>*Corresponding author: ozlem.karabiber@ikcu.edu.tr</w:t>
      </w:r>
    </w:p>
    <w:p>
      <w:pPr>
        <w:spacing w:line="264" w:lineRule="auto" w:after="120" w:before="120"/>
        <w:jc w:val="center"/>
      </w:pPr>
      <w:r>
        <w:rPr>
          <w:rFonts w:ascii="Times New Roman" w:hAnsi="Times New Roman" w:eastAsia="Times New Roman"/>
          <w:b/>
          <w:i w:val="0"/>
          <w:sz w:val="22"/>
        </w:rPr>
        <w:t>Abstract</w:t>
      </w:r>
    </w:p>
    <w:p>
      <w:pPr>
        <w:spacing w:line="264" w:lineRule="auto" w:after="120" w:before="0"/>
        <w:jc w:val="both"/>
      </w:pPr>
      <w:r>
        <w:rPr>
          <w:rFonts w:ascii="Times New Roman" w:hAnsi="Times New Roman" w:eastAsia="Times New Roman"/>
          <w:b w:val="0"/>
          <w:i w:val="0"/>
          <w:sz w:val="22"/>
        </w:rPr>
        <w:t>A 3-qubit channel-entangled Quantum Probability Image Encoding (QPIE) pipeline that captures label-relevant colour structure on RGB medical images has been reported in companion work. We test whether that image-domain encoding transfers to a clinical time-series task: single-lead electrocardiogram (ECG) arrhythmia classification on the PhysioNet/CinC 2017 AF Challenge. The three colour channels are replaced by three signals manufactured from the ECG itself — bandpassed amplitude, first difference, and the Hilbert envelope of a db4 wavelet-detail band. Six encoding schemes (Sep, CRyE, GBE, CSE, PA-CSE, CP-2L) map each ~0.83 s window to a 3-qubit state, and Z+X+Y multi-basis measurement yields 24 features per window. We evaluate three classification heads over five seeds — an aggregated MLP, a per-window 1D CNN, and QMBC-Net, a cross-attention head built around the (Z, X, Y) measurement structure — against the published challenge baselines and a same-representation ROCKET baseline on the raw three channels. The strongest configuration, a 1D CNN on the per-window features, reaches macro-F1 0.670 on the official N/A/O metric, 16 points below the 0.83 challenge state of the art and 5 points below ROCKET on the identical three channels. Three results hold across every head: the separable encoder matches or beats all entangling schemes, the global Bell entangler is the weakest by 5–7 points, and QMBC-Net trails the plain 1D CNN by ten points. The quantum feature map that helps on RGB MedMNIST does not transfer to single-lead ECG; the advantage on images appears specific to spatial channel correlations that physiological time series lack. We report the negative result, a reusable recipe for porting the encoder to a 1D biosignal, and the regime it delineates.</w:t>
      </w:r>
    </w:p>
    <w:p>
      <w:pPr>
        <w:spacing w:line="264" w:lineRule="auto" w:after="200"/>
      </w:pPr>
      <w:r>
        <w:rPr>
          <w:rFonts w:ascii="Times New Roman" w:hAnsi="Times New Roman" w:eastAsia="Times New Roman"/>
          <w:b/>
          <w:i w:val="0"/>
          <w:sz w:val="22"/>
        </w:rPr>
        <w:t xml:space="preserve">Keywords: </w:t>
      </w:r>
      <w:r>
        <w:rPr>
          <w:rFonts w:ascii="Times New Roman" w:hAnsi="Times New Roman" w:eastAsia="Times New Roman"/>
          <w:b w:val="0"/>
          <w:i w:val="0"/>
          <w:sz w:val="22"/>
        </w:rPr>
        <w:t>Quantum machine learning, electrocardiogram, atrial fibrillation, multi-basis measurement, PhysioNet 2017, biomedical signal classification, negative result.</w:t>
      </w:r>
    </w:p>
    <w:p>
      <w:pPr>
        <w:spacing w:line="264" w:lineRule="auto" w:after="120" w:before="120"/>
        <w:jc w:val="center"/>
      </w:pPr>
      <w:r>
        <w:rPr>
          <w:rFonts w:ascii="Times New Roman" w:hAnsi="Times New Roman" w:eastAsia="Times New Roman"/>
          <w:b/>
          <w:i w:val="0"/>
          <w:sz w:val="22"/>
        </w:rPr>
        <w:t>Introduction</w:t>
      </w:r>
    </w:p>
    <w:p>
      <w:pPr>
        <w:spacing w:line="264" w:lineRule="auto" w:after="120" w:before="0"/>
        <w:jc w:val="both"/>
      </w:pPr>
      <w:r>
        <w:rPr>
          <w:rFonts w:ascii="Times New Roman" w:hAnsi="Times New Roman" w:eastAsia="Times New Roman"/>
          <w:b w:val="0"/>
          <w:i w:val="0"/>
          <w:sz w:val="22"/>
        </w:rPr>
        <w:t>Atrial fibrillation (AF) is the most common sustained cardiac arrhythmia and a major cause of stroke. Single-lead wearable ECG has made low-cost screening realistic, and the PhysioNet/CinC 2017 AF Challenge (Clifford et al., 2017) released 8528 short single-lead recordings as a public benchmark. Top entries reach macro-F1 around 0.83 over the three clinical classes (Normal, AF, Other) (Clifford et al., 2017; Andreotti et al., 2017; Goodfellow et al., 2018).</w:t>
      </w:r>
    </w:p>
    <w:p>
      <w:pPr>
        <w:spacing w:line="264" w:lineRule="auto" w:after="120" w:before="0"/>
        <w:jc w:val="both"/>
      </w:pPr>
      <w:r>
        <w:rPr>
          <w:rFonts w:ascii="Times New Roman" w:hAnsi="Times New Roman" w:eastAsia="Times New Roman"/>
          <w:b w:val="0"/>
          <w:i w:val="0"/>
          <w:sz w:val="22"/>
        </w:rPr>
        <w:t>Quantum feature extractors are a less explored route, and the evidence on whether they help is thin and domain-specific. In companion work (Atadana &amp; Karabiber Cura, 2026) we extended QPIE to RGB images by assigning one qubit per colour channel and varying the entangling structure across six schemes; a data-conditional scheme captured label-relevant pixel correlations on PathMNIST. That result is the motivation, not the claim, of this paper. The question here is narrow and falsifiable: does an encoding designed for the spatial channel correlations of RGB images carry over to a 1D physiological signal once the three colour channels are replaced by three engineered signal channels, and does a head built around the structure of multi-basis quantum measurements improve on the standard classical heads?</w:t>
      </w:r>
    </w:p>
    <w:p>
      <w:pPr>
        <w:spacing w:line="264" w:lineRule="auto" w:after="120" w:before="0"/>
        <w:jc w:val="both"/>
      </w:pPr>
      <w:r>
        <w:rPr>
          <w:rFonts w:ascii="Times New Roman" w:hAnsi="Times New Roman" w:eastAsia="Times New Roman"/>
          <w:b w:val="0"/>
          <w:i w:val="0"/>
          <w:sz w:val="22"/>
        </w:rPr>
        <w:t>The answer, on PhysioNet 2017, is no on both counts, and the way it fails is informative. We port the six 3-qubit encoders from (Atadana &amp; Karabiber Cura, 2026) unchanged, manufacture three signal channels from each recording, and run three classification heads — an MLP on aggregated features, a 1D CNN on per-window features, and QMBC-Net, a cross-basis-to-temporal attention head designed for multi-basis features. We benchmark against the published challenge baselines and against ROCKET (Dempster et al., 2020) on the raw three channels, the same-representation control that isolates what the quantum step adds.</w:t>
      </w:r>
    </w:p>
    <w:p>
      <w:pPr>
        <w:spacing w:line="264" w:lineRule="auto" w:after="120" w:before="0"/>
        <w:jc w:val="both"/>
      </w:pPr>
      <w:r>
        <w:rPr>
          <w:rFonts w:ascii="Times New Roman" w:hAnsi="Times New Roman" w:eastAsia="Times New Roman"/>
          <w:b w:val="0"/>
          <w:i w:val="0"/>
          <w:sz w:val="22"/>
        </w:rPr>
        <w:t>The contributions are three. (1) A 1D adaptation of the channel-entangled QPIE encoder: a reusable recipe for porting the 3-channel RGB encoder to any 1D biosignal — bandpassed amplitude, first difference, and a band-limited envelope as the three channels. (2) A controlled transfer test on a clinical benchmark: six encoders × three heads × five seeds on PhysioNet 2017, scored on the official N/A/O macro-F1, against published baselines and a same-representation ROCKET control. (3) A negative, mechanistic result: the encoding is lossy (16 points below the challenge state of the art, 5 below same-representation ROCKET), entanglement provides no benefit (the separable scheme is best, the global Bell entangler worst), and QMBC-Net underperforms a plain 1D CNN; a time-delay re-alignment of the encoder input, motivated by the diagnosis, changes which scheme wins but does not recover accuracy, which isolates the fixed encoding — not the entanglement structure — as the bottleneck.</w:t>
      </w:r>
    </w:p>
    <w:p>
      <w:pPr>
        <w:spacing w:line="264" w:lineRule="auto" w:after="120" w:before="120"/>
        <w:jc w:val="center"/>
      </w:pPr>
      <w:r>
        <w:rPr>
          <w:rFonts w:ascii="Times New Roman" w:hAnsi="Times New Roman" w:eastAsia="Times New Roman"/>
          <w:b/>
          <w:i w:val="0"/>
          <w:sz w:val="22"/>
        </w:rPr>
        <w:t>Related Work</w:t>
      </w:r>
    </w:p>
    <w:p>
      <w:pPr>
        <w:spacing w:line="264" w:lineRule="auto" w:after="120" w:before="80"/>
        <w:jc w:val="left"/>
      </w:pPr>
      <w:r>
        <w:rPr>
          <w:rFonts w:ascii="Times New Roman" w:hAnsi="Times New Roman" w:eastAsia="Times New Roman"/>
          <w:b/>
          <w:i w:val="0"/>
          <w:sz w:val="22"/>
        </w:rPr>
        <w:t>ECG arrhythmia classification on PhysioNet 2017</w:t>
      </w:r>
    </w:p>
    <w:p>
      <w:pPr>
        <w:spacing w:line="264" w:lineRule="auto" w:after="120" w:before="0"/>
        <w:jc w:val="both"/>
      </w:pPr>
      <w:r>
        <w:rPr>
          <w:rFonts w:ascii="Times New Roman" w:hAnsi="Times New Roman" w:eastAsia="Times New Roman"/>
          <w:b w:val="0"/>
          <w:i w:val="0"/>
          <w:sz w:val="22"/>
        </w:rPr>
        <w:t>The 2017 AF Challenge released 8528 single-lead ECG recordings sampled at 300 Hz, 9 to 60 seconds long, labelled Normal (N), AF (A), Other (O), or Noise (~). The official metric is macro-F1 over N/A/O. Class balance is roughly 60/9/28/3 percent, so AF and the heterogeneous Other class dominate the macro average. The challenge winner used hand-crafted heart-rate-variability and morphology features fed to a gradient-boosted tree, reaching macro-F1 0.83 (Clifford et al., 2017). Andreotti et al. (2017) compared feature-engineered and convolutional entries and reported 0.79–0.83; Goodfellow et al. (2018) trained a multi-scale CNN. Hannun et al. (2019) reached F1 0.83 over 12 rhythm classes on a different and larger single-lead dataset, reported here only for context.</w:t>
      </w:r>
    </w:p>
    <w:p>
      <w:pPr>
        <w:spacing w:line="264" w:lineRule="auto" w:after="120" w:before="80"/>
        <w:jc w:val="left"/>
      </w:pPr>
      <w:r>
        <w:rPr>
          <w:rFonts w:ascii="Times New Roman" w:hAnsi="Times New Roman" w:eastAsia="Times New Roman"/>
          <w:b/>
          <w:i w:val="0"/>
          <w:sz w:val="22"/>
        </w:rPr>
        <w:t>Quantum image and signal encodings</w:t>
      </w:r>
    </w:p>
    <w:p>
      <w:pPr>
        <w:spacing w:line="264" w:lineRule="auto" w:after="120" w:before="0"/>
        <w:jc w:val="both"/>
      </w:pPr>
      <w:r>
        <w:rPr>
          <w:rFonts w:ascii="Times New Roman" w:hAnsi="Times New Roman" w:eastAsia="Times New Roman"/>
          <w:b w:val="0"/>
          <w:i w:val="0"/>
          <w:sz w:val="22"/>
        </w:rPr>
        <w:t>Quantum image representations include FRQI (Le et al., 2011), NEQR (Zhang et al., 2013), MCQI (Sun et al., 2011), and QPIE (Yao et al., 2017); none target temporal signals directly. Adaptations to time series have used amplitude encoding of the signal or angle encoding of windowed features (Kyriienko et al., 2022). In (Atadana &amp; Karabiber Cura, 2026) the six 3-qubit encoders below were validated on MedMNIST, where multi-basis measurement and statistical aggregation produced a 492-dimensional feature vector competitive with a small CNN. This paper reuses those encoders and the measurement pipeline without modification, which is what makes the transfer question clean.</w:t>
      </w:r>
    </w:p>
    <w:p>
      <w:pPr>
        <w:spacing w:line="264" w:lineRule="auto" w:after="120" w:before="80"/>
        <w:jc w:val="left"/>
      </w:pPr>
      <w:r>
        <w:rPr>
          <w:rFonts w:ascii="Times New Roman" w:hAnsi="Times New Roman" w:eastAsia="Times New Roman"/>
          <w:b/>
          <w:i w:val="0"/>
          <w:sz w:val="22"/>
        </w:rPr>
        <w:t>Attention over quantum measurements</w:t>
      </w:r>
    </w:p>
    <w:p>
      <w:pPr>
        <w:spacing w:line="264" w:lineRule="auto" w:after="120" w:before="0"/>
        <w:jc w:val="both"/>
      </w:pPr>
      <w:r>
        <w:rPr>
          <w:rFonts w:ascii="Times New Roman" w:hAnsi="Times New Roman" w:eastAsia="Times New Roman"/>
          <w:b w:val="0"/>
          <w:i w:val="0"/>
          <w:sz w:val="22"/>
        </w:rPr>
        <w:t>Standard heads treat quantum-feature outputs as plain vectors and discard the (Z, X, Y) basis structure. QMBC-Net attends across measurement bases as named tokens before attending across time; the closest prior design is multi-modal cross-attention (Vaswani et al., 2017). We include it as a candidate head to test, not as an established method.</w:t>
      </w:r>
    </w:p>
    <w:p>
      <w:pPr>
        <w:spacing w:line="264" w:lineRule="auto" w:after="120" w:before="120"/>
        <w:jc w:val="center"/>
      </w:pPr>
      <w:r>
        <w:rPr>
          <w:rFonts w:ascii="Times New Roman" w:hAnsi="Times New Roman" w:eastAsia="Times New Roman"/>
          <w:b/>
          <w:i w:val="0"/>
          <w:sz w:val="22"/>
        </w:rPr>
        <w:t>Method</w:t>
      </w:r>
    </w:p>
    <w:p>
      <w:pPr>
        <w:spacing w:line="264" w:lineRule="auto" w:after="120" w:before="80"/>
        <w:jc w:val="left"/>
      </w:pPr>
      <w:r>
        <w:rPr>
          <w:rFonts w:ascii="Times New Roman" w:hAnsi="Times New Roman" w:eastAsia="Times New Roman"/>
          <w:b/>
          <w:i w:val="0"/>
          <w:sz w:val="22"/>
        </w:rPr>
        <w:t>From single-lead ECG to three signal channels</w:t>
      </w:r>
    </w:p>
    <w:p>
      <w:pPr>
        <w:spacing w:line="264" w:lineRule="auto" w:after="120" w:before="0"/>
        <w:jc w:val="both"/>
      </w:pPr>
      <w:r>
        <w:rPr>
          <w:rFonts w:ascii="Times New Roman" w:hAnsi="Times New Roman" w:eastAsia="Times New Roman"/>
          <w:b w:val="0"/>
          <w:i w:val="0"/>
          <w:sz w:val="22"/>
        </w:rPr>
        <w:t>A recording x[n] is bandpass-filtered to 0.5–40 Hz and centre-cropped or zero-padded to 30 s (N = 9000 at 300 Hz). For each recording we form three channels: c1[n] = bandpassed amplitude; c2[n] = first difference x_bp[n] − x_bp[n−1]; and c3[n] = the Hilbert envelope of the level-2 detail of a five-level db4 decomposition (nominal 37.5–75 Hz octave, limited by the 0.5–40 Hz passband). Each channel is robust-scaled per-recording with the q5/q95 mapping from (Atadana &amp; Karabiber Cura, 2026) into [0,1]. Figure 1 shows the three channels on a sample recording.</w:t>
      </w:r>
    </w:p>
    <w:p>
      <w:pPr>
        <w:jc w:val="center"/>
      </w:pPr>
      <w:r>
        <w:drawing>
          <wp:inline xmlns:a="http://schemas.openxmlformats.org/drawingml/2006/main" xmlns:pic="http://schemas.openxmlformats.org/drawingml/2006/picture">
            <wp:extent cx="3960000" cy="2262857"/>
            <wp:docPr id="1" name="Picture 1"/>
            <wp:cNvGraphicFramePr>
              <a:graphicFrameLocks noChangeAspect="1"/>
            </wp:cNvGraphicFramePr>
            <a:graphic>
              <a:graphicData uri="http://schemas.openxmlformats.org/drawingml/2006/picture">
                <pic:pic>
                  <pic:nvPicPr>
                    <pic:cNvPr id="0" name="fig_three_channels.png"/>
                    <pic:cNvPicPr/>
                  </pic:nvPicPr>
                  <pic:blipFill>
                    <a:blip r:embed="rId9"/>
                    <a:stretch>
                      <a:fillRect/>
                    </a:stretch>
                  </pic:blipFill>
                  <pic:spPr>
                    <a:xfrm>
                      <a:off x="0" y="0"/>
                      <a:ext cx="3960000" cy="2262857"/>
                    </a:xfrm>
                    <a:prstGeom prst="rect"/>
                  </pic:spPr>
                </pic:pic>
              </a:graphicData>
            </a:graphic>
          </wp:inline>
        </w:drawing>
      </w:r>
    </w:p>
    <w:p>
      <w:pPr>
        <w:spacing w:line="264" w:lineRule="auto" w:after="120" w:before="0"/>
        <w:jc w:val="center"/>
      </w:pPr>
      <w:r>
        <w:rPr>
          <w:rFonts w:ascii="Times New Roman" w:hAnsi="Times New Roman" w:eastAsia="Times New Roman"/>
          <w:b w:val="0"/>
          <w:i w:val="0"/>
          <w:sz w:val="22"/>
        </w:rPr>
        <w:t>Figure 1. The three signal channels built from one ECG recording: bandpassed amplitude, first difference, and the db4 wavelet-detail envelope. These replace the three colour channels of the RGB encoder.</w:t>
      </w:r>
    </w:p>
    <w:p>
      <w:pPr>
        <w:spacing w:line="264" w:lineRule="auto" w:after="120" w:before="80"/>
        <w:jc w:val="left"/>
      </w:pPr>
      <w:r>
        <w:rPr>
          <w:rFonts w:ascii="Times New Roman" w:hAnsi="Times New Roman" w:eastAsia="Times New Roman"/>
          <w:b/>
          <w:i w:val="0"/>
          <w:sz w:val="22"/>
        </w:rPr>
        <w:t>Per-window 3-qubit encoding</w:t>
      </w:r>
    </w:p>
    <w:p>
      <w:pPr>
        <w:spacing w:line="264" w:lineRule="auto" w:after="120" w:before="0"/>
        <w:jc w:val="both"/>
      </w:pPr>
      <w:r>
        <w:rPr>
          <w:rFonts w:ascii="Times New Roman" w:hAnsi="Times New Roman" w:eastAsia="Times New Roman"/>
          <w:b w:val="0"/>
          <w:i w:val="0"/>
          <w:sz w:val="22"/>
        </w:rPr>
        <w:t>The signal is split into windows of 250 samples (~0.83 s, near one cardiac cycle) with stride 125, giving W = 71 windows. We reuse all six encoders from (Atadana &amp; Karabiber Cura, 2026): Sep (separable, per-channel angle encoding only), CRyE and GBE (controlled-Ry and global Bell entanglers), CSE and PA-CSE (data-conditional schemes whose entangling angles depend on pairwise channel correlations), and CP-2L (a two-layer encode–entangle circuit). Each takes a 3-channel sample in [0,1]^3 and returns a 3-qubit amplitude vector; shared angle encoding θc = π·c̄c; the schemes differ only in the entangling gates. We project each per-sample state onto Z, X, and Y (24 features) and aggregate over the window. The per-window mean gives a (W × 24) sequence; full per-sample aggregation gives a 492-dimensional recording vector (9×24 statistics + C(24,2) correlations).</w:t>
      </w:r>
    </w:p>
    <w:p>
      <w:pPr>
        <w:spacing w:line="264" w:lineRule="auto" w:after="120" w:before="80"/>
        <w:jc w:val="left"/>
      </w:pPr>
      <w:r>
        <w:rPr>
          <w:rFonts w:ascii="Times New Roman" w:hAnsi="Times New Roman" w:eastAsia="Times New Roman"/>
          <w:b/>
          <w:i w:val="0"/>
          <w:sz w:val="22"/>
        </w:rPr>
        <w:t>Three classification heads</w:t>
      </w:r>
    </w:p>
    <w:p>
      <w:pPr>
        <w:spacing w:line="264" w:lineRule="auto" w:after="120" w:before="0"/>
        <w:jc w:val="both"/>
      </w:pPr>
      <w:r>
        <w:rPr>
          <w:rFonts w:ascii="Times New Roman" w:hAnsi="Times New Roman" w:eastAsia="Times New Roman"/>
          <w:b w:val="0"/>
          <w:i w:val="0"/>
          <w:sz w:val="22"/>
        </w:rPr>
        <w:t>Phase-1A: aggregated MLP. The 492-dimensional recording vector through the MedMNIST MLP head (512→256→128→4 with BatchNorm, ReLU, Dropout 0.3). Phase-1B: 1D CNN over windows. The (W × 24) per-window sequence through a three-block 1D CNN with dilations {1,2,4}, adaptive average pooling, and a linear classifier; the CNN sees temporal order. Phase-2: QMBC-Net. Per window, the 24 features split into three basis tokens of 8 (Z, X, Y), embed to dimension 64, and pass through one cross-basis multi-head attention layer; a learned per-basis gate pools the three tokens to a window vector. Sinusoidal positional encoding over windows precedes two layers of temporal self-attention; a CLS token feeds a linear classifier.</w:t>
      </w:r>
    </w:p>
    <w:p>
      <w:pPr>
        <w:spacing w:line="264" w:lineRule="auto" w:after="120" w:before="120"/>
        <w:jc w:val="center"/>
      </w:pPr>
      <w:r>
        <w:rPr>
          <w:rFonts w:ascii="Times New Roman" w:hAnsi="Times New Roman" w:eastAsia="Times New Roman"/>
          <w:b/>
          <w:i w:val="0"/>
          <w:sz w:val="22"/>
        </w:rPr>
        <w:t>Experimental Setup</w:t>
      </w:r>
    </w:p>
    <w:p>
      <w:pPr>
        <w:spacing w:line="264" w:lineRule="auto" w:after="120" w:before="0"/>
        <w:jc w:val="both"/>
      </w:pPr>
      <w:r>
        <w:rPr>
          <w:rFonts w:ascii="Times New Roman" w:hAnsi="Times New Roman" w:eastAsia="Times New Roman"/>
          <w:b w:val="0"/>
          <w:i w:val="0"/>
          <w:sz w:val="22"/>
        </w:rPr>
        <w:t>PhysioNet/CinC 2017 AF Challenge (Clifford et al., 2017), 8528 recordings, 4 classes, loaded via wfdb with the rescored REFERENCE-v3 labels. Stratified 60/20/20 split across N/A/O/~. All heads use AdamW (lr 1e-3, weight decay 1e-4), cosine annealing, square-root class-weighted cross-entropy, batch 256, up to 100 epochs, early stopping on validation macro-F1 with patience 20; five seeds; Apple M4, MPS backend. The primary metric is macro-F1 over N/A/O (Noise excluded), the official challenge metric; secondary metrics are macro AUC (one-vs-rest) and balanced accuracy. We compare against the published baselines (Table 4) and against multivariate ROCKET (Dempster et al., 2020) on the raw three channels with the identical split and metric — the same-representation control that separates the encoding's contribution from the representation's.</w:t>
      </w:r>
    </w:p>
    <w:p>
      <w:pPr>
        <w:spacing w:line="264" w:lineRule="auto" w:after="120" w:before="120"/>
        <w:jc w:val="center"/>
      </w:pPr>
      <w:r>
        <w:rPr>
          <w:rFonts w:ascii="Times New Roman" w:hAnsi="Times New Roman" w:eastAsia="Times New Roman"/>
          <w:b/>
          <w:i w:val="0"/>
          <w:sz w:val="22"/>
        </w:rPr>
        <w:t>Results</w:t>
      </w:r>
    </w:p>
    <w:p>
      <w:pPr>
        <w:spacing w:line="264" w:lineRule="auto" w:after="120" w:before="0"/>
        <w:jc w:val="both"/>
      </w:pPr>
      <w:r>
        <w:rPr>
          <w:rFonts w:ascii="Times New Roman" w:hAnsi="Times New Roman" w:eastAsia="Times New Roman"/>
          <w:b w:val="0"/>
          <w:i w:val="0"/>
          <w:sz w:val="22"/>
        </w:rPr>
        <w:t>The headline is in Table 4: the best quantum configuration reaches macro-F1 0.670, well below both the published baselines and same-representation ROCKET. Within that ceiling, three patterns recur across the three heads.</w:t>
      </w:r>
    </w:p>
    <w:p>
      <w:pPr>
        <w:spacing w:line="264" w:lineRule="auto" w:after="120" w:before="80"/>
        <w:jc w:val="left"/>
      </w:pPr>
      <w:r>
        <w:rPr>
          <w:rFonts w:ascii="Times New Roman" w:hAnsi="Times New Roman" w:eastAsia="Times New Roman"/>
          <w:b/>
          <w:i w:val="0"/>
          <w:sz w:val="22"/>
        </w:rPr>
        <w:t>Across heads: the separable scheme is not beaten</w:t>
      </w:r>
    </w:p>
    <w:p>
      <w:pPr>
        <w:spacing w:line="264" w:lineRule="auto" w:after="120" w:before="0"/>
        <w:jc w:val="both"/>
      </w:pPr>
      <w:r>
        <w:rPr>
          <w:rFonts w:ascii="Times New Roman" w:hAnsi="Times New Roman" w:eastAsia="Times New Roman"/>
          <w:b w:val="0"/>
          <w:i w:val="0"/>
          <w:sz w:val="22"/>
        </w:rPr>
        <w:t>Tables 1–3 report all six schemes through each head over five seeds; Figure 2 plots the two Phase-1 heads. No entangling scheme beats the separable baseline (Sep) on any head. On the strongest head (1D CNN) Sep (0.669) and the data-conditional PA-CSE (0.670) are tied best, while the global Bell entangler GBE is worst at 0.598 — a 7-point entanglement penalty. In QMBC-Net the ordering is the same, with GBE the weakest scheme (9 points below Sep); in the aggregated MLP the six schemes fall within roughly one point of each other, so that head is too coarse to separate them. Entanglement, fixed or data-conditional, adds nothing here.</w:t>
      </w:r>
    </w:p>
    <w:p>
      <w:pPr>
        <w:spacing w:line="264" w:lineRule="auto" w:after="120" w:before="0"/>
        <w:jc w:val="center"/>
      </w:pPr>
      <w:r>
        <w:rPr>
          <w:rFonts w:ascii="Times New Roman" w:hAnsi="Times New Roman" w:eastAsia="Times New Roman"/>
          <w:b w:val="0"/>
          <w:i w:val="0"/>
          <w:sz w:val="22"/>
        </w:rPr>
        <w:t>Table 1. Phase-1A — aggregated MLP, PhysioNet 2017, 5 seeds.</w:t>
      </w:r>
    </w:p>
    <w:tbl>
      <w:tblPr>
        <w:tblStyle w:val="TableGrid"/>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none"/>
        </w:tblBorders>
      </w:tblPr>
      <w:tblGrid>
        <w:gridCol w:w="2268"/>
        <w:gridCol w:w="2268"/>
        <w:gridCol w:w="2268"/>
        <w:gridCol w:w="2268"/>
      </w:tblGrid>
      <w:tr>
        <w:tc>
          <w:tcPr>
            <w:tcW w:type="dxa" w:w="2268"/>
          </w:tcPr>
          <w:p>
            <w:pPr>
              <w:jc w:val="center"/>
            </w:pPr>
            <w:r>
              <w:rPr>
                <w:rFonts w:ascii="Times New Roman" w:hAnsi="Times New Roman" w:eastAsia="Times New Roman"/>
                <w:b/>
                <w:i w:val="0"/>
                <w:sz w:val="22"/>
              </w:rPr>
              <w:t>Scheme</w:t>
            </w:r>
          </w:p>
        </w:tc>
        <w:tc>
          <w:tcPr>
            <w:tcW w:type="dxa" w:w="2268"/>
          </w:tcPr>
          <w:p>
            <w:pPr>
              <w:jc w:val="center"/>
            </w:pPr>
            <w:r>
              <w:rPr>
                <w:rFonts w:ascii="Times New Roman" w:hAnsi="Times New Roman" w:eastAsia="Times New Roman"/>
                <w:b/>
                <w:i w:val="0"/>
                <w:sz w:val="22"/>
              </w:rPr>
              <w:t>macro-F1</w:t>
            </w:r>
          </w:p>
        </w:tc>
        <w:tc>
          <w:tcPr>
            <w:tcW w:type="dxa" w:w="2268"/>
          </w:tcPr>
          <w:p>
            <w:pPr>
              <w:jc w:val="center"/>
            </w:pPr>
            <w:r>
              <w:rPr>
                <w:rFonts w:ascii="Times New Roman" w:hAnsi="Times New Roman" w:eastAsia="Times New Roman"/>
                <w:b/>
                <w:i w:val="0"/>
                <w:sz w:val="22"/>
              </w:rPr>
              <w:t>AUC</w:t>
            </w:r>
          </w:p>
        </w:tc>
        <w:tc>
          <w:tcPr>
            <w:tcW w:type="dxa" w:w="2268"/>
          </w:tcPr>
          <w:p>
            <w:pPr>
              <w:jc w:val="center"/>
            </w:pPr>
            <w:r>
              <w:rPr>
                <w:rFonts w:ascii="Times New Roman" w:hAnsi="Times New Roman" w:eastAsia="Times New Roman"/>
                <w:b/>
                <w:i w:val="0"/>
                <w:sz w:val="22"/>
              </w:rPr>
              <w:t>BAcc</w:t>
            </w:r>
          </w:p>
        </w:tc>
      </w:tr>
      <w:tr>
        <w:tc>
          <w:tcPr>
            <w:tcW w:type="dxa" w:w="2268"/>
          </w:tcPr>
          <w:p>
            <w:pPr>
              <w:jc w:val="center"/>
            </w:pPr>
            <w:r>
              <w:rPr>
                <w:rFonts w:ascii="Times New Roman" w:hAnsi="Times New Roman" w:eastAsia="Times New Roman"/>
                <w:b w:val="0"/>
                <w:i w:val="0"/>
                <w:sz w:val="22"/>
              </w:rPr>
              <w:t>Sep</w:t>
            </w:r>
          </w:p>
        </w:tc>
        <w:tc>
          <w:tcPr>
            <w:tcW w:type="dxa" w:w="2268"/>
          </w:tcPr>
          <w:p>
            <w:pPr>
              <w:jc w:val="center"/>
            </w:pPr>
            <w:r>
              <w:rPr>
                <w:rFonts w:ascii="Times New Roman" w:hAnsi="Times New Roman" w:eastAsia="Times New Roman"/>
                <w:b w:val="0"/>
                <w:i w:val="0"/>
                <w:sz w:val="22"/>
              </w:rPr>
              <w:t>0.533 ± 0.012</w:t>
            </w:r>
          </w:p>
        </w:tc>
        <w:tc>
          <w:tcPr>
            <w:tcW w:type="dxa" w:w="2268"/>
          </w:tcPr>
          <w:p>
            <w:pPr>
              <w:jc w:val="center"/>
            </w:pPr>
            <w:r>
              <w:rPr>
                <w:rFonts w:ascii="Times New Roman" w:hAnsi="Times New Roman" w:eastAsia="Times New Roman"/>
                <w:b w:val="0"/>
                <w:i w:val="0"/>
                <w:sz w:val="22"/>
              </w:rPr>
              <w:t>0.801 ± 0.003</w:t>
            </w:r>
          </w:p>
        </w:tc>
        <w:tc>
          <w:tcPr>
            <w:tcW w:type="dxa" w:w="2268"/>
          </w:tcPr>
          <w:p>
            <w:pPr>
              <w:jc w:val="center"/>
            </w:pPr>
            <w:r>
              <w:rPr>
                <w:rFonts w:ascii="Times New Roman" w:hAnsi="Times New Roman" w:eastAsia="Times New Roman"/>
                <w:b w:val="0"/>
                <w:i w:val="0"/>
                <w:sz w:val="22"/>
              </w:rPr>
              <w:t>0.594 ± 0.015</w:t>
            </w:r>
          </w:p>
        </w:tc>
      </w:tr>
      <w:tr>
        <w:tc>
          <w:tcPr>
            <w:tcW w:type="dxa" w:w="2268"/>
          </w:tcPr>
          <w:p>
            <w:pPr>
              <w:jc w:val="center"/>
            </w:pPr>
            <w:r>
              <w:rPr>
                <w:rFonts w:ascii="Times New Roman" w:hAnsi="Times New Roman" w:eastAsia="Times New Roman"/>
                <w:b w:val="0"/>
                <w:i w:val="0"/>
                <w:sz w:val="22"/>
              </w:rPr>
              <w:t>CRyE</w:t>
            </w:r>
          </w:p>
        </w:tc>
        <w:tc>
          <w:tcPr>
            <w:tcW w:type="dxa" w:w="2268"/>
          </w:tcPr>
          <w:p>
            <w:pPr>
              <w:jc w:val="center"/>
            </w:pPr>
            <w:r>
              <w:rPr>
                <w:rFonts w:ascii="Times New Roman" w:hAnsi="Times New Roman" w:eastAsia="Times New Roman"/>
                <w:b w:val="0"/>
                <w:i w:val="0"/>
                <w:sz w:val="22"/>
              </w:rPr>
              <w:t>0.521 ± 0.004</w:t>
            </w:r>
          </w:p>
        </w:tc>
        <w:tc>
          <w:tcPr>
            <w:tcW w:type="dxa" w:w="2268"/>
          </w:tcPr>
          <w:p>
            <w:pPr>
              <w:jc w:val="center"/>
            </w:pPr>
            <w:r>
              <w:rPr>
                <w:rFonts w:ascii="Times New Roman" w:hAnsi="Times New Roman" w:eastAsia="Times New Roman"/>
                <w:b w:val="0"/>
                <w:i w:val="0"/>
                <w:sz w:val="22"/>
              </w:rPr>
              <w:t>0.786 ± 0.002</w:t>
            </w:r>
          </w:p>
        </w:tc>
        <w:tc>
          <w:tcPr>
            <w:tcW w:type="dxa" w:w="2268"/>
          </w:tcPr>
          <w:p>
            <w:pPr>
              <w:jc w:val="center"/>
            </w:pPr>
            <w:r>
              <w:rPr>
                <w:rFonts w:ascii="Times New Roman" w:hAnsi="Times New Roman" w:eastAsia="Times New Roman"/>
                <w:b w:val="0"/>
                <w:i w:val="0"/>
                <w:sz w:val="22"/>
              </w:rPr>
              <w:t>0.565 ± 0.008</w:t>
            </w:r>
          </w:p>
        </w:tc>
      </w:tr>
      <w:tr>
        <w:tc>
          <w:tcPr>
            <w:tcW w:type="dxa" w:w="2268"/>
          </w:tcPr>
          <w:p>
            <w:pPr>
              <w:jc w:val="center"/>
            </w:pPr>
            <w:r>
              <w:rPr>
                <w:rFonts w:ascii="Times New Roman" w:hAnsi="Times New Roman" w:eastAsia="Times New Roman"/>
                <w:b w:val="0"/>
                <w:i w:val="0"/>
                <w:sz w:val="22"/>
              </w:rPr>
              <w:t>GBE</w:t>
            </w:r>
          </w:p>
        </w:tc>
        <w:tc>
          <w:tcPr>
            <w:tcW w:type="dxa" w:w="2268"/>
          </w:tcPr>
          <w:p>
            <w:pPr>
              <w:jc w:val="center"/>
            </w:pPr>
            <w:r>
              <w:rPr>
                <w:rFonts w:ascii="Times New Roman" w:hAnsi="Times New Roman" w:eastAsia="Times New Roman"/>
                <w:b w:val="0"/>
                <w:i w:val="0"/>
                <w:sz w:val="22"/>
              </w:rPr>
              <w:t>0.522 ± 0.006</w:t>
            </w:r>
          </w:p>
        </w:tc>
        <w:tc>
          <w:tcPr>
            <w:tcW w:type="dxa" w:w="2268"/>
          </w:tcPr>
          <w:p>
            <w:pPr>
              <w:jc w:val="center"/>
            </w:pPr>
            <w:r>
              <w:rPr>
                <w:rFonts w:ascii="Times New Roman" w:hAnsi="Times New Roman" w:eastAsia="Times New Roman"/>
                <w:b w:val="0"/>
                <w:i w:val="0"/>
                <w:sz w:val="22"/>
              </w:rPr>
              <w:t>0.799 ± 0.001</w:t>
            </w:r>
          </w:p>
        </w:tc>
        <w:tc>
          <w:tcPr>
            <w:tcW w:type="dxa" w:w="2268"/>
          </w:tcPr>
          <w:p>
            <w:pPr>
              <w:jc w:val="center"/>
            </w:pPr>
            <w:r>
              <w:rPr>
                <w:rFonts w:ascii="Times New Roman" w:hAnsi="Times New Roman" w:eastAsia="Times New Roman"/>
                <w:b w:val="0"/>
                <w:i w:val="0"/>
                <w:sz w:val="22"/>
              </w:rPr>
              <w:t>0.591 ± 0.004</w:t>
            </w:r>
          </w:p>
        </w:tc>
      </w:tr>
      <w:tr>
        <w:tc>
          <w:tcPr>
            <w:tcW w:type="dxa" w:w="2268"/>
          </w:tcPr>
          <w:p>
            <w:pPr>
              <w:jc w:val="center"/>
            </w:pPr>
            <w:r>
              <w:rPr>
                <w:rFonts w:ascii="Times New Roman" w:hAnsi="Times New Roman" w:eastAsia="Times New Roman"/>
                <w:b w:val="0"/>
                <w:i w:val="0"/>
                <w:sz w:val="22"/>
              </w:rPr>
              <w:t>CSE</w:t>
            </w:r>
          </w:p>
        </w:tc>
        <w:tc>
          <w:tcPr>
            <w:tcW w:type="dxa" w:w="2268"/>
          </w:tcPr>
          <w:p>
            <w:pPr>
              <w:jc w:val="center"/>
            </w:pPr>
            <w:r>
              <w:rPr>
                <w:rFonts w:ascii="Times New Roman" w:hAnsi="Times New Roman" w:eastAsia="Times New Roman"/>
                <w:b w:val="0"/>
                <w:i w:val="0"/>
                <w:sz w:val="22"/>
              </w:rPr>
              <w:t>0.522 ± 0.007</w:t>
            </w:r>
          </w:p>
        </w:tc>
        <w:tc>
          <w:tcPr>
            <w:tcW w:type="dxa" w:w="2268"/>
          </w:tcPr>
          <w:p>
            <w:pPr>
              <w:jc w:val="center"/>
            </w:pPr>
            <w:r>
              <w:rPr>
                <w:rFonts w:ascii="Times New Roman" w:hAnsi="Times New Roman" w:eastAsia="Times New Roman"/>
                <w:b w:val="0"/>
                <w:i w:val="0"/>
                <w:sz w:val="22"/>
              </w:rPr>
              <w:t>0.786 ± 0.003</w:t>
            </w:r>
          </w:p>
        </w:tc>
        <w:tc>
          <w:tcPr>
            <w:tcW w:type="dxa" w:w="2268"/>
          </w:tcPr>
          <w:p>
            <w:pPr>
              <w:jc w:val="center"/>
            </w:pPr>
            <w:r>
              <w:rPr>
                <w:rFonts w:ascii="Times New Roman" w:hAnsi="Times New Roman" w:eastAsia="Times New Roman"/>
                <w:b w:val="0"/>
                <w:i w:val="0"/>
                <w:sz w:val="22"/>
              </w:rPr>
              <w:t>0.568 ± 0.008</w:t>
            </w:r>
          </w:p>
        </w:tc>
      </w:tr>
      <w:tr>
        <w:tc>
          <w:tcPr>
            <w:tcW w:type="dxa" w:w="2268"/>
          </w:tcPr>
          <w:p>
            <w:pPr>
              <w:jc w:val="center"/>
            </w:pPr>
            <w:r>
              <w:rPr>
                <w:rFonts w:ascii="Times New Roman" w:hAnsi="Times New Roman" w:eastAsia="Times New Roman"/>
                <w:b w:val="0"/>
                <w:i w:val="0"/>
                <w:sz w:val="22"/>
              </w:rPr>
              <w:t>PA-CSE</w:t>
            </w:r>
          </w:p>
        </w:tc>
        <w:tc>
          <w:tcPr>
            <w:tcW w:type="dxa" w:w="2268"/>
          </w:tcPr>
          <w:p>
            <w:pPr>
              <w:jc w:val="center"/>
            </w:pPr>
            <w:r>
              <w:rPr>
                <w:rFonts w:ascii="Times New Roman" w:hAnsi="Times New Roman" w:eastAsia="Times New Roman"/>
                <w:b w:val="0"/>
                <w:i w:val="0"/>
                <w:sz w:val="22"/>
              </w:rPr>
              <w:t>0.526 ± 0.006</w:t>
            </w:r>
          </w:p>
        </w:tc>
        <w:tc>
          <w:tcPr>
            <w:tcW w:type="dxa" w:w="2268"/>
          </w:tcPr>
          <w:p>
            <w:pPr>
              <w:jc w:val="center"/>
            </w:pPr>
            <w:r>
              <w:rPr>
                <w:rFonts w:ascii="Times New Roman" w:hAnsi="Times New Roman" w:eastAsia="Times New Roman"/>
                <w:b w:val="0"/>
                <w:i w:val="0"/>
                <w:sz w:val="22"/>
              </w:rPr>
              <w:t>0.792 ± 0.005</w:t>
            </w:r>
          </w:p>
        </w:tc>
        <w:tc>
          <w:tcPr>
            <w:tcW w:type="dxa" w:w="2268"/>
          </w:tcPr>
          <w:p>
            <w:pPr>
              <w:jc w:val="center"/>
            </w:pPr>
            <w:r>
              <w:rPr>
                <w:rFonts w:ascii="Times New Roman" w:hAnsi="Times New Roman" w:eastAsia="Times New Roman"/>
                <w:b w:val="0"/>
                <w:i w:val="0"/>
                <w:sz w:val="22"/>
              </w:rPr>
              <w:t>0.580 ± 0.009</w:t>
            </w:r>
          </w:p>
        </w:tc>
      </w:tr>
      <w:tr>
        <w:tc>
          <w:tcPr>
            <w:tcW w:type="dxa" w:w="2268"/>
          </w:tcPr>
          <w:p>
            <w:pPr>
              <w:jc w:val="center"/>
            </w:pPr>
            <w:r>
              <w:rPr>
                <w:rFonts w:ascii="Times New Roman" w:hAnsi="Times New Roman" w:eastAsia="Times New Roman"/>
                <w:b w:val="0"/>
                <w:i w:val="0"/>
                <w:sz w:val="22"/>
              </w:rPr>
              <w:t>CP-2L</w:t>
            </w:r>
          </w:p>
        </w:tc>
        <w:tc>
          <w:tcPr>
            <w:tcW w:type="dxa" w:w="2268"/>
          </w:tcPr>
          <w:p>
            <w:pPr>
              <w:jc w:val="center"/>
            </w:pPr>
            <w:r>
              <w:rPr>
                <w:rFonts w:ascii="Times New Roman" w:hAnsi="Times New Roman" w:eastAsia="Times New Roman"/>
                <w:b w:val="0"/>
                <w:i w:val="0"/>
                <w:sz w:val="22"/>
              </w:rPr>
              <w:t>0.526 ± 0.006</w:t>
            </w:r>
          </w:p>
        </w:tc>
        <w:tc>
          <w:tcPr>
            <w:tcW w:type="dxa" w:w="2268"/>
          </w:tcPr>
          <w:p>
            <w:pPr>
              <w:jc w:val="center"/>
            </w:pPr>
            <w:r>
              <w:rPr>
                <w:rFonts w:ascii="Times New Roman" w:hAnsi="Times New Roman" w:eastAsia="Times New Roman"/>
                <w:b w:val="0"/>
                <w:i w:val="0"/>
                <w:sz w:val="22"/>
              </w:rPr>
              <w:t>0.799 ± 0.002</w:t>
            </w:r>
          </w:p>
        </w:tc>
        <w:tc>
          <w:tcPr>
            <w:tcW w:type="dxa" w:w="2268"/>
          </w:tcPr>
          <w:p>
            <w:pPr>
              <w:jc w:val="center"/>
            </w:pPr>
            <w:r>
              <w:rPr>
                <w:rFonts w:ascii="Times New Roman" w:hAnsi="Times New Roman" w:eastAsia="Times New Roman"/>
                <w:b w:val="0"/>
                <w:i w:val="0"/>
                <w:sz w:val="22"/>
              </w:rPr>
              <w:t>0.593 ± 0.005</w:t>
            </w:r>
          </w:p>
        </w:tc>
      </w:tr>
    </w:tbl>
    <w:p>
      <w:pPr>
        <w:spacing w:line="264" w:lineRule="auto" w:after="40" w:before="0"/>
        <w:jc w:val="both"/>
      </w:pPr>
    </w:p>
    <w:p>
      <w:pPr>
        <w:spacing w:line="264" w:lineRule="auto" w:after="120" w:before="0"/>
        <w:jc w:val="center"/>
      </w:pPr>
      <w:r>
        <w:rPr>
          <w:rFonts w:ascii="Times New Roman" w:hAnsi="Times New Roman" w:eastAsia="Times New Roman"/>
          <w:b w:val="0"/>
          <w:i w:val="0"/>
          <w:sz w:val="22"/>
        </w:rPr>
        <w:t>Table 2. Phase-1B — 1D CNN over windows, PhysioNet 2017, 5 seeds (best head).</w:t>
      </w:r>
    </w:p>
    <w:tbl>
      <w:tblPr>
        <w:tblStyle w:val="TableGrid"/>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none"/>
        </w:tblBorders>
      </w:tblPr>
      <w:tblGrid>
        <w:gridCol w:w="2268"/>
        <w:gridCol w:w="2268"/>
        <w:gridCol w:w="2268"/>
        <w:gridCol w:w="2268"/>
      </w:tblGrid>
      <w:tr>
        <w:tc>
          <w:tcPr>
            <w:tcW w:type="dxa" w:w="2268"/>
          </w:tcPr>
          <w:p>
            <w:pPr>
              <w:jc w:val="center"/>
            </w:pPr>
            <w:r>
              <w:rPr>
                <w:rFonts w:ascii="Times New Roman" w:hAnsi="Times New Roman" w:eastAsia="Times New Roman"/>
                <w:b/>
                <w:i w:val="0"/>
                <w:sz w:val="22"/>
              </w:rPr>
              <w:t>Scheme</w:t>
            </w:r>
          </w:p>
        </w:tc>
        <w:tc>
          <w:tcPr>
            <w:tcW w:type="dxa" w:w="2268"/>
          </w:tcPr>
          <w:p>
            <w:pPr>
              <w:jc w:val="center"/>
            </w:pPr>
            <w:r>
              <w:rPr>
                <w:rFonts w:ascii="Times New Roman" w:hAnsi="Times New Roman" w:eastAsia="Times New Roman"/>
                <w:b/>
                <w:i w:val="0"/>
                <w:sz w:val="22"/>
              </w:rPr>
              <w:t>macro-F1</w:t>
            </w:r>
          </w:p>
        </w:tc>
        <w:tc>
          <w:tcPr>
            <w:tcW w:type="dxa" w:w="2268"/>
          </w:tcPr>
          <w:p>
            <w:pPr>
              <w:jc w:val="center"/>
            </w:pPr>
            <w:r>
              <w:rPr>
                <w:rFonts w:ascii="Times New Roman" w:hAnsi="Times New Roman" w:eastAsia="Times New Roman"/>
                <w:b/>
                <w:i w:val="0"/>
                <w:sz w:val="22"/>
              </w:rPr>
              <w:t>AUC</w:t>
            </w:r>
          </w:p>
        </w:tc>
        <w:tc>
          <w:tcPr>
            <w:tcW w:type="dxa" w:w="2268"/>
          </w:tcPr>
          <w:p>
            <w:pPr>
              <w:jc w:val="center"/>
            </w:pPr>
            <w:r>
              <w:rPr>
                <w:rFonts w:ascii="Times New Roman" w:hAnsi="Times New Roman" w:eastAsia="Times New Roman"/>
                <w:b/>
                <w:i w:val="0"/>
                <w:sz w:val="22"/>
              </w:rPr>
              <w:t>BAcc</w:t>
            </w:r>
          </w:p>
        </w:tc>
      </w:tr>
      <w:tr>
        <w:tc>
          <w:tcPr>
            <w:tcW w:type="dxa" w:w="2268"/>
          </w:tcPr>
          <w:p>
            <w:pPr>
              <w:jc w:val="center"/>
            </w:pPr>
            <w:r>
              <w:rPr>
                <w:rFonts w:ascii="Times New Roman" w:hAnsi="Times New Roman" w:eastAsia="Times New Roman"/>
                <w:b w:val="0"/>
                <w:i w:val="0"/>
                <w:sz w:val="22"/>
              </w:rPr>
              <w:t>Sep</w:t>
            </w:r>
          </w:p>
        </w:tc>
        <w:tc>
          <w:tcPr>
            <w:tcW w:type="dxa" w:w="2268"/>
          </w:tcPr>
          <w:p>
            <w:pPr>
              <w:jc w:val="center"/>
            </w:pPr>
            <w:r>
              <w:rPr>
                <w:rFonts w:ascii="Times New Roman" w:hAnsi="Times New Roman" w:eastAsia="Times New Roman"/>
                <w:b w:val="0"/>
                <w:i w:val="0"/>
                <w:sz w:val="22"/>
              </w:rPr>
              <w:t>0.669 ± 0.005</w:t>
            </w:r>
          </w:p>
        </w:tc>
        <w:tc>
          <w:tcPr>
            <w:tcW w:type="dxa" w:w="2268"/>
          </w:tcPr>
          <w:p>
            <w:pPr>
              <w:jc w:val="center"/>
            </w:pPr>
            <w:r>
              <w:rPr>
                <w:rFonts w:ascii="Times New Roman" w:hAnsi="Times New Roman" w:eastAsia="Times New Roman"/>
                <w:b w:val="0"/>
                <w:i w:val="0"/>
                <w:sz w:val="22"/>
              </w:rPr>
              <w:t>0.891 ± 0.001</w:t>
            </w:r>
          </w:p>
        </w:tc>
        <w:tc>
          <w:tcPr>
            <w:tcW w:type="dxa" w:w="2268"/>
          </w:tcPr>
          <w:p>
            <w:pPr>
              <w:jc w:val="center"/>
            </w:pPr>
            <w:r>
              <w:rPr>
                <w:rFonts w:ascii="Times New Roman" w:hAnsi="Times New Roman" w:eastAsia="Times New Roman"/>
                <w:b w:val="0"/>
                <w:i w:val="0"/>
                <w:sz w:val="22"/>
              </w:rPr>
              <w:t>0.688 ± 0.009</w:t>
            </w:r>
          </w:p>
        </w:tc>
      </w:tr>
      <w:tr>
        <w:tc>
          <w:tcPr>
            <w:tcW w:type="dxa" w:w="2268"/>
          </w:tcPr>
          <w:p>
            <w:pPr>
              <w:jc w:val="center"/>
            </w:pPr>
            <w:r>
              <w:rPr>
                <w:rFonts w:ascii="Times New Roman" w:hAnsi="Times New Roman" w:eastAsia="Times New Roman"/>
                <w:b w:val="0"/>
                <w:i w:val="0"/>
                <w:sz w:val="22"/>
              </w:rPr>
              <w:t>CRyE</w:t>
            </w:r>
          </w:p>
        </w:tc>
        <w:tc>
          <w:tcPr>
            <w:tcW w:type="dxa" w:w="2268"/>
          </w:tcPr>
          <w:p>
            <w:pPr>
              <w:jc w:val="center"/>
            </w:pPr>
            <w:r>
              <w:rPr>
                <w:rFonts w:ascii="Times New Roman" w:hAnsi="Times New Roman" w:eastAsia="Times New Roman"/>
                <w:b w:val="0"/>
                <w:i w:val="0"/>
                <w:sz w:val="22"/>
              </w:rPr>
              <w:t>0.642 ± 0.012</w:t>
            </w:r>
          </w:p>
        </w:tc>
        <w:tc>
          <w:tcPr>
            <w:tcW w:type="dxa" w:w="2268"/>
          </w:tcPr>
          <w:p>
            <w:pPr>
              <w:jc w:val="center"/>
            </w:pPr>
            <w:r>
              <w:rPr>
                <w:rFonts w:ascii="Times New Roman" w:hAnsi="Times New Roman" w:eastAsia="Times New Roman"/>
                <w:b w:val="0"/>
                <w:i w:val="0"/>
                <w:sz w:val="22"/>
              </w:rPr>
              <w:t>0.878 ± 0.005</w:t>
            </w:r>
          </w:p>
        </w:tc>
        <w:tc>
          <w:tcPr>
            <w:tcW w:type="dxa" w:w="2268"/>
          </w:tcPr>
          <w:p>
            <w:pPr>
              <w:jc w:val="center"/>
            </w:pPr>
            <w:r>
              <w:rPr>
                <w:rFonts w:ascii="Times New Roman" w:hAnsi="Times New Roman" w:eastAsia="Times New Roman"/>
                <w:b w:val="0"/>
                <w:i w:val="0"/>
                <w:sz w:val="22"/>
              </w:rPr>
              <w:t>0.662 ± 0.008</w:t>
            </w:r>
          </w:p>
        </w:tc>
      </w:tr>
      <w:tr>
        <w:tc>
          <w:tcPr>
            <w:tcW w:type="dxa" w:w="2268"/>
          </w:tcPr>
          <w:p>
            <w:pPr>
              <w:jc w:val="center"/>
            </w:pPr>
            <w:r>
              <w:rPr>
                <w:rFonts w:ascii="Times New Roman" w:hAnsi="Times New Roman" w:eastAsia="Times New Roman"/>
                <w:b w:val="0"/>
                <w:i w:val="0"/>
                <w:sz w:val="22"/>
              </w:rPr>
              <w:t>GBE</w:t>
            </w:r>
          </w:p>
        </w:tc>
        <w:tc>
          <w:tcPr>
            <w:tcW w:type="dxa" w:w="2268"/>
          </w:tcPr>
          <w:p>
            <w:pPr>
              <w:jc w:val="center"/>
            </w:pPr>
            <w:r>
              <w:rPr>
                <w:rFonts w:ascii="Times New Roman" w:hAnsi="Times New Roman" w:eastAsia="Times New Roman"/>
                <w:b w:val="0"/>
                <w:i w:val="0"/>
                <w:sz w:val="22"/>
              </w:rPr>
              <w:t>0.598 ± 0.006</w:t>
            </w:r>
          </w:p>
        </w:tc>
        <w:tc>
          <w:tcPr>
            <w:tcW w:type="dxa" w:w="2268"/>
          </w:tcPr>
          <w:p>
            <w:pPr>
              <w:jc w:val="center"/>
            </w:pPr>
            <w:r>
              <w:rPr>
                <w:rFonts w:ascii="Times New Roman" w:hAnsi="Times New Roman" w:eastAsia="Times New Roman"/>
                <w:b w:val="0"/>
                <w:i w:val="0"/>
                <w:sz w:val="22"/>
              </w:rPr>
              <w:t>0.855 ± 0.003</w:t>
            </w:r>
          </w:p>
        </w:tc>
        <w:tc>
          <w:tcPr>
            <w:tcW w:type="dxa" w:w="2268"/>
          </w:tcPr>
          <w:p>
            <w:pPr>
              <w:jc w:val="center"/>
            </w:pPr>
            <w:r>
              <w:rPr>
                <w:rFonts w:ascii="Times New Roman" w:hAnsi="Times New Roman" w:eastAsia="Times New Roman"/>
                <w:b w:val="0"/>
                <w:i w:val="0"/>
                <w:sz w:val="22"/>
              </w:rPr>
              <w:t>0.614 ± 0.018</w:t>
            </w:r>
          </w:p>
        </w:tc>
      </w:tr>
      <w:tr>
        <w:tc>
          <w:tcPr>
            <w:tcW w:type="dxa" w:w="2268"/>
          </w:tcPr>
          <w:p>
            <w:pPr>
              <w:jc w:val="center"/>
            </w:pPr>
            <w:r>
              <w:rPr>
                <w:rFonts w:ascii="Times New Roman" w:hAnsi="Times New Roman" w:eastAsia="Times New Roman"/>
                <w:b w:val="0"/>
                <w:i w:val="0"/>
                <w:sz w:val="22"/>
              </w:rPr>
              <w:t>CSE</w:t>
            </w:r>
          </w:p>
        </w:tc>
        <w:tc>
          <w:tcPr>
            <w:tcW w:type="dxa" w:w="2268"/>
          </w:tcPr>
          <w:p>
            <w:pPr>
              <w:jc w:val="center"/>
            </w:pPr>
            <w:r>
              <w:rPr>
                <w:rFonts w:ascii="Times New Roman" w:hAnsi="Times New Roman" w:eastAsia="Times New Roman"/>
                <w:b w:val="0"/>
                <w:i w:val="0"/>
                <w:sz w:val="22"/>
              </w:rPr>
              <w:t>0.621 ± 0.009</w:t>
            </w:r>
          </w:p>
        </w:tc>
        <w:tc>
          <w:tcPr>
            <w:tcW w:type="dxa" w:w="2268"/>
          </w:tcPr>
          <w:p>
            <w:pPr>
              <w:jc w:val="center"/>
            </w:pPr>
            <w:r>
              <w:rPr>
                <w:rFonts w:ascii="Times New Roman" w:hAnsi="Times New Roman" w:eastAsia="Times New Roman"/>
                <w:b w:val="0"/>
                <w:i w:val="0"/>
                <w:sz w:val="22"/>
              </w:rPr>
              <w:t>0.872 ± 0.002</w:t>
            </w:r>
          </w:p>
        </w:tc>
        <w:tc>
          <w:tcPr>
            <w:tcW w:type="dxa" w:w="2268"/>
          </w:tcPr>
          <w:p>
            <w:pPr>
              <w:jc w:val="center"/>
            </w:pPr>
            <w:r>
              <w:rPr>
                <w:rFonts w:ascii="Times New Roman" w:hAnsi="Times New Roman" w:eastAsia="Times New Roman"/>
                <w:b w:val="0"/>
                <w:i w:val="0"/>
                <w:sz w:val="22"/>
              </w:rPr>
              <w:t>0.651 ± 0.007</w:t>
            </w:r>
          </w:p>
        </w:tc>
      </w:tr>
      <w:tr>
        <w:tc>
          <w:tcPr>
            <w:tcW w:type="dxa" w:w="2268"/>
          </w:tcPr>
          <w:p>
            <w:pPr>
              <w:jc w:val="center"/>
            </w:pPr>
            <w:r>
              <w:rPr>
                <w:rFonts w:ascii="Times New Roman" w:hAnsi="Times New Roman" w:eastAsia="Times New Roman"/>
                <w:b w:val="0"/>
                <w:i w:val="0"/>
                <w:sz w:val="22"/>
              </w:rPr>
              <w:t>PA-CSE</w:t>
            </w:r>
          </w:p>
        </w:tc>
        <w:tc>
          <w:tcPr>
            <w:tcW w:type="dxa" w:w="2268"/>
          </w:tcPr>
          <w:p>
            <w:pPr>
              <w:jc w:val="center"/>
            </w:pPr>
            <w:r>
              <w:rPr>
                <w:rFonts w:ascii="Times New Roman" w:hAnsi="Times New Roman" w:eastAsia="Times New Roman"/>
                <w:b w:val="0"/>
                <w:i w:val="0"/>
                <w:sz w:val="22"/>
              </w:rPr>
              <w:t>0.670 ± 0.004</w:t>
            </w:r>
          </w:p>
        </w:tc>
        <w:tc>
          <w:tcPr>
            <w:tcW w:type="dxa" w:w="2268"/>
          </w:tcPr>
          <w:p>
            <w:pPr>
              <w:jc w:val="center"/>
            </w:pPr>
            <w:r>
              <w:rPr>
                <w:rFonts w:ascii="Times New Roman" w:hAnsi="Times New Roman" w:eastAsia="Times New Roman"/>
                <w:b w:val="0"/>
                <w:i w:val="0"/>
                <w:sz w:val="22"/>
              </w:rPr>
              <w:t>0.887 ± 0.001</w:t>
            </w:r>
          </w:p>
        </w:tc>
        <w:tc>
          <w:tcPr>
            <w:tcW w:type="dxa" w:w="2268"/>
          </w:tcPr>
          <w:p>
            <w:pPr>
              <w:jc w:val="center"/>
            </w:pPr>
            <w:r>
              <w:rPr>
                <w:rFonts w:ascii="Times New Roman" w:hAnsi="Times New Roman" w:eastAsia="Times New Roman"/>
                <w:b w:val="0"/>
                <w:i w:val="0"/>
                <w:sz w:val="22"/>
              </w:rPr>
              <w:t>0.682 ± 0.007</w:t>
            </w:r>
          </w:p>
        </w:tc>
      </w:tr>
      <w:tr>
        <w:tc>
          <w:tcPr>
            <w:tcW w:type="dxa" w:w="2268"/>
          </w:tcPr>
          <w:p>
            <w:pPr>
              <w:jc w:val="center"/>
            </w:pPr>
            <w:r>
              <w:rPr>
                <w:rFonts w:ascii="Times New Roman" w:hAnsi="Times New Roman" w:eastAsia="Times New Roman"/>
                <w:b w:val="0"/>
                <w:i w:val="0"/>
                <w:sz w:val="22"/>
              </w:rPr>
              <w:t>CP-2L</w:t>
            </w:r>
          </w:p>
        </w:tc>
        <w:tc>
          <w:tcPr>
            <w:tcW w:type="dxa" w:w="2268"/>
          </w:tcPr>
          <w:p>
            <w:pPr>
              <w:jc w:val="center"/>
            </w:pPr>
            <w:r>
              <w:rPr>
                <w:rFonts w:ascii="Times New Roman" w:hAnsi="Times New Roman" w:eastAsia="Times New Roman"/>
                <w:b w:val="0"/>
                <w:i w:val="0"/>
                <w:sz w:val="22"/>
              </w:rPr>
              <w:t>0.659 ± 0.013</w:t>
            </w:r>
          </w:p>
        </w:tc>
        <w:tc>
          <w:tcPr>
            <w:tcW w:type="dxa" w:w="2268"/>
          </w:tcPr>
          <w:p>
            <w:pPr>
              <w:jc w:val="center"/>
            </w:pPr>
            <w:r>
              <w:rPr>
                <w:rFonts w:ascii="Times New Roman" w:hAnsi="Times New Roman" w:eastAsia="Times New Roman"/>
                <w:b w:val="0"/>
                <w:i w:val="0"/>
                <w:sz w:val="22"/>
              </w:rPr>
              <w:t>0.886 ± 0.003</w:t>
            </w:r>
          </w:p>
        </w:tc>
        <w:tc>
          <w:tcPr>
            <w:tcW w:type="dxa" w:w="2268"/>
          </w:tcPr>
          <w:p>
            <w:pPr>
              <w:jc w:val="center"/>
            </w:pPr>
            <w:r>
              <w:rPr>
                <w:rFonts w:ascii="Times New Roman" w:hAnsi="Times New Roman" w:eastAsia="Times New Roman"/>
                <w:b w:val="0"/>
                <w:i w:val="0"/>
                <w:sz w:val="22"/>
              </w:rPr>
              <w:t>0.665 ± 0.013</w:t>
            </w:r>
          </w:p>
        </w:tc>
      </w:tr>
    </w:tbl>
    <w:p>
      <w:pPr>
        <w:spacing w:line="264" w:lineRule="auto" w:after="40" w:before="0"/>
        <w:jc w:val="both"/>
      </w:pPr>
    </w:p>
    <w:p>
      <w:pPr>
        <w:spacing w:line="264" w:lineRule="auto" w:after="120" w:before="80"/>
        <w:jc w:val="left"/>
      </w:pPr>
      <w:r>
        <w:rPr>
          <w:rFonts w:ascii="Times New Roman" w:hAnsi="Times New Roman" w:eastAsia="Times New Roman"/>
          <w:b/>
          <w:i w:val="0"/>
          <w:sz w:val="22"/>
        </w:rPr>
        <w:t>Aggregation discards temporal order</w:t>
      </w:r>
    </w:p>
    <w:p>
      <w:pPr>
        <w:spacing w:line="264" w:lineRule="auto" w:after="120" w:before="0"/>
        <w:jc w:val="both"/>
      </w:pPr>
      <w:r>
        <w:rPr>
          <w:rFonts w:ascii="Times New Roman" w:hAnsi="Times New Roman" w:eastAsia="Times New Roman"/>
          <w:b w:val="0"/>
          <w:i w:val="0"/>
          <w:sz w:val="22"/>
        </w:rPr>
        <w:t>The MLP on aggregated features tops out at 0.533 (Sep), 14 points below the same encoder through the 1D CNN (0.669). Pooling per-sample statistics over the recording removes the temporal structure that distinguishes rhythms, and the CNN recovers it, locating the useful signal in window order rather than in the per-window statistics.</w:t>
      </w:r>
    </w:p>
    <w:p>
      <w:pPr>
        <w:spacing w:line="264" w:lineRule="auto" w:after="120" w:before="80"/>
        <w:jc w:val="left"/>
      </w:pPr>
      <w:r>
        <w:rPr>
          <w:rFonts w:ascii="Times New Roman" w:hAnsi="Times New Roman" w:eastAsia="Times New Roman"/>
          <w:b/>
          <w:i w:val="0"/>
          <w:sz w:val="22"/>
        </w:rPr>
        <w:t>QMBC-Net does not beat a plain CNN</w:t>
      </w:r>
    </w:p>
    <w:p>
      <w:pPr>
        <w:spacing w:line="264" w:lineRule="auto" w:after="120" w:before="0"/>
        <w:jc w:val="both"/>
      </w:pPr>
      <w:r>
        <w:rPr>
          <w:rFonts w:ascii="Times New Roman" w:hAnsi="Times New Roman" w:eastAsia="Times New Roman"/>
          <w:b w:val="0"/>
          <w:i w:val="0"/>
          <w:sz w:val="22"/>
        </w:rPr>
        <w:t>QMBC-Net was included to test whether a head built around the measurement bases helps. It does not (Table 3). Its best scheme reaches 0.562 (Sep), ten points below the 1D CNN. The basis-token attention adds parameters and structure without accuracy, and the per-basis gates do not concentrate on any single projection axis. The architectural claim is not supported.</w:t>
      </w:r>
    </w:p>
    <w:p>
      <w:pPr>
        <w:spacing w:line="264" w:lineRule="auto" w:after="120" w:before="0"/>
        <w:jc w:val="center"/>
      </w:pPr>
      <w:r>
        <w:rPr>
          <w:rFonts w:ascii="Times New Roman" w:hAnsi="Times New Roman" w:eastAsia="Times New Roman"/>
          <w:b w:val="0"/>
          <w:i w:val="0"/>
          <w:sz w:val="22"/>
        </w:rPr>
        <w:t>Table 3. Phase-2 — QMBC-Net, PhysioNet 2017, 5 seeds.</w:t>
      </w:r>
    </w:p>
    <w:tbl>
      <w:tblPr>
        <w:tblStyle w:val="TableGrid"/>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none"/>
        </w:tblBorders>
      </w:tblPr>
      <w:tblGrid>
        <w:gridCol w:w="2268"/>
        <w:gridCol w:w="2268"/>
        <w:gridCol w:w="2268"/>
        <w:gridCol w:w="2268"/>
      </w:tblGrid>
      <w:tr>
        <w:tc>
          <w:tcPr>
            <w:tcW w:type="dxa" w:w="2268"/>
          </w:tcPr>
          <w:p>
            <w:pPr>
              <w:jc w:val="center"/>
            </w:pPr>
            <w:r>
              <w:rPr>
                <w:rFonts w:ascii="Times New Roman" w:hAnsi="Times New Roman" w:eastAsia="Times New Roman"/>
                <w:b/>
                <w:i w:val="0"/>
                <w:sz w:val="22"/>
              </w:rPr>
              <w:t>Scheme</w:t>
            </w:r>
          </w:p>
        </w:tc>
        <w:tc>
          <w:tcPr>
            <w:tcW w:type="dxa" w:w="2268"/>
          </w:tcPr>
          <w:p>
            <w:pPr>
              <w:jc w:val="center"/>
            </w:pPr>
            <w:r>
              <w:rPr>
                <w:rFonts w:ascii="Times New Roman" w:hAnsi="Times New Roman" w:eastAsia="Times New Roman"/>
                <w:b/>
                <w:i w:val="0"/>
                <w:sz w:val="22"/>
              </w:rPr>
              <w:t>macro-F1</w:t>
            </w:r>
          </w:p>
        </w:tc>
        <w:tc>
          <w:tcPr>
            <w:tcW w:type="dxa" w:w="2268"/>
          </w:tcPr>
          <w:p>
            <w:pPr>
              <w:jc w:val="center"/>
            </w:pPr>
            <w:r>
              <w:rPr>
                <w:rFonts w:ascii="Times New Roman" w:hAnsi="Times New Roman" w:eastAsia="Times New Roman"/>
                <w:b/>
                <w:i w:val="0"/>
                <w:sz w:val="22"/>
              </w:rPr>
              <w:t>AUC</w:t>
            </w:r>
          </w:p>
        </w:tc>
        <w:tc>
          <w:tcPr>
            <w:tcW w:type="dxa" w:w="2268"/>
          </w:tcPr>
          <w:p>
            <w:pPr>
              <w:jc w:val="center"/>
            </w:pPr>
            <w:r>
              <w:rPr>
                <w:rFonts w:ascii="Times New Roman" w:hAnsi="Times New Roman" w:eastAsia="Times New Roman"/>
                <w:b/>
                <w:i w:val="0"/>
                <w:sz w:val="22"/>
              </w:rPr>
              <w:t>BAcc</w:t>
            </w:r>
          </w:p>
        </w:tc>
      </w:tr>
      <w:tr>
        <w:tc>
          <w:tcPr>
            <w:tcW w:type="dxa" w:w="2268"/>
          </w:tcPr>
          <w:p>
            <w:pPr>
              <w:jc w:val="center"/>
            </w:pPr>
            <w:r>
              <w:rPr>
                <w:rFonts w:ascii="Times New Roman" w:hAnsi="Times New Roman" w:eastAsia="Times New Roman"/>
                <w:b w:val="0"/>
                <w:i w:val="0"/>
                <w:sz w:val="22"/>
              </w:rPr>
              <w:t>Sep</w:t>
            </w:r>
          </w:p>
        </w:tc>
        <w:tc>
          <w:tcPr>
            <w:tcW w:type="dxa" w:w="2268"/>
          </w:tcPr>
          <w:p>
            <w:pPr>
              <w:jc w:val="center"/>
            </w:pPr>
            <w:r>
              <w:rPr>
                <w:rFonts w:ascii="Times New Roman" w:hAnsi="Times New Roman" w:eastAsia="Times New Roman"/>
                <w:b w:val="0"/>
                <w:i w:val="0"/>
                <w:sz w:val="22"/>
              </w:rPr>
              <w:t>0.562 ± 0.005</w:t>
            </w:r>
          </w:p>
        </w:tc>
        <w:tc>
          <w:tcPr>
            <w:tcW w:type="dxa" w:w="2268"/>
          </w:tcPr>
          <w:p>
            <w:pPr>
              <w:jc w:val="center"/>
            </w:pPr>
            <w:r>
              <w:rPr>
                <w:rFonts w:ascii="Times New Roman" w:hAnsi="Times New Roman" w:eastAsia="Times New Roman"/>
                <w:b w:val="0"/>
                <w:i w:val="0"/>
                <w:sz w:val="22"/>
              </w:rPr>
              <w:t>0.829 ± 0.001</w:t>
            </w:r>
          </w:p>
        </w:tc>
        <w:tc>
          <w:tcPr>
            <w:tcW w:type="dxa" w:w="2268"/>
          </w:tcPr>
          <w:p>
            <w:pPr>
              <w:jc w:val="center"/>
            </w:pPr>
            <w:r>
              <w:rPr>
                <w:rFonts w:ascii="Times New Roman" w:hAnsi="Times New Roman" w:eastAsia="Times New Roman"/>
                <w:b w:val="0"/>
                <w:i w:val="0"/>
                <w:sz w:val="22"/>
              </w:rPr>
              <w:t>0.584 ± 0.007</w:t>
            </w:r>
          </w:p>
        </w:tc>
      </w:tr>
      <w:tr>
        <w:tc>
          <w:tcPr>
            <w:tcW w:type="dxa" w:w="2268"/>
          </w:tcPr>
          <w:p>
            <w:pPr>
              <w:jc w:val="center"/>
            </w:pPr>
            <w:r>
              <w:rPr>
                <w:rFonts w:ascii="Times New Roman" w:hAnsi="Times New Roman" w:eastAsia="Times New Roman"/>
                <w:b w:val="0"/>
                <w:i w:val="0"/>
                <w:sz w:val="22"/>
              </w:rPr>
              <w:t>CRyE</w:t>
            </w:r>
          </w:p>
        </w:tc>
        <w:tc>
          <w:tcPr>
            <w:tcW w:type="dxa" w:w="2268"/>
          </w:tcPr>
          <w:p>
            <w:pPr>
              <w:jc w:val="center"/>
            </w:pPr>
            <w:r>
              <w:rPr>
                <w:rFonts w:ascii="Times New Roman" w:hAnsi="Times New Roman" w:eastAsia="Times New Roman"/>
                <w:b w:val="0"/>
                <w:i w:val="0"/>
                <w:sz w:val="22"/>
              </w:rPr>
              <w:t>0.511 ± 0.011</w:t>
            </w:r>
          </w:p>
        </w:tc>
        <w:tc>
          <w:tcPr>
            <w:tcW w:type="dxa" w:w="2268"/>
          </w:tcPr>
          <w:p>
            <w:pPr>
              <w:jc w:val="center"/>
            </w:pPr>
            <w:r>
              <w:rPr>
                <w:rFonts w:ascii="Times New Roman" w:hAnsi="Times New Roman" w:eastAsia="Times New Roman"/>
                <w:b w:val="0"/>
                <w:i w:val="0"/>
                <w:sz w:val="22"/>
              </w:rPr>
              <w:t>0.800 ± 0.002</w:t>
            </w:r>
          </w:p>
        </w:tc>
        <w:tc>
          <w:tcPr>
            <w:tcW w:type="dxa" w:w="2268"/>
          </w:tcPr>
          <w:p>
            <w:pPr>
              <w:jc w:val="center"/>
            </w:pPr>
            <w:r>
              <w:rPr>
                <w:rFonts w:ascii="Times New Roman" w:hAnsi="Times New Roman" w:eastAsia="Times New Roman"/>
                <w:b w:val="0"/>
                <w:i w:val="0"/>
                <w:sz w:val="22"/>
              </w:rPr>
              <w:t>0.536 ± 0.001</w:t>
            </w:r>
          </w:p>
        </w:tc>
      </w:tr>
      <w:tr>
        <w:tc>
          <w:tcPr>
            <w:tcW w:type="dxa" w:w="2268"/>
          </w:tcPr>
          <w:p>
            <w:pPr>
              <w:jc w:val="center"/>
            </w:pPr>
            <w:r>
              <w:rPr>
                <w:rFonts w:ascii="Times New Roman" w:hAnsi="Times New Roman" w:eastAsia="Times New Roman"/>
                <w:b w:val="0"/>
                <w:i w:val="0"/>
                <w:sz w:val="22"/>
              </w:rPr>
              <w:t>GBE</w:t>
            </w:r>
          </w:p>
        </w:tc>
        <w:tc>
          <w:tcPr>
            <w:tcW w:type="dxa" w:w="2268"/>
          </w:tcPr>
          <w:p>
            <w:pPr>
              <w:jc w:val="center"/>
            </w:pPr>
            <w:r>
              <w:rPr>
                <w:rFonts w:ascii="Times New Roman" w:hAnsi="Times New Roman" w:eastAsia="Times New Roman"/>
                <w:b w:val="0"/>
                <w:i w:val="0"/>
                <w:sz w:val="22"/>
              </w:rPr>
              <w:t>0.473 ± 0.009</w:t>
            </w:r>
          </w:p>
        </w:tc>
        <w:tc>
          <w:tcPr>
            <w:tcW w:type="dxa" w:w="2268"/>
          </w:tcPr>
          <w:p>
            <w:pPr>
              <w:jc w:val="center"/>
            </w:pPr>
            <w:r>
              <w:rPr>
                <w:rFonts w:ascii="Times New Roman" w:hAnsi="Times New Roman" w:eastAsia="Times New Roman"/>
                <w:b w:val="0"/>
                <w:i w:val="0"/>
                <w:sz w:val="22"/>
              </w:rPr>
              <w:t>0.767 ± 0.004</w:t>
            </w:r>
          </w:p>
        </w:tc>
        <w:tc>
          <w:tcPr>
            <w:tcW w:type="dxa" w:w="2268"/>
          </w:tcPr>
          <w:p>
            <w:pPr>
              <w:jc w:val="center"/>
            </w:pPr>
            <w:r>
              <w:rPr>
                <w:rFonts w:ascii="Times New Roman" w:hAnsi="Times New Roman" w:eastAsia="Times New Roman"/>
                <w:b w:val="0"/>
                <w:i w:val="0"/>
                <w:sz w:val="22"/>
              </w:rPr>
              <w:t>0.516 ± 0.016</w:t>
            </w:r>
          </w:p>
        </w:tc>
      </w:tr>
      <w:tr>
        <w:tc>
          <w:tcPr>
            <w:tcW w:type="dxa" w:w="2268"/>
          </w:tcPr>
          <w:p>
            <w:pPr>
              <w:jc w:val="center"/>
            </w:pPr>
            <w:r>
              <w:rPr>
                <w:rFonts w:ascii="Times New Roman" w:hAnsi="Times New Roman" w:eastAsia="Times New Roman"/>
                <w:b w:val="0"/>
                <w:i w:val="0"/>
                <w:sz w:val="22"/>
              </w:rPr>
              <w:t>CSE</w:t>
            </w:r>
          </w:p>
        </w:tc>
        <w:tc>
          <w:tcPr>
            <w:tcW w:type="dxa" w:w="2268"/>
          </w:tcPr>
          <w:p>
            <w:pPr>
              <w:jc w:val="center"/>
            </w:pPr>
            <w:r>
              <w:rPr>
                <w:rFonts w:ascii="Times New Roman" w:hAnsi="Times New Roman" w:eastAsia="Times New Roman"/>
                <w:b w:val="0"/>
                <w:i w:val="0"/>
                <w:sz w:val="22"/>
              </w:rPr>
              <w:t>0.532 ± 0.011</w:t>
            </w:r>
          </w:p>
        </w:tc>
        <w:tc>
          <w:tcPr>
            <w:tcW w:type="dxa" w:w="2268"/>
          </w:tcPr>
          <w:p>
            <w:pPr>
              <w:jc w:val="center"/>
            </w:pPr>
            <w:r>
              <w:rPr>
                <w:rFonts w:ascii="Times New Roman" w:hAnsi="Times New Roman" w:eastAsia="Times New Roman"/>
                <w:b w:val="0"/>
                <w:i w:val="0"/>
                <w:sz w:val="22"/>
              </w:rPr>
              <w:t>0.815 ± 0.007</w:t>
            </w:r>
          </w:p>
        </w:tc>
        <w:tc>
          <w:tcPr>
            <w:tcW w:type="dxa" w:w="2268"/>
          </w:tcPr>
          <w:p>
            <w:pPr>
              <w:jc w:val="center"/>
            </w:pPr>
            <w:r>
              <w:rPr>
                <w:rFonts w:ascii="Times New Roman" w:hAnsi="Times New Roman" w:eastAsia="Times New Roman"/>
                <w:b w:val="0"/>
                <w:i w:val="0"/>
                <w:sz w:val="22"/>
              </w:rPr>
              <w:t>0.561 ± 0.023</w:t>
            </w:r>
          </w:p>
        </w:tc>
      </w:tr>
      <w:tr>
        <w:tc>
          <w:tcPr>
            <w:tcW w:type="dxa" w:w="2268"/>
          </w:tcPr>
          <w:p>
            <w:pPr>
              <w:jc w:val="center"/>
            </w:pPr>
            <w:r>
              <w:rPr>
                <w:rFonts w:ascii="Times New Roman" w:hAnsi="Times New Roman" w:eastAsia="Times New Roman"/>
                <w:b w:val="0"/>
                <w:i w:val="0"/>
                <w:sz w:val="22"/>
              </w:rPr>
              <w:t>PA-CSE</w:t>
            </w:r>
          </w:p>
        </w:tc>
        <w:tc>
          <w:tcPr>
            <w:tcW w:type="dxa" w:w="2268"/>
          </w:tcPr>
          <w:p>
            <w:pPr>
              <w:jc w:val="center"/>
            </w:pPr>
            <w:r>
              <w:rPr>
                <w:rFonts w:ascii="Times New Roman" w:hAnsi="Times New Roman" w:eastAsia="Times New Roman"/>
                <w:b w:val="0"/>
                <w:i w:val="0"/>
                <w:sz w:val="22"/>
              </w:rPr>
              <w:t>0.547 ± 0.009</w:t>
            </w:r>
          </w:p>
        </w:tc>
        <w:tc>
          <w:tcPr>
            <w:tcW w:type="dxa" w:w="2268"/>
          </w:tcPr>
          <w:p>
            <w:pPr>
              <w:jc w:val="center"/>
            </w:pPr>
            <w:r>
              <w:rPr>
                <w:rFonts w:ascii="Times New Roman" w:hAnsi="Times New Roman" w:eastAsia="Times New Roman"/>
                <w:b w:val="0"/>
                <w:i w:val="0"/>
                <w:sz w:val="22"/>
              </w:rPr>
              <w:t>0.822 ± 0.005</w:t>
            </w:r>
          </w:p>
        </w:tc>
        <w:tc>
          <w:tcPr>
            <w:tcW w:type="dxa" w:w="2268"/>
          </w:tcPr>
          <w:p>
            <w:pPr>
              <w:jc w:val="center"/>
            </w:pPr>
            <w:r>
              <w:rPr>
                <w:rFonts w:ascii="Times New Roman" w:hAnsi="Times New Roman" w:eastAsia="Times New Roman"/>
                <w:b w:val="0"/>
                <w:i w:val="0"/>
                <w:sz w:val="22"/>
              </w:rPr>
              <w:t>0.569 ± 0.008</w:t>
            </w:r>
          </w:p>
        </w:tc>
      </w:tr>
      <w:tr>
        <w:tc>
          <w:tcPr>
            <w:tcW w:type="dxa" w:w="2268"/>
          </w:tcPr>
          <w:p>
            <w:pPr>
              <w:jc w:val="center"/>
            </w:pPr>
            <w:r>
              <w:rPr>
                <w:rFonts w:ascii="Times New Roman" w:hAnsi="Times New Roman" w:eastAsia="Times New Roman"/>
                <w:b w:val="0"/>
                <w:i w:val="0"/>
                <w:sz w:val="22"/>
              </w:rPr>
              <w:t>CP-2L</w:t>
            </w:r>
          </w:p>
        </w:tc>
        <w:tc>
          <w:tcPr>
            <w:tcW w:type="dxa" w:w="2268"/>
          </w:tcPr>
          <w:p>
            <w:pPr>
              <w:jc w:val="center"/>
            </w:pPr>
            <w:r>
              <w:rPr>
                <w:rFonts w:ascii="Times New Roman" w:hAnsi="Times New Roman" w:eastAsia="Times New Roman"/>
                <w:b w:val="0"/>
                <w:i w:val="0"/>
                <w:sz w:val="22"/>
              </w:rPr>
              <w:t>0.534 ± 0.012</w:t>
            </w:r>
          </w:p>
        </w:tc>
        <w:tc>
          <w:tcPr>
            <w:tcW w:type="dxa" w:w="2268"/>
          </w:tcPr>
          <w:p>
            <w:pPr>
              <w:jc w:val="center"/>
            </w:pPr>
            <w:r>
              <w:rPr>
                <w:rFonts w:ascii="Times New Roman" w:hAnsi="Times New Roman" w:eastAsia="Times New Roman"/>
                <w:b w:val="0"/>
                <w:i w:val="0"/>
                <w:sz w:val="22"/>
              </w:rPr>
              <w:t>0.817 ± 0.003</w:t>
            </w:r>
          </w:p>
        </w:tc>
        <w:tc>
          <w:tcPr>
            <w:tcW w:type="dxa" w:w="2268"/>
          </w:tcPr>
          <w:p>
            <w:pPr>
              <w:jc w:val="center"/>
            </w:pPr>
            <w:r>
              <w:rPr>
                <w:rFonts w:ascii="Times New Roman" w:hAnsi="Times New Roman" w:eastAsia="Times New Roman"/>
                <w:b w:val="0"/>
                <w:i w:val="0"/>
                <w:sz w:val="22"/>
              </w:rPr>
              <w:t>0.567 ± 0.017</w:t>
            </w:r>
          </w:p>
        </w:tc>
      </w:tr>
    </w:tbl>
    <w:p>
      <w:pPr>
        <w:spacing w:line="264" w:lineRule="auto" w:after="40" w:before="0"/>
        <w:jc w:val="both"/>
      </w:pPr>
    </w:p>
    <w:p>
      <w:pPr>
        <w:jc w:val="center"/>
      </w:pPr>
      <w:r>
        <w:drawing>
          <wp:inline xmlns:a="http://schemas.openxmlformats.org/drawingml/2006/main" xmlns:pic="http://schemas.openxmlformats.org/drawingml/2006/picture">
            <wp:extent cx="3960000" cy="1810286"/>
            <wp:docPr id="2" name="Picture 2"/>
            <wp:cNvGraphicFramePr>
              <a:graphicFrameLocks noChangeAspect="1"/>
            </wp:cNvGraphicFramePr>
            <a:graphic>
              <a:graphicData uri="http://schemas.openxmlformats.org/drawingml/2006/picture">
                <pic:pic>
                  <pic:nvPicPr>
                    <pic:cNvPr id="0" name="fig_phase1_results.png"/>
                    <pic:cNvPicPr/>
                  </pic:nvPicPr>
                  <pic:blipFill>
                    <a:blip r:embed="rId10"/>
                    <a:stretch>
                      <a:fillRect/>
                    </a:stretch>
                  </pic:blipFill>
                  <pic:spPr>
                    <a:xfrm>
                      <a:off x="0" y="0"/>
                      <a:ext cx="3960000" cy="1810286"/>
                    </a:xfrm>
                    <a:prstGeom prst="rect"/>
                  </pic:spPr>
                </pic:pic>
              </a:graphicData>
            </a:graphic>
          </wp:inline>
        </w:drawing>
      </w:r>
    </w:p>
    <w:p>
      <w:pPr>
        <w:spacing w:line="264" w:lineRule="auto" w:after="120" w:before="0"/>
        <w:jc w:val="center"/>
      </w:pPr>
      <w:r>
        <w:rPr>
          <w:rFonts w:ascii="Times New Roman" w:hAnsi="Times New Roman" w:eastAsia="Times New Roman"/>
          <w:b w:val="0"/>
          <w:i w:val="0"/>
          <w:sz w:val="22"/>
        </w:rPr>
        <w:t>Figure 2. Macro-F1 (N/A/O) per scheme for the aggregated MLP (Phase-1A) and the 1D CNN (Phase-1B), 5 seeds. The CNN lifts every scheme by recovering temporal order; the separable Sep is best or tied, and the global Bell entangler GBE is consistently weakest.</w:t>
      </w:r>
    </w:p>
    <w:p>
      <w:pPr>
        <w:spacing w:line="264" w:lineRule="auto" w:after="120" w:before="80"/>
        <w:jc w:val="left"/>
      </w:pPr>
      <w:r>
        <w:rPr>
          <w:rFonts w:ascii="Times New Roman" w:hAnsi="Times New Roman" w:eastAsia="Times New Roman"/>
          <w:b/>
          <w:i w:val="0"/>
          <w:sz w:val="22"/>
        </w:rPr>
        <w:t>Same-representation baseline and the published state of the art</w:t>
      </w:r>
    </w:p>
    <w:p>
      <w:pPr>
        <w:spacing w:line="264" w:lineRule="auto" w:after="120" w:before="0"/>
        <w:jc w:val="both"/>
      </w:pPr>
      <w:r>
        <w:rPr>
          <w:rFonts w:ascii="Times New Roman" w:hAnsi="Times New Roman" w:eastAsia="Times New Roman"/>
          <w:b w:val="0"/>
          <w:i w:val="0"/>
          <w:sz w:val="22"/>
        </w:rPr>
        <w:t>Multivariate ROCKET on the raw three channels reaches macro-F1 0.719 ± 0.007 (5 seeds), above the best quantum configuration by 5 points on the identical representation and split. Per-class F1 for ROCKET is 0.85 (N), 0.70 (AF), 0.61 (Other); the heterogeneous Other class is the hardest for every method. A fast random-convolution baseline on the same channels is therefore stronger than the quantum encoding, and all of these sit below the 0.83 challenge state of the art, which used richer hand-crafted morphology and rhythm features. The encoding does not reach competitive accuracy and loses to a strong classical baseline on equal footing; the contribution of this work is the transfer behaviour and the boundary it marks, not accuracy.</w:t>
      </w:r>
    </w:p>
    <w:p>
      <w:pPr>
        <w:spacing w:line="264" w:lineRule="auto" w:after="120" w:before="0"/>
        <w:jc w:val="center"/>
      </w:pPr>
      <w:r>
        <w:rPr>
          <w:rFonts w:ascii="Times New Roman" w:hAnsi="Times New Roman" w:eastAsia="Times New Roman"/>
          <w:b w:val="0"/>
          <w:i w:val="0"/>
          <w:sz w:val="22"/>
        </w:rPr>
        <w:t>Table 4. PhysioNet 2017 macro-F1 (N/A/O) — published baselines, a same-representation control, and ours.</w:t>
      </w:r>
    </w:p>
    <w:tbl>
      <w:tblPr>
        <w:tblStyle w:val="TableGrid"/>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none"/>
        </w:tblBorders>
      </w:tblPr>
      <w:tblGrid>
        <w:gridCol w:w="3024"/>
        <w:gridCol w:w="3024"/>
        <w:gridCol w:w="3024"/>
      </w:tblGrid>
      <w:tr>
        <w:tc>
          <w:tcPr>
            <w:tcW w:type="dxa" w:w="3024"/>
          </w:tcPr>
          <w:p>
            <w:pPr>
              <w:jc w:val="center"/>
            </w:pPr>
            <w:r>
              <w:rPr>
                <w:rFonts w:ascii="Times New Roman" w:hAnsi="Times New Roman" w:eastAsia="Times New Roman"/>
                <w:b/>
                <w:i w:val="0"/>
                <w:sz w:val="22"/>
              </w:rPr>
              <w:t>System</w:t>
            </w:r>
          </w:p>
        </w:tc>
        <w:tc>
          <w:tcPr>
            <w:tcW w:type="dxa" w:w="3024"/>
          </w:tcPr>
          <w:p>
            <w:pPr>
              <w:jc w:val="center"/>
            </w:pPr>
            <w:r>
              <w:rPr>
                <w:rFonts w:ascii="Times New Roman" w:hAnsi="Times New Roman" w:eastAsia="Times New Roman"/>
                <w:b/>
                <w:i w:val="0"/>
                <w:sz w:val="22"/>
              </w:rPr>
              <w:t>Backbone</w:t>
            </w:r>
          </w:p>
        </w:tc>
        <w:tc>
          <w:tcPr>
            <w:tcW w:type="dxa" w:w="3024"/>
          </w:tcPr>
          <w:p>
            <w:pPr>
              <w:jc w:val="center"/>
            </w:pPr>
            <w:r>
              <w:rPr>
                <w:rFonts w:ascii="Times New Roman" w:hAnsi="Times New Roman" w:eastAsia="Times New Roman"/>
                <w:b/>
                <w:i w:val="0"/>
                <w:sz w:val="22"/>
              </w:rPr>
              <w:t>macro-F1</w:t>
            </w:r>
          </w:p>
        </w:tc>
      </w:tr>
      <w:tr>
        <w:tc>
          <w:tcPr>
            <w:tcW w:type="dxa" w:w="3024"/>
          </w:tcPr>
          <w:p>
            <w:pPr>
              <w:jc w:val="center"/>
            </w:pPr>
            <w:r>
              <w:rPr>
                <w:rFonts w:ascii="Times New Roman" w:hAnsi="Times New Roman" w:eastAsia="Times New Roman"/>
                <w:b w:val="0"/>
                <w:i w:val="0"/>
                <w:sz w:val="22"/>
              </w:rPr>
              <w:t>Clifford 2017</w:t>
            </w:r>
          </w:p>
        </w:tc>
        <w:tc>
          <w:tcPr>
            <w:tcW w:type="dxa" w:w="3024"/>
          </w:tcPr>
          <w:p>
            <w:pPr>
              <w:jc w:val="center"/>
            </w:pPr>
            <w:r>
              <w:rPr>
                <w:rFonts w:ascii="Times New Roman" w:hAnsi="Times New Roman" w:eastAsia="Times New Roman"/>
                <w:b w:val="0"/>
                <w:i w:val="0"/>
                <w:sz w:val="22"/>
              </w:rPr>
              <w:t>GBT + features</w:t>
            </w:r>
          </w:p>
        </w:tc>
        <w:tc>
          <w:tcPr>
            <w:tcW w:type="dxa" w:w="3024"/>
          </w:tcPr>
          <w:p>
            <w:pPr>
              <w:jc w:val="center"/>
            </w:pPr>
            <w:r>
              <w:rPr>
                <w:rFonts w:ascii="Times New Roman" w:hAnsi="Times New Roman" w:eastAsia="Times New Roman"/>
                <w:b w:val="0"/>
                <w:i w:val="0"/>
                <w:sz w:val="22"/>
              </w:rPr>
              <w:t>0.83</w:t>
            </w:r>
          </w:p>
        </w:tc>
      </w:tr>
      <w:tr>
        <w:tc>
          <w:tcPr>
            <w:tcW w:type="dxa" w:w="3024"/>
          </w:tcPr>
          <w:p>
            <w:pPr>
              <w:jc w:val="center"/>
            </w:pPr>
            <w:r>
              <w:rPr>
                <w:rFonts w:ascii="Times New Roman" w:hAnsi="Times New Roman" w:eastAsia="Times New Roman"/>
                <w:b w:val="0"/>
                <w:i w:val="0"/>
                <w:sz w:val="22"/>
              </w:rPr>
              <w:t>Andreotti 2017</w:t>
            </w:r>
          </w:p>
        </w:tc>
        <w:tc>
          <w:tcPr>
            <w:tcW w:type="dxa" w:w="3024"/>
          </w:tcPr>
          <w:p>
            <w:pPr>
              <w:jc w:val="center"/>
            </w:pPr>
            <w:r>
              <w:rPr>
                <w:rFonts w:ascii="Times New Roman" w:hAnsi="Times New Roman" w:eastAsia="Times New Roman"/>
                <w:b w:val="0"/>
                <w:i w:val="0"/>
                <w:sz w:val="22"/>
              </w:rPr>
              <w:t>CNN</w:t>
            </w:r>
          </w:p>
        </w:tc>
        <w:tc>
          <w:tcPr>
            <w:tcW w:type="dxa" w:w="3024"/>
          </w:tcPr>
          <w:p>
            <w:pPr>
              <w:jc w:val="center"/>
            </w:pPr>
            <w:r>
              <w:rPr>
                <w:rFonts w:ascii="Times New Roman" w:hAnsi="Times New Roman" w:eastAsia="Times New Roman"/>
                <w:b w:val="0"/>
                <w:i w:val="0"/>
                <w:sz w:val="22"/>
              </w:rPr>
              <w:t>0.79–0.83</w:t>
            </w:r>
          </w:p>
        </w:tc>
      </w:tr>
      <w:tr>
        <w:tc>
          <w:tcPr>
            <w:tcW w:type="dxa" w:w="3024"/>
          </w:tcPr>
          <w:p>
            <w:pPr>
              <w:jc w:val="center"/>
            </w:pPr>
            <w:r>
              <w:rPr>
                <w:rFonts w:ascii="Times New Roman" w:hAnsi="Times New Roman" w:eastAsia="Times New Roman"/>
                <w:b w:val="0"/>
                <w:i w:val="0"/>
                <w:sz w:val="22"/>
              </w:rPr>
              <w:t>Goodfellow 2018</w:t>
            </w:r>
          </w:p>
        </w:tc>
        <w:tc>
          <w:tcPr>
            <w:tcW w:type="dxa" w:w="3024"/>
          </w:tcPr>
          <w:p>
            <w:pPr>
              <w:jc w:val="center"/>
            </w:pPr>
            <w:r>
              <w:rPr>
                <w:rFonts w:ascii="Times New Roman" w:hAnsi="Times New Roman" w:eastAsia="Times New Roman"/>
                <w:b w:val="0"/>
                <w:i w:val="0"/>
                <w:sz w:val="22"/>
              </w:rPr>
              <w:t>multi-scale CNN</w:t>
            </w:r>
          </w:p>
        </w:tc>
        <w:tc>
          <w:tcPr>
            <w:tcW w:type="dxa" w:w="3024"/>
          </w:tcPr>
          <w:p>
            <w:pPr>
              <w:jc w:val="center"/>
            </w:pPr>
            <w:r>
              <w:rPr>
                <w:rFonts w:ascii="Times New Roman" w:hAnsi="Times New Roman" w:eastAsia="Times New Roman"/>
                <w:b w:val="0"/>
                <w:i w:val="0"/>
                <w:sz w:val="22"/>
              </w:rPr>
              <w:t>0.83</w:t>
            </w:r>
          </w:p>
        </w:tc>
      </w:tr>
      <w:tr>
        <w:tc>
          <w:tcPr>
            <w:tcW w:type="dxa" w:w="3024"/>
          </w:tcPr>
          <w:p>
            <w:pPr>
              <w:jc w:val="center"/>
            </w:pPr>
            <w:r>
              <w:rPr>
                <w:rFonts w:ascii="Times New Roman" w:hAnsi="Times New Roman" w:eastAsia="Times New Roman"/>
                <w:b w:val="0"/>
                <w:i w:val="0"/>
                <w:sz w:val="22"/>
              </w:rPr>
              <w:t>Hannun 2019 †</w:t>
            </w:r>
          </w:p>
        </w:tc>
        <w:tc>
          <w:tcPr>
            <w:tcW w:type="dxa" w:w="3024"/>
          </w:tcPr>
          <w:p>
            <w:pPr>
              <w:jc w:val="center"/>
            </w:pPr>
            <w:r>
              <w:rPr>
                <w:rFonts w:ascii="Times New Roman" w:hAnsi="Times New Roman" w:eastAsia="Times New Roman"/>
                <w:b w:val="0"/>
                <w:i w:val="0"/>
                <w:sz w:val="22"/>
              </w:rPr>
              <w:t>34-layer 1D ResNet</w:t>
            </w:r>
          </w:p>
        </w:tc>
        <w:tc>
          <w:tcPr>
            <w:tcW w:type="dxa" w:w="3024"/>
          </w:tcPr>
          <w:p>
            <w:pPr>
              <w:jc w:val="center"/>
            </w:pPr>
            <w:r>
              <w:rPr>
                <w:rFonts w:ascii="Times New Roman" w:hAnsi="Times New Roman" w:eastAsia="Times New Roman"/>
                <w:b w:val="0"/>
                <w:i w:val="0"/>
                <w:sz w:val="22"/>
              </w:rPr>
              <w:t>0.83</w:t>
            </w:r>
          </w:p>
        </w:tc>
      </w:tr>
      <w:tr>
        <w:tc>
          <w:tcPr>
            <w:tcW w:type="dxa" w:w="3024"/>
          </w:tcPr>
          <w:p>
            <w:pPr>
              <w:jc w:val="center"/>
            </w:pPr>
            <w:r>
              <w:rPr>
                <w:rFonts w:ascii="Times New Roman" w:hAnsi="Times New Roman" w:eastAsia="Times New Roman"/>
                <w:b w:val="0"/>
                <w:i w:val="0"/>
                <w:sz w:val="22"/>
              </w:rPr>
              <w:t>ROCKET (raw 3-ch, this work) §</w:t>
            </w:r>
          </w:p>
        </w:tc>
        <w:tc>
          <w:tcPr>
            <w:tcW w:type="dxa" w:w="3024"/>
          </w:tcPr>
          <w:p>
            <w:pPr>
              <w:jc w:val="center"/>
            </w:pPr>
            <w:r>
              <w:rPr>
                <w:rFonts w:ascii="Times New Roman" w:hAnsi="Times New Roman" w:eastAsia="Times New Roman"/>
                <w:b w:val="0"/>
                <w:i w:val="0"/>
                <w:sz w:val="22"/>
              </w:rPr>
              <w:t>random conv.</w:t>
            </w:r>
          </w:p>
        </w:tc>
        <w:tc>
          <w:tcPr>
            <w:tcW w:type="dxa" w:w="3024"/>
          </w:tcPr>
          <w:p>
            <w:pPr>
              <w:jc w:val="center"/>
            </w:pPr>
            <w:r>
              <w:rPr>
                <w:rFonts w:ascii="Times New Roman" w:hAnsi="Times New Roman" w:eastAsia="Times New Roman"/>
                <w:b w:val="0"/>
                <w:i w:val="0"/>
                <w:sz w:val="22"/>
              </w:rPr>
              <w:t>0.719</w:t>
            </w:r>
          </w:p>
        </w:tc>
      </w:tr>
      <w:tr>
        <w:tc>
          <w:tcPr>
            <w:tcW w:type="dxa" w:w="3024"/>
          </w:tcPr>
          <w:p>
            <w:pPr>
              <w:jc w:val="center"/>
            </w:pPr>
            <w:r>
              <w:rPr>
                <w:rFonts w:ascii="Times New Roman" w:hAnsi="Times New Roman" w:eastAsia="Times New Roman"/>
                <w:b w:val="0"/>
                <w:i w:val="0"/>
                <w:sz w:val="22"/>
              </w:rPr>
              <w:t>Ours, Phase-1A (Sep)</w:t>
            </w:r>
          </w:p>
        </w:tc>
        <w:tc>
          <w:tcPr>
            <w:tcW w:type="dxa" w:w="3024"/>
          </w:tcPr>
          <w:p>
            <w:pPr>
              <w:jc w:val="center"/>
            </w:pPr>
            <w:r>
              <w:rPr>
                <w:rFonts w:ascii="Times New Roman" w:hAnsi="Times New Roman" w:eastAsia="Times New Roman"/>
                <w:b w:val="0"/>
                <w:i w:val="0"/>
                <w:sz w:val="22"/>
              </w:rPr>
              <w:t>MLP-agg</w:t>
            </w:r>
          </w:p>
        </w:tc>
        <w:tc>
          <w:tcPr>
            <w:tcW w:type="dxa" w:w="3024"/>
          </w:tcPr>
          <w:p>
            <w:pPr>
              <w:jc w:val="center"/>
            </w:pPr>
            <w:r>
              <w:rPr>
                <w:rFonts w:ascii="Times New Roman" w:hAnsi="Times New Roman" w:eastAsia="Times New Roman"/>
                <w:b w:val="0"/>
                <w:i w:val="0"/>
                <w:sz w:val="22"/>
              </w:rPr>
              <w:t>0.533</w:t>
            </w:r>
          </w:p>
        </w:tc>
      </w:tr>
      <w:tr>
        <w:tc>
          <w:tcPr>
            <w:tcW w:type="dxa" w:w="3024"/>
          </w:tcPr>
          <w:p>
            <w:pPr>
              <w:jc w:val="center"/>
            </w:pPr>
            <w:r>
              <w:rPr>
                <w:rFonts w:ascii="Times New Roman" w:hAnsi="Times New Roman" w:eastAsia="Times New Roman"/>
                <w:b w:val="0"/>
                <w:i w:val="0"/>
                <w:sz w:val="22"/>
              </w:rPr>
              <w:t>Ours, Phase-2 (Sep)</w:t>
            </w:r>
          </w:p>
        </w:tc>
        <w:tc>
          <w:tcPr>
            <w:tcW w:type="dxa" w:w="3024"/>
          </w:tcPr>
          <w:p>
            <w:pPr>
              <w:jc w:val="center"/>
            </w:pPr>
            <w:r>
              <w:rPr>
                <w:rFonts w:ascii="Times New Roman" w:hAnsi="Times New Roman" w:eastAsia="Times New Roman"/>
                <w:b w:val="0"/>
                <w:i w:val="0"/>
                <w:sz w:val="22"/>
              </w:rPr>
              <w:t>QMBC-Net</w:t>
            </w:r>
          </w:p>
        </w:tc>
        <w:tc>
          <w:tcPr>
            <w:tcW w:type="dxa" w:w="3024"/>
          </w:tcPr>
          <w:p>
            <w:pPr>
              <w:jc w:val="center"/>
            </w:pPr>
            <w:r>
              <w:rPr>
                <w:rFonts w:ascii="Times New Roman" w:hAnsi="Times New Roman" w:eastAsia="Times New Roman"/>
                <w:b w:val="0"/>
                <w:i w:val="0"/>
                <w:sz w:val="22"/>
              </w:rPr>
              <w:t>0.562</w:t>
            </w:r>
          </w:p>
        </w:tc>
      </w:tr>
      <w:tr>
        <w:tc>
          <w:tcPr>
            <w:tcW w:type="dxa" w:w="3024"/>
          </w:tcPr>
          <w:p>
            <w:pPr>
              <w:jc w:val="center"/>
            </w:pPr>
            <w:r>
              <w:rPr>
                <w:rFonts w:ascii="Times New Roman" w:hAnsi="Times New Roman" w:eastAsia="Times New Roman"/>
                <w:b w:val="0"/>
                <w:i w:val="0"/>
                <w:sz w:val="22"/>
              </w:rPr>
              <w:t>Ours, Phase-1B (PA-CSE)</w:t>
            </w:r>
          </w:p>
        </w:tc>
        <w:tc>
          <w:tcPr>
            <w:tcW w:type="dxa" w:w="3024"/>
          </w:tcPr>
          <w:p>
            <w:pPr>
              <w:jc w:val="center"/>
            </w:pPr>
            <w:r>
              <w:rPr>
                <w:rFonts w:ascii="Times New Roman" w:hAnsi="Times New Roman" w:eastAsia="Times New Roman"/>
                <w:b w:val="0"/>
                <w:i w:val="0"/>
                <w:sz w:val="22"/>
              </w:rPr>
              <w:t>1D CNN</w:t>
            </w:r>
          </w:p>
        </w:tc>
        <w:tc>
          <w:tcPr>
            <w:tcW w:type="dxa" w:w="3024"/>
          </w:tcPr>
          <w:p>
            <w:pPr>
              <w:jc w:val="center"/>
            </w:pPr>
            <w:r>
              <w:rPr>
                <w:rFonts w:ascii="Times New Roman" w:hAnsi="Times New Roman" w:eastAsia="Times New Roman"/>
                <w:b w:val="0"/>
                <w:i w:val="0"/>
                <w:sz w:val="22"/>
              </w:rPr>
              <w:t>0.670</w:t>
            </w:r>
          </w:p>
        </w:tc>
      </w:tr>
    </w:tbl>
    <w:p>
      <w:pPr>
        <w:spacing w:line="264" w:lineRule="auto" w:after="40" w:before="0"/>
        <w:jc w:val="both"/>
      </w:pPr>
    </w:p>
    <w:p>
      <w:pPr>
        <w:spacing w:line="264" w:lineRule="auto" w:after="120" w:before="0"/>
        <w:jc w:val="both"/>
      </w:pPr>
      <w:r>
        <w:rPr>
          <w:rFonts w:ascii="Times New Roman" w:hAnsi="Times New Roman" w:eastAsia="Times New Roman"/>
          <w:b w:val="0"/>
          <w:i w:val="0"/>
          <w:sz w:val="20"/>
        </w:rPr>
        <w:t>† Different dataset (12 rhythm classes); context only. § Multivariate ROCKET (Dempster et al., 2020) on the raw three channels, identical split and metric (this work).</w:t>
      </w:r>
    </w:p>
    <w:p>
      <w:pPr>
        <w:spacing w:line="264" w:lineRule="auto" w:after="120" w:before="120"/>
        <w:jc w:val="center"/>
      </w:pPr>
      <w:r>
        <w:rPr>
          <w:rFonts w:ascii="Times New Roman" w:hAnsi="Times New Roman" w:eastAsia="Times New Roman"/>
          <w:b/>
          <w:i w:val="0"/>
          <w:sz w:val="22"/>
        </w:rPr>
        <w:t>Discussion</w:t>
      </w:r>
    </w:p>
    <w:p>
      <w:pPr>
        <w:spacing w:line="264" w:lineRule="auto" w:after="120" w:before="80"/>
        <w:jc w:val="left"/>
      </w:pPr>
      <w:r>
        <w:rPr>
          <w:rFonts w:ascii="Times New Roman" w:hAnsi="Times New Roman" w:eastAsia="Times New Roman"/>
          <w:b/>
          <w:i w:val="0"/>
          <w:sz w:val="22"/>
        </w:rPr>
        <w:t>Why the transfer fails</w:t>
      </w:r>
    </w:p>
    <w:p>
      <w:pPr>
        <w:spacing w:line="264" w:lineRule="auto" w:after="120" w:before="0"/>
        <w:jc w:val="both"/>
      </w:pPr>
      <w:r>
        <w:rPr>
          <w:rFonts w:ascii="Times New Roman" w:hAnsi="Times New Roman" w:eastAsia="Times New Roman"/>
          <w:b w:val="0"/>
          <w:i w:val="0"/>
          <w:sz w:val="22"/>
        </w:rPr>
        <w:t>On RGB MedMNIST the data-conditional schemes helped because adjacent colour channels carry label-relevant correlations that the entangling angles can encode (Atadana &amp; Karabiber Cura, 2026). Single-lead ECG has no analogue. The three channels here are deterministic transforms of one signal (amplitude, derivative, envelope), so their cross-channel correlations are fixed by construction and carry little class information. The encoder's representational budget — which on images is spent on inter-channel structure — has little to act on, and the entangling schemes collapse toward the separable baseline or below it. The global Bell entangler, which forces correlation regardless of the data, is consistently the worst head: imposed entanglement disrupts rather than helps. This is the image result read in reverse, and it bounds where the encoding is useful: domains with genuine, label-relevant channel correlation, not arbitrary multichannel signals.</w:t>
      </w:r>
    </w:p>
    <w:p>
      <w:pPr>
        <w:spacing w:line="264" w:lineRule="auto" w:after="120" w:before="80"/>
        <w:jc w:val="left"/>
      </w:pPr>
      <w:r>
        <w:rPr>
          <w:rFonts w:ascii="Times New Roman" w:hAnsi="Times New Roman" w:eastAsia="Times New Roman"/>
          <w:b/>
          <w:i w:val="0"/>
          <w:sz w:val="22"/>
        </w:rPr>
        <w:t>The encoding is lossy</w:t>
      </w:r>
    </w:p>
    <w:p>
      <w:pPr>
        <w:spacing w:line="264" w:lineRule="auto" w:after="120" w:before="0"/>
        <w:jc w:val="both"/>
      </w:pPr>
      <w:r>
        <w:rPr>
          <w:rFonts w:ascii="Times New Roman" w:hAnsi="Times New Roman" w:eastAsia="Times New Roman"/>
          <w:b w:val="0"/>
          <w:i w:val="0"/>
          <w:sz w:val="22"/>
        </w:rPr>
        <w:t>The same-representation ROCKET baseline is the sharper statement. Given the identical three channels, a random-convolution model extracts 5 more points of macro-F1 than the best quantum pipeline. The quantum feature map discards label-relevant structure that a cheap classical transform keeps. Aggregation compounds the loss — the MLP path drops a further 14 points by pooling away temporal order — which is why the 1D CNN, the head that preserves window order, is the only one to approach ROCKET.</w:t>
      </w:r>
    </w:p>
    <w:p>
      <w:pPr>
        <w:spacing w:line="264" w:lineRule="auto" w:after="120" w:before="80"/>
        <w:jc w:val="left"/>
      </w:pPr>
      <w:r>
        <w:rPr>
          <w:rFonts w:ascii="Times New Roman" w:hAnsi="Times New Roman" w:eastAsia="Times New Roman"/>
          <w:b/>
          <w:i w:val="0"/>
          <w:sz w:val="22"/>
        </w:rPr>
        <w:t>Re-aligning the input geometry does not rescue it</w:t>
      </w:r>
    </w:p>
    <w:p>
      <w:pPr>
        <w:spacing w:line="264" w:lineRule="auto" w:after="120" w:before="0"/>
        <w:jc w:val="both"/>
      </w:pPr>
      <w:r>
        <w:rPr>
          <w:rFonts w:ascii="Times New Roman" w:hAnsi="Times New Roman" w:eastAsia="Times New Roman"/>
          <w:b w:val="0"/>
          <w:i w:val="0"/>
          <w:sz w:val="22"/>
        </w:rPr>
        <w:t>If the entanglement conditions on the wrong correlation axis, the natural correction is to feed the three qubits a time-delay (Takens) embedding x[t], x[t−τ], x[t−2τ] of the signal rather than the three derived channels; the data-conditional schemes then condition on lag-τ autocorrelation, which on ECG tracks rhythm regularity — the structure that separates AF from sinus rhythm. We tested this on a 3000-recording stratified subset at two lag scales. Morphology-scale lags (τ ≈ 0.1 s) left the ordering unchanged: the separable scheme stayed best. At rhythm scale (τ ≈ 0.5 s, multi-beat windows) the data-conditional PA-CSE became the only entangling scheme in any of our experiments to exceed the separable baseline (0.47 vs. 0.43 macro-F1, three seeds), consistent with the mechanism above. The re-alignment did not improve absolute accuracy, however: every delay configuration trailed the simpler channel pipeline. Re-pointing the encoding's conditioning axis changes which scheme wins but not the ceiling. The limitation therefore sits in the fixed encoding itself, not in the entanglement structure or the input geometry, and a trainable, data-driven encoding rather than a fixed circuit is the route a future study should take.</w:t>
      </w:r>
    </w:p>
    <w:p>
      <w:pPr>
        <w:spacing w:line="264" w:lineRule="auto" w:after="120" w:before="80"/>
        <w:jc w:val="left"/>
      </w:pPr>
      <w:r>
        <w:rPr>
          <w:rFonts w:ascii="Times New Roman" w:hAnsi="Times New Roman" w:eastAsia="Times New Roman"/>
          <w:b/>
          <w:i w:val="0"/>
          <w:sz w:val="22"/>
        </w:rPr>
        <w:t>What the negative result is good for</w:t>
      </w:r>
    </w:p>
    <w:p>
      <w:pPr>
        <w:spacing w:line="264" w:lineRule="auto" w:after="120" w:before="0"/>
        <w:jc w:val="both"/>
      </w:pPr>
      <w:r>
        <w:rPr>
          <w:rFonts w:ascii="Times New Roman" w:hAnsi="Times New Roman" w:eastAsia="Times New Roman"/>
          <w:b w:val="0"/>
          <w:i w:val="0"/>
          <w:sz w:val="22"/>
        </w:rPr>
        <w:t>The 1D channel recipe is reusable and the protocol is a template for testing any image-domain quantum encoder on a biosignal before assuming transfer. The ablation also behaves as a diagnostic: the separable-versus-entangled gap measures whether a dataset's channel correlations are label-relevant, and on ECG it reads near zero, consistent with the signal's structure. The honest reading is that the image-domain advantage is modality-specific, and that single-lead ECG diagnostics are better served by classical convolutional or feature-engineered baselines. Clinically, this is a useful caution: a screening tool built on this encoding would underperform a fast classical baseline on the same signal, so the contribution is to map where quantum encoding can and cannot help as such tools are developed, rather than to deploy it now.</w:t>
      </w:r>
    </w:p>
    <w:p>
      <w:pPr>
        <w:spacing w:line="264" w:lineRule="auto" w:after="120" w:before="80"/>
        <w:jc w:val="left"/>
      </w:pPr>
      <w:r>
        <w:rPr>
          <w:rFonts w:ascii="Times New Roman" w:hAnsi="Times New Roman" w:eastAsia="Times New Roman"/>
          <w:b/>
          <w:i w:val="0"/>
          <w:sz w:val="22"/>
        </w:rPr>
        <w:t>Limitations</w:t>
      </w:r>
    </w:p>
    <w:p>
      <w:pPr>
        <w:spacing w:line="264" w:lineRule="auto" w:after="120" w:before="0"/>
        <w:jc w:val="both"/>
      </w:pPr>
      <w:r>
        <w:rPr>
          <w:rFonts w:ascii="Times New Roman" w:hAnsi="Times New Roman" w:eastAsia="Times New Roman"/>
          <w:b w:val="0"/>
          <w:i w:val="0"/>
          <w:sz w:val="22"/>
        </w:rPr>
        <w:t>Single-lead only; PhysioNet 2017 is four-class with strong imbalance, and the macro average is dominated by AF and Other. The three qubits are classically simulable and we make no quantum-advantage claim. Windows are fixed at 250 samples and the split is recording-level, not patient-stratified. The same-representation control uses ROCKET; a deeper classical baseline on the raw channels would tighten the ceiling but not change the direction of the result.</w:t>
      </w:r>
    </w:p>
    <w:p>
      <w:pPr>
        <w:spacing w:line="264" w:lineRule="auto" w:after="120" w:before="120"/>
        <w:jc w:val="center"/>
      </w:pPr>
      <w:r>
        <w:rPr>
          <w:rFonts w:ascii="Times New Roman" w:hAnsi="Times New Roman" w:eastAsia="Times New Roman"/>
          <w:b/>
          <w:i w:val="0"/>
          <w:sz w:val="22"/>
        </w:rPr>
        <w:t>Conclusion</w:t>
      </w:r>
    </w:p>
    <w:p>
      <w:pPr>
        <w:spacing w:line="264" w:lineRule="auto" w:after="120" w:before="0"/>
        <w:jc w:val="both"/>
      </w:pPr>
      <w:r>
        <w:rPr>
          <w:rFonts w:ascii="Times New Roman" w:hAnsi="Times New Roman" w:eastAsia="Times New Roman"/>
          <w:b w:val="0"/>
          <w:i w:val="0"/>
          <w:sz w:val="22"/>
        </w:rPr>
        <w:t>We tested whether a quantum image-encoding pipeline transfers to single-lead ECG arrhythmia classification. It does not. The best configuration, a 1D CNN on the multi-basis features, reaches macro-F1 0.670 on PhysioNet 2017 — 16 points below the challenge state of the art and 5 below ROCKET on the identical three channels — no entangling scheme beats the separable baseline, and a measurement-structured attention head underperforms a plain CNN. The advantage the encoder shows on RGB images depends on label-relevant channel correlations that single-lead ECG lacks. Re-aligning the encoder input to temporal-delay coordinates changes which scheme wins but not the accuracy ceiling, which points to a trainable encoding, rather than a fixed circuit, as the next step. We contribute a reusable 1D-adaptation recipe, a controlled transfer protocol, and a clear delineation of the regime in which this class of quantum encoding helps.</w:t>
      </w:r>
    </w:p>
    <w:p>
      <w:pPr>
        <w:spacing w:line="264" w:lineRule="auto" w:after="120" w:before="120"/>
        <w:jc w:val="center"/>
      </w:pPr>
      <w:r>
        <w:rPr>
          <w:rFonts w:ascii="Times New Roman" w:hAnsi="Times New Roman" w:eastAsia="Times New Roman"/>
          <w:b/>
          <w:i w:val="0"/>
          <w:sz w:val="22"/>
        </w:rPr>
        <w:t>Acknowledgment</w:t>
      </w:r>
    </w:p>
    <w:p>
      <w:pPr>
        <w:spacing w:line="264" w:lineRule="auto" w:after="120" w:before="0"/>
        <w:jc w:val="both"/>
      </w:pPr>
      <w:r>
        <w:rPr>
          <w:rFonts w:ascii="Times New Roman" w:hAnsi="Times New Roman" w:eastAsia="Times New Roman"/>
          <w:b w:val="0"/>
          <w:i w:val="0"/>
          <w:sz w:val="22"/>
        </w:rPr>
        <w:t>The authors used a large language model to assist with editing and proofreading of the manuscript text. All experiments, results, analysis, and scientific claims are the authors' own and were verified against the source code and data.</w:t>
      </w:r>
    </w:p>
    <w:p>
      <w:pPr>
        <w:spacing w:line="264" w:lineRule="auto" w:after="120" w:before="120"/>
        <w:jc w:val="center"/>
      </w:pPr>
      <w:r>
        <w:rPr>
          <w:rFonts w:ascii="Times New Roman" w:hAnsi="Times New Roman" w:eastAsia="Times New Roman"/>
          <w:b/>
          <w:i w:val="0"/>
          <w:sz w:val="22"/>
        </w:rPr>
        <w:t>References</w:t>
      </w:r>
    </w:p>
    <w:p>
      <w:pPr>
        <w:spacing w:line="264" w:lineRule="auto" w:after="120" w:before="0"/>
        <w:ind w:left="425" w:hanging="425"/>
        <w:jc w:val="both"/>
      </w:pPr>
      <w:r>
        <w:rPr>
          <w:rFonts w:ascii="Times New Roman" w:hAnsi="Times New Roman" w:eastAsia="Times New Roman"/>
          <w:b w:val="0"/>
          <w:i w:val="0"/>
          <w:sz w:val="22"/>
        </w:rPr>
        <w:t>Andreotti, F., Carr, O., Pimentel, M. A. F., Mahdi, A., &amp; De Vos, M. (2017). Comparing feature-based classifiers and convolutional neural networks to detect arrhythmia from short segments of ECG. Computing in Cardiology, 44, 1–4.</w:t>
      </w:r>
    </w:p>
    <w:p>
      <w:pPr>
        <w:spacing w:line="264" w:lineRule="auto" w:after="120" w:before="0"/>
        <w:ind w:left="425" w:hanging="425"/>
        <w:jc w:val="both"/>
      </w:pPr>
      <w:r>
        <w:rPr>
          <w:rFonts w:ascii="Times New Roman" w:hAnsi="Times New Roman" w:eastAsia="Times New Roman"/>
          <w:b w:val="0"/>
          <w:i w:val="0"/>
          <w:sz w:val="22"/>
        </w:rPr>
        <w:t>Atadana, S., &amp; Karabiber Cura, Ö. (2026). When does entanglement help in quantum image encoding? A per-image mechanism test on MedMNIST. Proceedings of the IEEE International Conference on Quantum Computing and Engineering (QCE). (in press)</w:t>
      </w:r>
    </w:p>
    <w:p>
      <w:pPr>
        <w:spacing w:line="264" w:lineRule="auto" w:after="120" w:before="0"/>
        <w:ind w:left="425" w:hanging="425"/>
        <w:jc w:val="both"/>
      </w:pPr>
      <w:r>
        <w:rPr>
          <w:rFonts w:ascii="Times New Roman" w:hAnsi="Times New Roman" w:eastAsia="Times New Roman"/>
          <w:b w:val="0"/>
          <w:i w:val="0"/>
          <w:sz w:val="22"/>
        </w:rPr>
        <w:t>Clifford, G. D., Liu, C., Moody, B., Lehman, L.-W. H., Silva, I., Li, Q., Johnson, A. E., &amp; Mark, R. G. (2017). AF classification from a short single lead ECG recording: The PhysioNet/Computing in Cardiology Challenge 2017. Computing in Cardiology, 44, 1–4.</w:t>
      </w:r>
    </w:p>
    <w:p>
      <w:pPr>
        <w:spacing w:line="264" w:lineRule="auto" w:after="120" w:before="0"/>
        <w:ind w:left="425" w:hanging="425"/>
        <w:jc w:val="both"/>
      </w:pPr>
      <w:r>
        <w:rPr>
          <w:rFonts w:ascii="Times New Roman" w:hAnsi="Times New Roman" w:eastAsia="Times New Roman"/>
          <w:b w:val="0"/>
          <w:i w:val="0"/>
          <w:sz w:val="22"/>
        </w:rPr>
        <w:t>Dempster, A., Petitjean, F., &amp; Webb, G. I. (2020). ROCKET: Exceptionally fast and accurate time series classification using random convolutional kernels. Data Mining and Knowledge Discovery, 34(5), 1454–1495.</w:t>
      </w:r>
    </w:p>
    <w:p>
      <w:pPr>
        <w:spacing w:line="264" w:lineRule="auto" w:after="120" w:before="0"/>
        <w:ind w:left="425" w:hanging="425"/>
        <w:jc w:val="both"/>
      </w:pPr>
      <w:r>
        <w:rPr>
          <w:rFonts w:ascii="Times New Roman" w:hAnsi="Times New Roman" w:eastAsia="Times New Roman"/>
          <w:b w:val="0"/>
          <w:i w:val="0"/>
          <w:sz w:val="22"/>
        </w:rPr>
        <w:t>Goodfellow, S. D., Goodwin, A., Greer, R., Laussen, P. C., Mazwi, M., &amp; Eytan, D. (2018). Towards understanding ECG rhythm classification using convolutional neural networks and attention mappings. Proceedings of Machine Learning for Healthcare.</w:t>
      </w:r>
    </w:p>
    <w:p>
      <w:pPr>
        <w:spacing w:line="264" w:lineRule="auto" w:after="120" w:before="0"/>
        <w:ind w:left="425" w:hanging="425"/>
        <w:jc w:val="both"/>
      </w:pPr>
      <w:r>
        <w:rPr>
          <w:rFonts w:ascii="Times New Roman" w:hAnsi="Times New Roman" w:eastAsia="Times New Roman"/>
          <w:b w:val="0"/>
          <w:i w:val="0"/>
          <w:sz w:val="22"/>
        </w:rPr>
        <w:t>Hannun, A. Y., Rajpurkar, P., Haghpanahi, M., Tison, G. H., Bourn, C., Turakhia, M. P., &amp; Ng, A. Y. (2019). Cardiologist-level arrhythmia detection and classification in ambulatory electrocardiograms using a deep neural network. Nature Medicine, 25(1), 65–69.</w:t>
      </w:r>
    </w:p>
    <w:p>
      <w:pPr>
        <w:spacing w:line="264" w:lineRule="auto" w:after="120" w:before="0"/>
        <w:ind w:left="425" w:hanging="425"/>
        <w:jc w:val="both"/>
      </w:pPr>
      <w:r>
        <w:rPr>
          <w:rFonts w:ascii="Times New Roman" w:hAnsi="Times New Roman" w:eastAsia="Times New Roman"/>
          <w:b w:val="0"/>
          <w:i w:val="0"/>
          <w:sz w:val="22"/>
        </w:rPr>
        <w:t>Kyriienko, O., Paine, A. E., &amp; Elfving, V. E. (2022). Protocols for trainable and differentiable quantum generative modelling. Physical Review Research, 4, 043067.</w:t>
      </w:r>
    </w:p>
    <w:p>
      <w:pPr>
        <w:spacing w:line="264" w:lineRule="auto" w:after="120" w:before="0"/>
        <w:ind w:left="425" w:hanging="425"/>
        <w:jc w:val="both"/>
      </w:pPr>
      <w:r>
        <w:rPr>
          <w:rFonts w:ascii="Times New Roman" w:hAnsi="Times New Roman" w:eastAsia="Times New Roman"/>
          <w:b w:val="0"/>
          <w:i w:val="0"/>
          <w:sz w:val="22"/>
        </w:rPr>
        <w:t>Le, P. Q., Dong, F., &amp; Hirota, K. (2011). A flexible representation of quantum images for polynomial preparation, image compression, and processing operations. Quantum Information Processing, 10(1), 63–84.</w:t>
      </w:r>
    </w:p>
    <w:p>
      <w:pPr>
        <w:spacing w:line="264" w:lineRule="auto" w:after="120" w:before="0"/>
        <w:ind w:left="425" w:hanging="425"/>
        <w:jc w:val="both"/>
      </w:pPr>
      <w:r>
        <w:rPr>
          <w:rFonts w:ascii="Times New Roman" w:hAnsi="Times New Roman" w:eastAsia="Times New Roman"/>
          <w:b w:val="0"/>
          <w:i w:val="0"/>
          <w:sz w:val="22"/>
        </w:rPr>
        <w:t>Sun, B., Iliyasu, A. M., Yan, F., Dong, F., &amp; Hirota, K. (2011). Multi-channel representation for images on quantum computers using the RGBα color space. Proceedings of the IEEE 7th International Symposium on Intelligent Signal Processing, 1–6.</w:t>
      </w:r>
    </w:p>
    <w:p>
      <w:pPr>
        <w:spacing w:line="264" w:lineRule="auto" w:after="120" w:before="0"/>
        <w:ind w:left="425" w:hanging="425"/>
        <w:jc w:val="both"/>
      </w:pPr>
      <w:r>
        <w:rPr>
          <w:rFonts w:ascii="Times New Roman" w:hAnsi="Times New Roman" w:eastAsia="Times New Roman"/>
          <w:b w:val="0"/>
          <w:i w:val="0"/>
          <w:sz w:val="22"/>
        </w:rPr>
        <w:t>Vaswani, A., Shazeer, N., Parmar, N., Uszkoreit, J., Jones, L., Gomez, A. N., Kaiser, Ł., &amp; Polosukhin, I. (2017). Attention is all you need. Advances in Neural Information Processing Systems, 30.</w:t>
      </w:r>
    </w:p>
    <w:p>
      <w:pPr>
        <w:spacing w:line="264" w:lineRule="auto" w:after="120" w:before="0"/>
        <w:ind w:left="425" w:hanging="425"/>
        <w:jc w:val="both"/>
      </w:pPr>
      <w:r>
        <w:rPr>
          <w:rFonts w:ascii="Times New Roman" w:hAnsi="Times New Roman" w:eastAsia="Times New Roman"/>
          <w:b w:val="0"/>
          <w:i w:val="0"/>
          <w:sz w:val="22"/>
        </w:rPr>
        <w:t>Yao, X.-W., Wang, H., Liao, Z., Chen, M.-C., et al. (2017). Quantum image processing and its application to edge detection: Theory and experiment. Physical Review X, 7, 031041.</w:t>
      </w:r>
    </w:p>
    <w:p>
      <w:pPr>
        <w:spacing w:line="264" w:lineRule="auto" w:after="120" w:before="0"/>
        <w:ind w:left="425" w:hanging="425"/>
        <w:jc w:val="both"/>
      </w:pPr>
      <w:r>
        <w:rPr>
          <w:rFonts w:ascii="Times New Roman" w:hAnsi="Times New Roman" w:eastAsia="Times New Roman"/>
          <w:b w:val="0"/>
          <w:i w:val="0"/>
          <w:sz w:val="22"/>
        </w:rPr>
        <w:t>Zhang, Y., Lu, K., Gao, Y., &amp; Wang, M. (2013). NEQR: A novel enhanced quantum representation of digital images. Quantum Information Processing, 12(8), 2833–2860.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