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DF1B7" w14:textId="77777777" w:rsidR="00C3350A" w:rsidRDefault="00000000">
      <w:pPr>
        <w:spacing w:after="1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Scalable 2D Systolic Array Architecture for High-Throughput Matrix Computation</w:t>
      </w:r>
    </w:p>
    <w:p w14:paraId="2CFEC2D6" w14:textId="77777777" w:rsidR="00C3350A" w:rsidRDefault="00000000">
      <w:pPr>
        <w:spacing w:after="120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Track 1 (FPGA)</w:t>
      </w:r>
    </w:p>
    <w:p w14:paraId="44855EEA" w14:textId="77777777" w:rsidR="00C3350A" w:rsidRDefault="00000000">
      <w:pPr>
        <w:spacing w:after="120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Processors</w:t>
      </w:r>
    </w:p>
    <w:p w14:paraId="4B97024F" w14:textId="77777777" w:rsidR="00C3350A" w:rsidRDefault="00000000">
      <w:pPr>
        <w:spacing w:after="120"/>
        <w:jc w:val="both"/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  <w:t>Abstract</w:t>
      </w:r>
    </w:p>
    <w:p w14:paraId="7B407F97" w14:textId="77777777" w:rsidR="00C3350A" w:rsidRDefault="00000000">
      <w:pPr>
        <w:spacing w:after="12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This project presents a parameterized, scalable 2D systolic array architecture implemented in Verilog HDL for accelerating matrix multiplication — the fundamental operation in deep learning inference, signal processing, and scientific computing. The design employs an output-stationary dataflow where N×N Processing Elements (PEs) perform multiply-accumulate (MAC) operations while passing data to neighboring PEs in a pipelined manner. The architecture features automated input skewing via shift-register-based skew buffers, an FSM-based controller for sequencing operations, and full parameterization allowing scalability from 2×2 to 16×16 and beyond. The design is verified through comprehensive simulation using Icarus Verilog and GTKWave with multiple test cases (identity matrix, scalar multiply, and general matrix multiplication), achieving 100% correctness. The system will be synthesized and implemented on a Xilinx FPGA platform using Vivado, targeting high throughput (N² MACs per cycle), low latency (3N-1 cycles per computation), and efficient hardware resource utilization.</w:t>
      </w:r>
    </w:p>
    <w:p w14:paraId="746BBD76" w14:textId="77777777" w:rsidR="00C3350A" w:rsidRDefault="00000000">
      <w:pPr>
        <w:pStyle w:val="Heading1"/>
        <w:keepNext w:val="0"/>
        <w:keepLines w:val="0"/>
        <w:spacing w:before="0"/>
        <w:jc w:val="both"/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</w:pPr>
      <w:bookmarkStart w:id="0" w:name="_nto3v3rdc87n" w:colFirst="0" w:colLast="0"/>
      <w:bookmarkEnd w:id="0"/>
      <w:r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  <w:t xml:space="preserve"> </w:t>
      </w:r>
    </w:p>
    <w:p w14:paraId="64505093" w14:textId="77777777" w:rsidR="00C3350A" w:rsidRDefault="00000000">
      <w:pPr>
        <w:pStyle w:val="Heading1"/>
        <w:keepNext w:val="0"/>
        <w:keepLines w:val="0"/>
        <w:spacing w:before="0"/>
        <w:jc w:val="both"/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</w:pPr>
      <w:bookmarkStart w:id="1" w:name="_2oz4zzhxtnss" w:colFirst="0" w:colLast="0"/>
      <w:bookmarkEnd w:id="1"/>
      <w:r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  <w:t>Main Idea</w:t>
      </w:r>
    </w:p>
    <w:p w14:paraId="78300937" w14:textId="36EAEA10" w:rsidR="00C3350A" w:rsidRDefault="00000000">
      <w:pPr>
        <w:spacing w:after="12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lastRenderedPageBreak/>
        <w:t>System-Level Block Diagram:</w:t>
      </w:r>
      <w:r>
        <w:br/>
      </w:r>
      <w:r>
        <w:rPr>
          <w:noProof/>
        </w:rPr>
        <w:drawing>
          <wp:inline distT="0" distB="0" distL="0" distR="0" wp14:anchorId="577F59A3" wp14:editId="3079FE44">
            <wp:extent cx="5029200" cy="5029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k_diagram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E7FCF" w14:textId="72DF7964" w:rsidR="00C3350A" w:rsidRDefault="00000000">
      <w:pPr>
        <w:spacing w:after="12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23DA19B8" w14:textId="17F64676" w:rsidR="00C3350A" w:rsidRDefault="00000000">
      <w:pPr>
        <w:pStyle w:val="Heading1"/>
        <w:keepNext w:val="0"/>
        <w:keepLines w:val="0"/>
        <w:spacing w:before="0"/>
        <w:jc w:val="both"/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  <w:t>Application</w:t>
      </w:r>
    </w:p>
    <w:p w14:paraId="01196271" w14:textId="77777777" w:rsidR="00C3350A" w:rsidRDefault="00000000">
      <w:pPr>
        <w:spacing w:after="12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t>Solution Flowchart:</w:t>
      </w:r>
    </w:p>
    <w:p w14:paraId="45E23E2D" w14:textId="77777777" w:rsidR="00C3350A" w:rsidRDefault="00000000">
      <w:pPr>
        <w:pStyle w:val="Heading1"/>
        <w:keepNext w:val="0"/>
        <w:keepLines w:val="0"/>
        <w:spacing w:before="0"/>
        <w:jc w:val="both"/>
        <w:rPr>
          <w:rFonts w:ascii="Times New Roman" w:eastAsia="Times New Roman" w:hAnsi="Times New Roman" w:cs="Times New Roman"/>
          <w:smallCaps/>
          <w:sz w:val="20"/>
          <w:szCs w:val="20"/>
        </w:rPr>
      </w:pPr>
      <w:bookmarkStart w:id="2" w:name="_8awjahlw4qbg" w:colFirst="0" w:colLast="0"/>
      <w:bookmarkEnd w:id="2"/>
      <w:r>
        <w:rPr>
          <w:rFonts w:ascii="Times New Roman" w:eastAsia="Times New Roman" w:hAnsi="Times New Roman" w:cs="Times New Roman"/>
          <w:smallCaps/>
          <w:sz w:val="20"/>
          <w:szCs w:val="20"/>
        </w:rPr>
        <w:t xml:space="preserve">(Include flowcharts of the proposed solution (if any)) </w:t>
      </w:r>
    </w:p>
    <w:p w14:paraId="137815E0" w14:textId="77777777" w:rsidR="00C3350A" w:rsidRDefault="00000000">
      <w:pPr>
        <w:pStyle w:val="Heading1"/>
        <w:keepNext w:val="0"/>
        <w:keepLines w:val="0"/>
        <w:spacing w:before="0"/>
        <w:jc w:val="both"/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</w:pPr>
      <w:bookmarkStart w:id="3" w:name="_7aahsqyt3nsy" w:colFirst="0" w:colLast="0"/>
      <w:bookmarkEnd w:id="3"/>
      <w:r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  <w:t>Value Add</w:t>
      </w:r>
    </w:p>
    <w:p w14:paraId="00EBE2EF" w14:textId="77777777" w:rsidR="00C3350A" w:rsidRDefault="00000000">
      <w:pPr>
        <w:spacing w:after="12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1. Full Scalability:</w:t>
      </w:r>
      <w:r>
        <w:rPr>
          <w:rFonts w:ascii="Times New Roman" w:eastAsia="Times New Roman" w:hAnsi="Times New Roman" w:cs="Times New Roman"/>
          <w:sz w:val="20"/>
          <w:szCs w:val="20"/>
        </w:rPr>
        <w:br/>
        <w:t xml:space="preserve">   The design is fully parameterized — changing a single parameter (N) scales the array from 2×2 to any N×N size. This is demonstrated through verified simulations at multiple sizes, making the architecture adaptable to different resource constraints and performance requirements.</w:t>
      </w:r>
      <w:r>
        <w:rPr>
          <w:rFonts w:ascii="Times New Roman" w:eastAsia="Times New Roman" w:hAnsi="Times New Roman" w:cs="Times New Roman"/>
          <w:sz w:val="20"/>
          <w:szCs w:val="20"/>
        </w:rPr>
        <w:br/>
      </w:r>
      <w:r>
        <w:rPr>
          <w:rFonts w:ascii="Times New Roman" w:eastAsia="Times New Roman" w:hAnsi="Times New Roman" w:cs="Times New Roman"/>
          <w:sz w:val="20"/>
          <w:szCs w:val="20"/>
        </w:rPr>
        <w:br/>
        <w:t>2. High Parallelism &amp; Throughput:</w:t>
      </w:r>
      <w:r>
        <w:rPr>
          <w:rFonts w:ascii="Times New Roman" w:eastAsia="Times New Roman" w:hAnsi="Times New Roman" w:cs="Times New Roman"/>
          <w:sz w:val="20"/>
          <w:szCs w:val="20"/>
        </w:rPr>
        <w:br/>
        <w:t xml:space="preserve">   N² PEs operate simultaneously, delivering N² MAC operations per clock cycle. For a 4×4 array at 100 MHz, this yields 1.6 GMAC/s. For a 16×16 array, this scales to 25.6 GMAC/s — comparable to dedicated AI accelerators.</w:t>
      </w:r>
      <w:r>
        <w:rPr>
          <w:rFonts w:ascii="Times New Roman" w:eastAsia="Times New Roman" w:hAnsi="Times New Roman" w:cs="Times New Roman"/>
          <w:sz w:val="20"/>
          <w:szCs w:val="20"/>
        </w:rPr>
        <w:br/>
      </w:r>
      <w:r>
        <w:rPr>
          <w:rFonts w:ascii="Times New Roman" w:eastAsia="Times New Roman" w:hAnsi="Times New Roman" w:cs="Times New Roman"/>
          <w:sz w:val="20"/>
          <w:szCs w:val="20"/>
        </w:rPr>
        <w:br/>
        <w:t>3. Optimal Data Reuse:</w:t>
      </w:r>
      <w:r>
        <w:rPr>
          <w:rFonts w:ascii="Times New Roman" w:eastAsia="Times New Roman" w:hAnsi="Times New Roman" w:cs="Times New Roman"/>
          <w:sz w:val="20"/>
          <w:szCs w:val="20"/>
        </w:rPr>
        <w:br/>
      </w: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 Each input value is read from memory exactly ONCE but reused N times as it flows through the PE chain. This reduces memory bandwidth requirements by a factor of N compared to naive implementations — critical for bandwidth-limited embedded systems.</w:t>
      </w:r>
      <w:r>
        <w:rPr>
          <w:rFonts w:ascii="Times New Roman" w:eastAsia="Times New Roman" w:hAnsi="Times New Roman" w:cs="Times New Roman"/>
          <w:sz w:val="20"/>
          <w:szCs w:val="20"/>
        </w:rPr>
        <w:br/>
      </w:r>
      <w:r>
        <w:rPr>
          <w:rFonts w:ascii="Times New Roman" w:eastAsia="Times New Roman" w:hAnsi="Times New Roman" w:cs="Times New Roman"/>
          <w:sz w:val="20"/>
          <w:szCs w:val="20"/>
        </w:rPr>
        <w:br/>
        <w:t>4. Simple, Local Wiring:</w:t>
      </w:r>
      <w:r>
        <w:rPr>
          <w:rFonts w:ascii="Times New Roman" w:eastAsia="Times New Roman" w:hAnsi="Times New Roman" w:cs="Times New Roman"/>
          <w:sz w:val="20"/>
          <w:szCs w:val="20"/>
        </w:rPr>
        <w:br/>
        <w:t xml:space="preserve">   Each PE only communicates with its immediate neighbors. No long global wires are needed, enabling high clock frequencies, easy physical layout, and predictable timing closure in FPGA synthesis.</w:t>
      </w:r>
      <w:r>
        <w:rPr>
          <w:rFonts w:ascii="Times New Roman" w:eastAsia="Times New Roman" w:hAnsi="Times New Roman" w:cs="Times New Roman"/>
          <w:sz w:val="20"/>
          <w:szCs w:val="20"/>
        </w:rPr>
        <w:br/>
      </w:r>
      <w:r>
        <w:rPr>
          <w:rFonts w:ascii="Times New Roman" w:eastAsia="Times New Roman" w:hAnsi="Times New Roman" w:cs="Times New Roman"/>
          <w:sz w:val="20"/>
          <w:szCs w:val="20"/>
        </w:rPr>
        <w:br/>
        <w:t>5. Clean Integration Interface:</w:t>
      </w:r>
      <w:r>
        <w:rPr>
          <w:rFonts w:ascii="Times New Roman" w:eastAsia="Times New Roman" w:hAnsi="Times New Roman" w:cs="Times New Roman"/>
          <w:sz w:val="20"/>
          <w:szCs w:val="20"/>
        </w:rPr>
        <w:br/>
        <w:t xml:space="preserve">   The top-level module provides a simple load-start-done handshake protocol, making it easy to integrate as an accelerator IP core in larger SoC designs with AXI bus interfaces or UART communication.</w:t>
      </w:r>
      <w:r>
        <w:rPr>
          <w:rFonts w:ascii="Times New Roman" w:eastAsia="Times New Roman" w:hAnsi="Times New Roman" w:cs="Times New Roman"/>
          <w:sz w:val="20"/>
          <w:szCs w:val="20"/>
        </w:rPr>
        <w:br/>
      </w:r>
      <w:r>
        <w:rPr>
          <w:rFonts w:ascii="Times New Roman" w:eastAsia="Times New Roman" w:hAnsi="Times New Roman" w:cs="Times New Roman"/>
          <w:sz w:val="20"/>
          <w:szCs w:val="20"/>
        </w:rPr>
        <w:br/>
        <w:t>6. Comprehensive Verification:</w:t>
      </w:r>
      <w:r>
        <w:rPr>
          <w:rFonts w:ascii="Times New Roman" w:eastAsia="Times New Roman" w:hAnsi="Times New Roman" w:cs="Times New Roman"/>
          <w:sz w:val="20"/>
          <w:szCs w:val="20"/>
        </w:rPr>
        <w:br/>
        <w:t xml:space="preserve">   The design includes automated testbenches with software golden models that verify correctness across multiple test cases (identity, scalar, general multiply), ensuring reliability before hardware deployment.</w:t>
      </w:r>
      <w:r>
        <w:rPr>
          <w:rFonts w:ascii="Times New Roman" w:eastAsia="Times New Roman" w:hAnsi="Times New Roman" w:cs="Times New Roman"/>
          <w:sz w:val="20"/>
          <w:szCs w:val="20"/>
        </w:rPr>
        <w:br/>
      </w:r>
      <w:r>
        <w:rPr>
          <w:rFonts w:ascii="Times New Roman" w:eastAsia="Times New Roman" w:hAnsi="Times New Roman" w:cs="Times New Roman"/>
          <w:sz w:val="20"/>
          <w:szCs w:val="20"/>
        </w:rPr>
        <w:br/>
        <w:t>7. Novelty:</w:t>
      </w:r>
      <w:r>
        <w:rPr>
          <w:rFonts w:ascii="Times New Roman" w:eastAsia="Times New Roman" w:hAnsi="Times New Roman" w:cs="Times New Roman"/>
          <w:sz w:val="20"/>
          <w:szCs w:val="20"/>
        </w:rPr>
        <w:br/>
        <w:t xml:space="preserve">   The B-matrix transposition technique allows reuse of a single skew buffer module for both A and B inputs, reducing hardware duplication. The 3N-1 cycle compute timing precisely accounts for skew buffer latency and pipeline drain, maximizing PE utilization.</w:t>
      </w:r>
    </w:p>
    <w:p w14:paraId="746D92E8" w14:textId="77777777" w:rsidR="00C3350A" w:rsidRDefault="00000000">
      <w:pPr>
        <w:spacing w:after="1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2AA9D54E" w14:textId="77777777" w:rsidR="00C3350A" w:rsidRDefault="00000000">
      <w:pPr>
        <w:pStyle w:val="Heading1"/>
        <w:keepNext w:val="0"/>
        <w:keepLines w:val="0"/>
        <w:spacing w:before="0"/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</w:pPr>
      <w:bookmarkStart w:id="4" w:name="_d913wa2g9uph" w:colFirst="0" w:colLast="0"/>
      <w:bookmarkEnd w:id="4"/>
      <w:r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  <w:t>References</w:t>
      </w:r>
    </w:p>
    <w:p w14:paraId="5068DC7D" w14:textId="77777777" w:rsidR="00C3350A" w:rsidRDefault="00000000">
      <w:pPr>
        <w:spacing w:after="1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[1] H. T. Kung, C. E. Leiserson, "Systolic Arrays (for VLSI)," in Sparse Matrix Proceedings, SIAM, 1978, pp. 256-282.</w:t>
      </w:r>
      <w:r>
        <w:rPr>
          <w:rFonts w:ascii="Times New Roman" w:eastAsia="Times New Roman" w:hAnsi="Times New Roman" w:cs="Times New Roman"/>
          <w:sz w:val="20"/>
          <w:szCs w:val="20"/>
        </w:rPr>
        <w:br/>
      </w:r>
      <w:r>
        <w:rPr>
          <w:rFonts w:ascii="Times New Roman" w:eastAsia="Times New Roman" w:hAnsi="Times New Roman" w:cs="Times New Roman"/>
          <w:sz w:val="20"/>
          <w:szCs w:val="20"/>
        </w:rPr>
        <w:br/>
        <w:t>[2] N. P. Jouppi et al., "In-Datacenter Performance Analysis of a Tensor Processing Unit," Proceedings of the 44th Annual International Symposium on Computer Architecture (ISCA), 2017, pp. 1-12.</w:t>
      </w:r>
      <w:r>
        <w:rPr>
          <w:rFonts w:ascii="Times New Roman" w:eastAsia="Times New Roman" w:hAnsi="Times New Roman" w:cs="Times New Roman"/>
          <w:sz w:val="20"/>
          <w:szCs w:val="20"/>
        </w:rPr>
        <w:br/>
      </w:r>
      <w:r>
        <w:rPr>
          <w:rFonts w:ascii="Times New Roman" w:eastAsia="Times New Roman" w:hAnsi="Times New Roman" w:cs="Times New Roman"/>
          <w:sz w:val="20"/>
          <w:szCs w:val="20"/>
        </w:rPr>
        <w:br/>
        <w:t>[3] Y. Chen et al., "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Eyeriss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: A Spatial Architecture for Energy-Efficient Dataflow for Convolutional Neural Networks," Proceedings of ISCA, 2016.</w:t>
      </w:r>
      <w:r>
        <w:rPr>
          <w:rFonts w:ascii="Times New Roman" w:eastAsia="Times New Roman" w:hAnsi="Times New Roman" w:cs="Times New Roman"/>
          <w:sz w:val="20"/>
          <w:szCs w:val="20"/>
        </w:rPr>
        <w:br/>
      </w:r>
      <w:r>
        <w:rPr>
          <w:rFonts w:ascii="Times New Roman" w:eastAsia="Times New Roman" w:hAnsi="Times New Roman" w:cs="Times New Roman"/>
          <w:sz w:val="20"/>
          <w:szCs w:val="20"/>
        </w:rPr>
        <w:br/>
        <w:t>[4] Xilinx, "Vivado Design Suite User Guide: Synthesis (UG901)," Xilinx Inc., 2023.</w:t>
      </w:r>
      <w:r>
        <w:rPr>
          <w:rFonts w:ascii="Times New Roman" w:eastAsia="Times New Roman" w:hAnsi="Times New Roman" w:cs="Times New Roman"/>
          <w:sz w:val="20"/>
          <w:szCs w:val="20"/>
        </w:rPr>
        <w:br/>
      </w:r>
      <w:r>
        <w:rPr>
          <w:rFonts w:ascii="Times New Roman" w:eastAsia="Times New Roman" w:hAnsi="Times New Roman" w:cs="Times New Roman"/>
          <w:sz w:val="20"/>
          <w:szCs w:val="20"/>
        </w:rPr>
        <w:br/>
        <w:t>[5] S. Williams, A. Waterman, D. Patterson, "Roofline: An Insightful Visual Performance Model for Multicore Architectures," Communications of the ACM, 2009.</w:t>
      </w:r>
    </w:p>
    <w:p w14:paraId="61DF885E" w14:textId="77777777" w:rsidR="00C3350A" w:rsidRDefault="00C3350A"/>
    <w:sectPr w:rsidR="00C3350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027BC51-C2D6-4310-A46D-AE0C79E6596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04F4E35-CDEE-4DCB-9237-818421528D1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350A"/>
    <w:rsid w:val="00222E43"/>
    <w:rsid w:val="0075713D"/>
    <w:rsid w:val="00AF1C43"/>
    <w:rsid w:val="00C33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DF62C"/>
  <w15:docId w15:val="{84C8F5AF-0F98-4F6E-A38E-5F9F64E1F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577</Words>
  <Characters>3292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swarup maharana</dc:creator>
  <cp:keywords/>
  <dc:description/>
  <cp:lastModifiedBy>Adarsh swarup maharana</cp:lastModifiedBy>
  <cp:revision>1</cp:revision>
  <dcterms:created xsi:type="dcterms:W3CDTF">2026-08-12T18:03:00Z</dcterms:created>
  <dcterms:modified xsi:type="dcterms:W3CDTF">2026-08-13T13:40:00Z</dcterms:modified>
</cp:coreProperties>
</file>