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5F89" w14:textId="0313B5B0" w:rsidR="00207507" w:rsidRPr="00C721B8" w:rsidRDefault="00C721B8" w:rsidP="00C721B8">
      <w:pPr>
        <w:pStyle w:val="CVName"/>
        <w:bidi/>
        <w:jc w:val="center"/>
        <w:rPr>
          <w:color w:val="404040" w:themeColor="text1" w:themeTint="BF"/>
          <w:sz w:val="22"/>
          <w:lang w:val="fr-MA"/>
        </w:rPr>
      </w:pPr>
      <w:r w:rsidRPr="00C721B8">
        <w:rPr>
          <w:bCs/>
          <w:color w:val="404040" w:themeColor="text1" w:themeTint="BF"/>
          <w:sz w:val="22"/>
          <w:rtl/>
        </w:rPr>
        <w:t>الغالي الساني</w:t>
      </w:r>
    </w:p>
    <w:p w14:paraId="08B088D0" w14:textId="77777777" w:rsidR="00B33C49" w:rsidRPr="004C3139" w:rsidRDefault="00B33C49" w:rsidP="00B33C49">
      <w:pPr>
        <w:pStyle w:val="Small"/>
        <w:pBdr>
          <w:bottom w:val="single" w:sz="3" w:space="1" w:color="D6DCE5"/>
        </w:pBdr>
        <w:bidi/>
        <w:spacing w:after="46"/>
        <w:jc w:val="center"/>
        <w:rPr>
          <w:b/>
          <w:bCs/>
          <w:color w:val="404040" w:themeColor="text1" w:themeTint="BF"/>
          <w:sz w:val="16"/>
          <w:szCs w:val="16"/>
        </w:rPr>
      </w:pPr>
      <w:r w:rsidRPr="004C3139">
        <w:rPr>
          <w:b/>
          <w:bCs/>
          <w:color w:val="404040" w:themeColor="text1" w:themeTint="BF"/>
          <w:sz w:val="16"/>
          <w:szCs w:val="16"/>
          <w:rtl/>
        </w:rPr>
        <w:t>متقدم لبرنامج الماجستير – جامعة الملك عبد العزيز | إدارة الخدمات الصحية والمستشفيات</w:t>
      </w:r>
    </w:p>
    <w:p w14:paraId="43A34FEA" w14:textId="2E76509F" w:rsidR="00207507" w:rsidRPr="004C3139" w:rsidRDefault="00B33C49" w:rsidP="00B33C49">
      <w:pPr>
        <w:pStyle w:val="Small"/>
        <w:pBdr>
          <w:bottom w:val="single" w:sz="3" w:space="1" w:color="D6DCE5"/>
        </w:pBdr>
        <w:bidi/>
        <w:spacing w:after="46"/>
        <w:jc w:val="center"/>
        <w:rPr>
          <w:color w:val="404040" w:themeColor="text1" w:themeTint="BF"/>
          <w:sz w:val="14"/>
          <w:szCs w:val="14"/>
        </w:rPr>
      </w:pPr>
      <w:r w:rsidRPr="004C3139">
        <w:rPr>
          <w:rFonts w:cs="Arial"/>
          <w:color w:val="404040" w:themeColor="text1" w:themeTint="BF"/>
          <w:sz w:val="14"/>
          <w:szCs w:val="14"/>
          <w:rtl/>
        </w:rPr>
        <w:t xml:space="preserve">رقم الطلب: 2026002015004 | ليون، فرنسا | </w:t>
      </w:r>
      <w:r w:rsidRPr="004C3139">
        <w:rPr>
          <w:color w:val="404040" w:themeColor="text1" w:themeTint="BF"/>
          <w:sz w:val="14"/>
          <w:szCs w:val="14"/>
        </w:rPr>
        <w:t xml:space="preserve">sanyghali@gmail.com | </w:t>
      </w:r>
      <w:r w:rsidRPr="004C3139">
        <w:rPr>
          <w:color w:val="404040" w:themeColor="text1" w:themeTint="BF"/>
          <w:sz w:val="14"/>
          <w:szCs w:val="14"/>
          <w:cs/>
        </w:rPr>
        <w:t>‎</w:t>
      </w:r>
      <w:r w:rsidRPr="004C3139">
        <w:rPr>
          <w:color w:val="404040" w:themeColor="text1" w:themeTint="BF"/>
          <w:sz w:val="14"/>
          <w:szCs w:val="14"/>
        </w:rPr>
        <w:t>+33 7 81 95 70 70</w:t>
      </w:r>
      <w:r w:rsidRPr="004C3139">
        <w:rPr>
          <w:rFonts w:cs="Arial"/>
          <w:color w:val="404040" w:themeColor="text1" w:themeTint="BF"/>
          <w:sz w:val="14"/>
          <w:szCs w:val="14"/>
          <w:rtl/>
        </w:rPr>
        <w:t xml:space="preserve"> | </w:t>
      </w:r>
      <w:r w:rsidR="004C3139" w:rsidRPr="004C3139">
        <w:rPr>
          <w:rFonts w:cs="Arial"/>
          <w:color w:val="404040" w:themeColor="text1" w:themeTint="BF"/>
          <w:sz w:val="14"/>
          <w:szCs w:val="14"/>
          <w:rtl/>
        </w:rPr>
        <w:t xml:space="preserve">الملف </w:t>
      </w:r>
      <w:proofErr w:type="gramStart"/>
      <w:r w:rsidR="004C3139" w:rsidRPr="004C3139">
        <w:rPr>
          <w:rFonts w:cs="Arial"/>
          <w:color w:val="404040" w:themeColor="text1" w:themeTint="BF"/>
          <w:sz w:val="14"/>
          <w:szCs w:val="14"/>
          <w:rtl/>
        </w:rPr>
        <w:t>التعريفي</w:t>
      </w:r>
      <w:r w:rsidR="004C3139" w:rsidRPr="004C3139">
        <w:rPr>
          <w:rFonts w:cs="Arial"/>
          <w:color w:val="404040" w:themeColor="text1" w:themeTint="BF"/>
          <w:sz w:val="14"/>
          <w:szCs w:val="14"/>
        </w:rPr>
        <w:t xml:space="preserve"> </w:t>
      </w:r>
      <w:r w:rsidR="004C3139" w:rsidRPr="004C3139">
        <w:rPr>
          <w:rFonts w:cs="Arial"/>
          <w:color w:val="404040" w:themeColor="text1" w:themeTint="BF"/>
          <w:sz w:val="14"/>
          <w:szCs w:val="14"/>
          <w:rtl/>
        </w:rPr>
        <w:t>:</w:t>
      </w:r>
      <w:proofErr w:type="gramEnd"/>
      <w:r w:rsidR="004C3139" w:rsidRPr="004C3139">
        <w:rPr>
          <w:rFonts w:cs="Arial"/>
          <w:color w:val="404040" w:themeColor="text1" w:themeTint="BF"/>
          <w:sz w:val="14"/>
          <w:szCs w:val="14"/>
        </w:rPr>
        <w:t xml:space="preserve"> </w:t>
      </w:r>
      <w:hyperlink r:id="rId6" w:history="1">
        <w:r w:rsidR="004C3139" w:rsidRPr="004C3139">
          <w:rPr>
            <w:rStyle w:val="Lienhypertexte"/>
            <w:color w:val="404040" w:themeColor="text1" w:themeTint="BF"/>
            <w:sz w:val="14"/>
            <w:szCs w:val="14"/>
          </w:rPr>
          <w:t>https://el2545.github.io/portfolio-KAU/</w:t>
        </w:r>
      </w:hyperlink>
      <w:r w:rsidR="004C3139" w:rsidRPr="004C3139">
        <w:rPr>
          <w:color w:val="404040" w:themeColor="text1" w:themeTint="BF"/>
          <w:sz w:val="14"/>
          <w:szCs w:val="14"/>
        </w:rPr>
        <w:t xml:space="preserve"> </w:t>
      </w:r>
      <w:r w:rsidR="004C3139" w:rsidRPr="004C3139">
        <w:rPr>
          <w:rFonts w:cs="Arial"/>
          <w:color w:val="404040" w:themeColor="text1" w:themeTint="BF"/>
          <w:sz w:val="14"/>
          <w:szCs w:val="14"/>
          <w:rtl/>
        </w:rPr>
        <w:t xml:space="preserve"> </w:t>
      </w:r>
      <w:r w:rsidRPr="004C3139">
        <w:rPr>
          <w:color w:val="404040" w:themeColor="text1" w:themeTint="BF"/>
          <w:sz w:val="14"/>
          <w:szCs w:val="14"/>
        </w:rPr>
        <w:t xml:space="preserve"> LinkedIn: </w:t>
      </w:r>
      <w:hyperlink r:id="rId7" w:history="1">
        <w:r w:rsidRPr="004C3139">
          <w:rPr>
            <w:rStyle w:val="Lienhypertexte"/>
            <w:color w:val="404040" w:themeColor="text1" w:themeTint="BF"/>
            <w:sz w:val="14"/>
            <w:szCs w:val="14"/>
          </w:rPr>
          <w:t>Elghali Sany</w:t>
        </w:r>
      </w:hyperlink>
      <w:r w:rsidR="004C3139" w:rsidRPr="004C3139">
        <w:rPr>
          <w:color w:val="404040" w:themeColor="text1" w:themeTint="BF"/>
          <w:sz w:val="14"/>
          <w:szCs w:val="14"/>
        </w:rPr>
        <w:t xml:space="preserve"> </w:t>
      </w:r>
      <w:r w:rsidR="004C3139" w:rsidRPr="004C3139">
        <w:rPr>
          <w:color w:val="404040" w:themeColor="text1" w:themeTint="BF"/>
          <w:sz w:val="14"/>
          <w:szCs w:val="14"/>
        </w:rPr>
        <w:t>|</w:t>
      </w:r>
    </w:p>
    <w:p w14:paraId="6B3D9B72" w14:textId="1E67A330" w:rsidR="00207507" w:rsidRPr="004C3139" w:rsidRDefault="00B33C49" w:rsidP="00B33C49">
      <w:pPr>
        <w:pStyle w:val="SectionHeading"/>
        <w:pBdr>
          <w:bottom w:val="single" w:sz="4" w:space="1" w:color="BFC7D1"/>
        </w:pBdr>
        <w:bidi/>
        <w:spacing w:before="70" w:after="16"/>
        <w:rPr>
          <w:color w:val="404040" w:themeColor="text1" w:themeTint="BF"/>
          <w:szCs w:val="18"/>
          <w:lang w:val="fr-MA"/>
        </w:rPr>
      </w:pPr>
      <w:r w:rsidRPr="004C3139">
        <w:rPr>
          <w:bCs/>
          <w:color w:val="404040" w:themeColor="text1" w:themeTint="BF"/>
          <w:szCs w:val="18"/>
          <w:rtl/>
        </w:rPr>
        <w:t>النبذة الأكاديمية</w:t>
      </w:r>
    </w:p>
    <w:p w14:paraId="555901B0" w14:textId="627F9F86" w:rsidR="00486D9F" w:rsidRPr="004C3139" w:rsidRDefault="00486D9F" w:rsidP="00E62E02">
      <w:pPr>
        <w:bidi/>
        <w:rPr>
          <w:color w:val="404040" w:themeColor="text1" w:themeTint="BF"/>
          <w:sz w:val="18"/>
          <w:szCs w:val="18"/>
          <w:lang w:val="fr-MA" w:bidi="ar"/>
        </w:rPr>
      </w:pPr>
      <w:r w:rsidRPr="004C3139">
        <w:rPr>
          <w:color w:val="404040" w:themeColor="text1" w:themeTint="BF"/>
          <w:sz w:val="18"/>
          <w:szCs w:val="18"/>
          <w:rtl/>
        </w:rPr>
        <w:t>خريج في الإدارة والمالية والمحاسبة، وطالب حاليًا في برنامج ماجستير إدارة المشتريات وسلاسل التوريد. يتمحور اهتمامي البحثي المقترح في جامعة الملك عبد العزيز حول دعم اتخاذ القرار غير السريري في إدارة المستشفيات، ولا سيما في مجال شراء الأجهزة الطبية عالية التكلفة داخل المستشفيات الحكومية السعودية وفق مقاربة قائمة على القيمة</w:t>
      </w:r>
      <w:r w:rsidRPr="004C3139">
        <w:rPr>
          <w:color w:val="404040" w:themeColor="text1" w:themeTint="BF"/>
          <w:sz w:val="18"/>
          <w:szCs w:val="18"/>
          <w:lang w:val="fr-MA" w:bidi="ar"/>
        </w:rPr>
        <w:t>.</w:t>
      </w:r>
    </w:p>
    <w:p w14:paraId="52A28FE2" w14:textId="77777777" w:rsidR="00486D9F" w:rsidRPr="004C3139" w:rsidRDefault="00486D9F" w:rsidP="00E62E02">
      <w:pPr>
        <w:bidi/>
        <w:rPr>
          <w:color w:val="404040" w:themeColor="text1" w:themeTint="BF"/>
          <w:sz w:val="18"/>
          <w:szCs w:val="18"/>
          <w:lang w:val="fr-MA" w:bidi="ar"/>
        </w:rPr>
      </w:pPr>
      <w:r w:rsidRPr="004C3139">
        <w:rPr>
          <w:color w:val="404040" w:themeColor="text1" w:themeTint="BF"/>
          <w:sz w:val="18"/>
          <w:szCs w:val="18"/>
          <w:rtl/>
        </w:rPr>
        <w:t>ويقترح هذا البحث إطارًا تحليليًا يجمع بين التكلفة الإجمالية المخفضة للملكية، وطريقة الأفضل والأسوأ لتحديد الأوزان، وتصنيف البدائل باستخدام منهجية</w:t>
      </w:r>
      <w:r w:rsidRPr="004C3139">
        <w:rPr>
          <w:color w:val="404040" w:themeColor="text1" w:themeTint="BF"/>
          <w:sz w:val="18"/>
          <w:szCs w:val="18"/>
          <w:lang w:val="fr-MA" w:bidi="ar"/>
        </w:rPr>
        <w:t xml:space="preserve"> TOPSIS</w:t>
      </w:r>
      <w:r w:rsidRPr="004C3139">
        <w:rPr>
          <w:color w:val="404040" w:themeColor="text1" w:themeTint="BF"/>
          <w:sz w:val="18"/>
          <w:szCs w:val="18"/>
          <w:rtl/>
        </w:rPr>
        <w:t>، إلى جانب تحليل الحساسية. ويهدف هذا الإطار إلى مقارنة البدائل من حيث القدرة على تحمل تكاليف دورة حياة الجهاز، واستمرارية الخدمة، وموثوقية الموردين، والجاهزية الرقمية، والامتثال لمتطلبات الحوكمة، والاستدامة</w:t>
      </w:r>
      <w:r w:rsidRPr="004C3139">
        <w:rPr>
          <w:color w:val="404040" w:themeColor="text1" w:themeTint="BF"/>
          <w:sz w:val="18"/>
          <w:szCs w:val="18"/>
          <w:lang w:val="fr-MA" w:bidi="ar"/>
        </w:rPr>
        <w:t>.</w:t>
      </w:r>
    </w:p>
    <w:p w14:paraId="358163A5" w14:textId="47ABA9B2" w:rsidR="00207507" w:rsidRPr="004C3139" w:rsidRDefault="00486D9F" w:rsidP="00B413AF">
      <w:pPr>
        <w:bidi/>
        <w:rPr>
          <w:color w:val="404040" w:themeColor="text1" w:themeTint="BF"/>
          <w:sz w:val="18"/>
          <w:szCs w:val="18"/>
          <w:lang w:val="fr-MA" w:bidi="ar"/>
        </w:rPr>
      </w:pPr>
      <w:r w:rsidRPr="004C3139">
        <w:rPr>
          <w:color w:val="404040" w:themeColor="text1" w:themeTint="BF"/>
          <w:sz w:val="18"/>
          <w:szCs w:val="18"/>
          <w:rtl/>
        </w:rPr>
        <w:t xml:space="preserve">كما اكتسبت خبرة عملية في تحليل </w:t>
      </w:r>
      <w:proofErr w:type="gramStart"/>
      <w:r w:rsidRPr="004C3139">
        <w:rPr>
          <w:color w:val="404040" w:themeColor="text1" w:themeTint="BF"/>
          <w:sz w:val="18"/>
          <w:szCs w:val="18"/>
          <w:rtl/>
        </w:rPr>
        <w:t>مخاطر</w:t>
      </w:r>
      <w:proofErr w:type="gramEnd"/>
      <w:r w:rsidRPr="004C3139">
        <w:rPr>
          <w:color w:val="404040" w:themeColor="text1" w:themeTint="BF"/>
          <w:sz w:val="18"/>
          <w:szCs w:val="18"/>
          <w:rtl/>
        </w:rPr>
        <w:t xml:space="preserve"> الائتمان، ومراقبة المحافظ، وتحديد أولويات التحصيل، ومتابعة معدلات الاسترداد، وإعداد تقارير الأداء المالي</w:t>
      </w:r>
      <w:r w:rsidRPr="004C3139">
        <w:rPr>
          <w:color w:val="404040" w:themeColor="text1" w:themeTint="BF"/>
          <w:sz w:val="18"/>
          <w:szCs w:val="18"/>
          <w:lang w:val="fr-MA" w:bidi="ar"/>
        </w:rPr>
        <w:t>.</w:t>
      </w:r>
    </w:p>
    <w:p w14:paraId="3FD874E7" w14:textId="57B957DA" w:rsidR="00207507" w:rsidRPr="004C3139" w:rsidRDefault="00E62E02" w:rsidP="00E62E02">
      <w:pPr>
        <w:pStyle w:val="SectionHeading"/>
        <w:pBdr>
          <w:bottom w:val="single" w:sz="4" w:space="1" w:color="BFC7D1"/>
        </w:pBdr>
        <w:bidi/>
        <w:spacing w:before="70" w:after="16"/>
        <w:rPr>
          <w:b w:val="0"/>
          <w:bCs/>
          <w:color w:val="404040" w:themeColor="text1" w:themeTint="BF"/>
          <w:szCs w:val="18"/>
        </w:rPr>
      </w:pPr>
      <w:r w:rsidRPr="004C3139">
        <w:rPr>
          <w:b w:val="0"/>
          <w:bCs/>
          <w:color w:val="404040" w:themeColor="text1" w:themeTint="BF"/>
          <w:szCs w:val="18"/>
          <w:rtl/>
        </w:rPr>
        <w:t>التعليم</w:t>
      </w:r>
    </w:p>
    <w:p w14:paraId="6DB3E343" w14:textId="6BB5F53D" w:rsidR="00E62E02" w:rsidRPr="004C3139" w:rsidRDefault="00E62E02" w:rsidP="00E62E02">
      <w:pPr>
        <w:pStyle w:val="Listepuces"/>
        <w:numPr>
          <w:ilvl w:val="0"/>
          <w:numId w:val="0"/>
        </w:numPr>
        <w:bidi/>
        <w:rPr>
          <w:color w:val="404040" w:themeColor="text1" w:themeTint="BF"/>
          <w:sz w:val="18"/>
          <w:szCs w:val="18"/>
          <w:lang w:val="fr-MA"/>
        </w:rPr>
      </w:pPr>
      <w:r w:rsidRPr="004C3139">
        <w:rPr>
          <w:b/>
          <w:bCs/>
          <w:color w:val="404040" w:themeColor="text1" w:themeTint="BF"/>
          <w:sz w:val="18"/>
          <w:szCs w:val="18"/>
          <w:rtl/>
        </w:rPr>
        <w:t>ماجستير في إدارة المشتريات وسلاسل التوريد</w:t>
      </w:r>
      <w:r w:rsidRPr="004C3139">
        <w:rPr>
          <w:color w:val="404040" w:themeColor="text1" w:themeTint="BF"/>
          <w:sz w:val="18"/>
          <w:szCs w:val="18"/>
          <w:rtl/>
        </w:rPr>
        <w:t xml:space="preserve"> </w:t>
      </w:r>
      <w:r w:rsidRPr="004C3139">
        <w:rPr>
          <w:color w:val="404040" w:themeColor="text1" w:themeTint="BF"/>
          <w:sz w:val="18"/>
          <w:szCs w:val="18"/>
          <w:lang w:val="fr-MA"/>
        </w:rPr>
        <w:t>| INSEEC Business School</w:t>
      </w:r>
      <w:r w:rsidRPr="004C3139">
        <w:rPr>
          <w:color w:val="404040" w:themeColor="text1" w:themeTint="BF"/>
          <w:sz w:val="18"/>
          <w:szCs w:val="18"/>
          <w:rtl/>
        </w:rPr>
        <w:t xml:space="preserve"> ليون، فرنسا | أكتوبر 2025 – حتى الآن</w:t>
      </w:r>
    </w:p>
    <w:p w14:paraId="4EAC8C0E" w14:textId="0EE120CC" w:rsidR="00E62E02" w:rsidRPr="004C3139" w:rsidRDefault="00E62E02" w:rsidP="00E62E02">
      <w:pPr>
        <w:pStyle w:val="Listepuces"/>
        <w:bidi/>
        <w:ind w:left="68"/>
        <w:rPr>
          <w:color w:val="404040" w:themeColor="text1" w:themeTint="BF"/>
          <w:sz w:val="18"/>
          <w:szCs w:val="18"/>
          <w:lang w:val="fr-MA"/>
        </w:rPr>
      </w:pPr>
      <w:r w:rsidRPr="004C3139">
        <w:rPr>
          <w:color w:val="404040" w:themeColor="text1" w:themeTint="BF"/>
          <w:sz w:val="18"/>
          <w:szCs w:val="18"/>
          <w:rtl/>
        </w:rPr>
        <w:t>تكوين دراسات عليا في أداء المشتريات، وتحليل التكاليف، وإدارة العمليات، والتنبؤ، ونمذجة مؤشرات الأداء الرئيسية، واتخاذ القرار المدعوم بالبيانات؛ مع تركيز تحليلي على تخصيص الموارد، ووضوح تكلفة دورة الحياة، والكفاءة التشغيلية، وإعداد التقارير الإدارية</w:t>
      </w:r>
      <w:r w:rsidRPr="004C3139">
        <w:rPr>
          <w:color w:val="404040" w:themeColor="text1" w:themeTint="BF"/>
          <w:sz w:val="18"/>
          <w:szCs w:val="18"/>
          <w:lang w:val="fr-MA"/>
        </w:rPr>
        <w:t>.</w:t>
      </w:r>
    </w:p>
    <w:p w14:paraId="6275111D" w14:textId="56F6DAF6" w:rsidR="00E62E02" w:rsidRPr="004C3139" w:rsidRDefault="00E62E02" w:rsidP="00E62E02">
      <w:pPr>
        <w:pStyle w:val="Listepuces"/>
        <w:numPr>
          <w:ilvl w:val="0"/>
          <w:numId w:val="0"/>
        </w:numPr>
        <w:bidi/>
        <w:rPr>
          <w:color w:val="404040" w:themeColor="text1" w:themeTint="BF"/>
          <w:sz w:val="18"/>
          <w:szCs w:val="18"/>
          <w:lang w:val="fr-MA"/>
        </w:rPr>
      </w:pPr>
      <w:r w:rsidRPr="004C3139">
        <w:rPr>
          <w:b/>
          <w:bCs/>
          <w:color w:val="404040" w:themeColor="text1" w:themeTint="BF"/>
          <w:sz w:val="18"/>
          <w:szCs w:val="18"/>
          <w:rtl/>
        </w:rPr>
        <w:t>الإجازة المهنية في الإدارة – التدبير المالي والمحاسبي</w:t>
      </w:r>
      <w:r w:rsidRPr="004C3139">
        <w:rPr>
          <w:color w:val="404040" w:themeColor="text1" w:themeTint="BF"/>
          <w:sz w:val="18"/>
          <w:szCs w:val="18"/>
          <w:rtl/>
        </w:rPr>
        <w:t xml:space="preserve"> </w:t>
      </w:r>
      <w:r w:rsidRPr="004C3139">
        <w:rPr>
          <w:color w:val="404040" w:themeColor="text1" w:themeTint="BF"/>
          <w:sz w:val="18"/>
          <w:szCs w:val="18"/>
          <w:lang w:val="fr-MA"/>
        </w:rPr>
        <w:t xml:space="preserve">| </w:t>
      </w:r>
      <w:r w:rsidRPr="004C3139">
        <w:rPr>
          <w:color w:val="404040" w:themeColor="text1" w:themeTint="BF"/>
          <w:sz w:val="18"/>
          <w:szCs w:val="18"/>
          <w:rtl/>
        </w:rPr>
        <w:t>الجامعة الدولية بالدار البيضاء، المغرب | سبتمبر 2022 – يوليو 2025</w:t>
      </w:r>
    </w:p>
    <w:p w14:paraId="7AF9E679" w14:textId="573AEE4D" w:rsidR="00E62E02" w:rsidRPr="004C3139" w:rsidRDefault="00E62E02" w:rsidP="00E62E02">
      <w:pPr>
        <w:pStyle w:val="Listepuces"/>
        <w:bidi/>
        <w:ind w:left="68"/>
        <w:rPr>
          <w:color w:val="404040" w:themeColor="text1" w:themeTint="BF"/>
          <w:sz w:val="18"/>
          <w:szCs w:val="18"/>
          <w:lang w:val="fr-MA"/>
        </w:rPr>
      </w:pPr>
      <w:r w:rsidRPr="004C3139">
        <w:rPr>
          <w:color w:val="404040" w:themeColor="text1" w:themeTint="BF"/>
          <w:sz w:val="18"/>
          <w:szCs w:val="18"/>
          <w:rtl/>
        </w:rPr>
        <w:t>إتمام السنة الثالثة من الإجازة المهنية في الإدارة بنجاح، تخصص: التدبير المالي والمحاسبي؛ مع تكوين أكاديمي في المحاسبة، والمالية المؤسسية، ومراقبة التسيير، والتحليل المالي، والإحصاء، والاقتصاد، وقانون الأعمال، وإدارة المنظمات</w:t>
      </w:r>
      <w:r w:rsidRPr="004C3139">
        <w:rPr>
          <w:color w:val="404040" w:themeColor="text1" w:themeTint="BF"/>
          <w:sz w:val="18"/>
          <w:szCs w:val="18"/>
          <w:lang w:val="fr-MA"/>
        </w:rPr>
        <w:t>.</w:t>
      </w:r>
    </w:p>
    <w:p w14:paraId="745177C1" w14:textId="7F6BEB2E" w:rsidR="00207507" w:rsidRPr="004C3139" w:rsidRDefault="00E62E02" w:rsidP="00E62E02">
      <w:pPr>
        <w:pStyle w:val="Listepuces"/>
        <w:bidi/>
        <w:ind w:left="68"/>
        <w:rPr>
          <w:color w:val="404040" w:themeColor="text1" w:themeTint="BF"/>
          <w:sz w:val="18"/>
          <w:szCs w:val="18"/>
          <w:lang w:val="fr-MA"/>
        </w:rPr>
      </w:pPr>
      <w:r w:rsidRPr="004C3139">
        <w:rPr>
          <w:color w:val="404040" w:themeColor="text1" w:themeTint="BF"/>
          <w:sz w:val="18"/>
          <w:szCs w:val="18"/>
          <w:rtl/>
        </w:rPr>
        <w:t xml:space="preserve">تناول مشروع نهاية الدراسة تقييم ربحية الاستثمار في الإعلانات الخارجية بالاعتماد على تدفقات المرور، والمتغيرات </w:t>
      </w:r>
      <w:proofErr w:type="spellStart"/>
      <w:r w:rsidRPr="004C3139">
        <w:rPr>
          <w:color w:val="404040" w:themeColor="text1" w:themeTint="BF"/>
          <w:sz w:val="18"/>
          <w:szCs w:val="18"/>
          <w:rtl/>
        </w:rPr>
        <w:t>السوسيو</w:t>
      </w:r>
      <w:proofErr w:type="spellEnd"/>
      <w:r w:rsidRPr="004C3139">
        <w:rPr>
          <w:color w:val="404040" w:themeColor="text1" w:themeTint="BF"/>
          <w:sz w:val="18"/>
          <w:szCs w:val="18"/>
          <w:rtl/>
        </w:rPr>
        <w:t>-اقتصادية، والإطار التنظيمي، والنفقات الرأسمالية، والنفقات التشغيلية، والتكلفة الإجمالية للملكية، والعائد على الاستثمار، وتحليل نقطة التعادل، ومنطق مؤشر الربحية المحتملة</w:t>
      </w:r>
      <w:r w:rsidRPr="004C3139">
        <w:rPr>
          <w:color w:val="404040" w:themeColor="text1" w:themeTint="BF"/>
          <w:sz w:val="18"/>
          <w:szCs w:val="18"/>
          <w:lang w:val="fr-MA"/>
        </w:rPr>
        <w:t>.</w:t>
      </w:r>
    </w:p>
    <w:p w14:paraId="746C200B" w14:textId="0C93F05D" w:rsidR="00207507" w:rsidRPr="004C3139" w:rsidRDefault="00E62E02" w:rsidP="00E62E02">
      <w:pPr>
        <w:pStyle w:val="SectionHeading"/>
        <w:pBdr>
          <w:bottom w:val="single" w:sz="4" w:space="1" w:color="BFC7D1"/>
        </w:pBdr>
        <w:bidi/>
        <w:spacing w:before="70" w:after="16"/>
        <w:rPr>
          <w:b w:val="0"/>
          <w:bCs/>
          <w:color w:val="404040" w:themeColor="text1" w:themeTint="BF"/>
          <w:szCs w:val="18"/>
        </w:rPr>
      </w:pPr>
      <w:r w:rsidRPr="004C3139">
        <w:rPr>
          <w:rFonts w:cs="Arial"/>
          <w:b w:val="0"/>
          <w:bCs/>
          <w:color w:val="404040" w:themeColor="text1" w:themeTint="BF"/>
          <w:szCs w:val="18"/>
          <w:rtl/>
        </w:rPr>
        <w:t>البحوث والمشاريع الأكاديمية</w:t>
      </w:r>
    </w:p>
    <w:p w14:paraId="1221FA70" w14:textId="1239D130" w:rsidR="00E62E02" w:rsidRPr="004C3139" w:rsidRDefault="00E62E02" w:rsidP="00E62E02">
      <w:pPr>
        <w:pStyle w:val="Listepuces"/>
        <w:numPr>
          <w:ilvl w:val="0"/>
          <w:numId w:val="0"/>
        </w:numPr>
        <w:bidi/>
        <w:ind w:left="176" w:hanging="108"/>
        <w:rPr>
          <w:color w:val="404040" w:themeColor="text1" w:themeTint="BF"/>
          <w:sz w:val="18"/>
          <w:szCs w:val="18"/>
          <w:lang w:val="fr-MA"/>
        </w:rPr>
      </w:pPr>
      <w:r w:rsidRPr="004C3139">
        <w:rPr>
          <w:b/>
          <w:bCs/>
          <w:color w:val="404040" w:themeColor="text1" w:themeTint="BF"/>
          <w:sz w:val="18"/>
          <w:szCs w:val="18"/>
          <w:rtl/>
        </w:rPr>
        <w:t>إطار التكلفة الإجمالية المخفضة للملكية ومنهجية</w:t>
      </w:r>
      <w:r w:rsidRPr="004C3139">
        <w:rPr>
          <w:b/>
          <w:bCs/>
          <w:color w:val="404040" w:themeColor="text1" w:themeTint="BF"/>
          <w:sz w:val="18"/>
          <w:szCs w:val="18"/>
          <w:lang w:val="fr-MA"/>
        </w:rPr>
        <w:t xml:space="preserve"> BWM-TOPSIS </w:t>
      </w:r>
      <w:r w:rsidRPr="004C3139">
        <w:rPr>
          <w:b/>
          <w:bCs/>
          <w:color w:val="404040" w:themeColor="text1" w:themeTint="BF"/>
          <w:sz w:val="18"/>
          <w:szCs w:val="18"/>
          <w:rtl/>
        </w:rPr>
        <w:t>للمشتريات القائمة على القيمة للأجهزة الطبية عالية التكلفة</w:t>
      </w:r>
      <w:r w:rsidRPr="004C3139">
        <w:rPr>
          <w:color w:val="404040" w:themeColor="text1" w:themeTint="BF"/>
          <w:sz w:val="18"/>
          <w:szCs w:val="18"/>
          <w:rtl/>
        </w:rPr>
        <w:t xml:space="preserve"> </w:t>
      </w:r>
      <w:r w:rsidRPr="004C3139">
        <w:rPr>
          <w:color w:val="404040" w:themeColor="text1" w:themeTint="BF"/>
          <w:sz w:val="18"/>
          <w:szCs w:val="18"/>
          <w:lang w:val="fr-MA"/>
        </w:rPr>
        <w:t xml:space="preserve">| </w:t>
      </w:r>
      <w:r w:rsidRPr="004C3139">
        <w:rPr>
          <w:color w:val="404040" w:themeColor="text1" w:themeTint="BF"/>
          <w:sz w:val="18"/>
          <w:szCs w:val="18"/>
          <w:rtl/>
        </w:rPr>
        <w:t>مقترح بحثي لجامعة الملك عبد العزيز | يونيو 2026</w:t>
      </w:r>
    </w:p>
    <w:p w14:paraId="164654DB" w14:textId="77777777" w:rsidR="00E62E02" w:rsidRPr="004C3139" w:rsidRDefault="00E62E02" w:rsidP="00E62E02">
      <w:pPr>
        <w:pStyle w:val="Listepuces"/>
        <w:bidi/>
        <w:rPr>
          <w:color w:val="404040" w:themeColor="text1" w:themeTint="BF"/>
          <w:sz w:val="18"/>
          <w:szCs w:val="18"/>
          <w:lang w:val="fr-MA"/>
        </w:rPr>
      </w:pPr>
      <w:r w:rsidRPr="004C3139">
        <w:rPr>
          <w:color w:val="404040" w:themeColor="text1" w:themeTint="BF"/>
          <w:sz w:val="18"/>
          <w:szCs w:val="18"/>
          <w:rtl/>
        </w:rPr>
        <w:t>صممت إطارًا غير سريري لدعم اتخاذ القرار موجّهًا للمستشفيات الحكومية السعودية في إطار رؤية السعودية 2030، بهدف تجاوز منطق التركيز على سعر الاقتناء فقط، والانتقال نحو تقييم القدرة على تحمل تكلفة دورة الحياة، واستمرارية الخدمة، وموثوقية الموردين، والجاهزية الرقمية، والامتثال لمتطلبات الحوكمة، والاستدامة</w:t>
      </w:r>
      <w:r w:rsidRPr="004C3139">
        <w:rPr>
          <w:color w:val="404040" w:themeColor="text1" w:themeTint="BF"/>
          <w:sz w:val="18"/>
          <w:szCs w:val="18"/>
          <w:lang w:val="fr-MA"/>
        </w:rPr>
        <w:t>.</w:t>
      </w:r>
    </w:p>
    <w:p w14:paraId="7CB6A7ED" w14:textId="30DFBBF1" w:rsidR="00E62E02" w:rsidRPr="004C3139" w:rsidRDefault="00E62E02" w:rsidP="00E62E02">
      <w:pPr>
        <w:pStyle w:val="Listepuces"/>
        <w:bidi/>
        <w:rPr>
          <w:color w:val="404040" w:themeColor="text1" w:themeTint="BF"/>
          <w:sz w:val="18"/>
          <w:szCs w:val="18"/>
          <w:lang w:val="fr-MA"/>
        </w:rPr>
      </w:pPr>
      <w:r w:rsidRPr="004C3139">
        <w:rPr>
          <w:color w:val="404040" w:themeColor="text1" w:themeTint="BF"/>
          <w:sz w:val="18"/>
          <w:szCs w:val="18"/>
          <w:lang w:val="fr-MA"/>
        </w:rPr>
        <w:t xml:space="preserve"> </w:t>
      </w:r>
      <w:proofErr w:type="spellStart"/>
      <w:r w:rsidRPr="004C3139">
        <w:rPr>
          <w:color w:val="404040" w:themeColor="text1" w:themeTint="BF"/>
          <w:sz w:val="18"/>
          <w:szCs w:val="18"/>
          <w:rtl/>
        </w:rPr>
        <w:t>هيكلت</w:t>
      </w:r>
      <w:proofErr w:type="spellEnd"/>
      <w:r w:rsidRPr="004C3139">
        <w:rPr>
          <w:color w:val="404040" w:themeColor="text1" w:themeTint="BF"/>
          <w:sz w:val="18"/>
          <w:szCs w:val="18"/>
          <w:rtl/>
        </w:rPr>
        <w:t xml:space="preserve"> نموذج التكلفة الإجمالية المخفضة للملكية حول تكلفة الاقتناء، والتركيب، وتكييف المرافق، والتدريب، والصيانة، والمستهلكات، وترقيات البرمجيات، وتكلفة التوقف عن الخدمة، وتكلفة التخلص من الجهاز، والقيمة المتبقية</w:t>
      </w:r>
      <w:r w:rsidRPr="004C3139">
        <w:rPr>
          <w:color w:val="404040" w:themeColor="text1" w:themeTint="BF"/>
          <w:sz w:val="18"/>
          <w:szCs w:val="18"/>
          <w:lang w:val="fr-MA"/>
        </w:rPr>
        <w:t>.</w:t>
      </w:r>
    </w:p>
    <w:p w14:paraId="3A44035C" w14:textId="7E50CC32" w:rsidR="00E62E02" w:rsidRPr="004C3139" w:rsidRDefault="00E62E02" w:rsidP="00E62E02">
      <w:pPr>
        <w:pStyle w:val="Listepuces"/>
        <w:bidi/>
        <w:rPr>
          <w:color w:val="404040" w:themeColor="text1" w:themeTint="BF"/>
          <w:sz w:val="18"/>
          <w:szCs w:val="18"/>
          <w:lang w:val="fr-MA"/>
        </w:rPr>
      </w:pPr>
      <w:r w:rsidRPr="004C3139">
        <w:rPr>
          <w:color w:val="404040" w:themeColor="text1" w:themeTint="BF"/>
          <w:sz w:val="18"/>
          <w:szCs w:val="18"/>
          <w:rtl/>
        </w:rPr>
        <w:t>خططت للتحقق من صلاحية الإطار من خلال 15 إلى 20 متخصصًا في تمويل الرعاية الصحية، والمشتريات، وإدارة المستشفيات، وسلاسل الإمداد، وإدارة الهندسة الطبية الحيوية، واقتصاديات الصحة؛ وتشمل المخرجات أوزان</w:t>
      </w:r>
      <w:r w:rsidRPr="004C3139">
        <w:rPr>
          <w:color w:val="404040" w:themeColor="text1" w:themeTint="BF"/>
          <w:sz w:val="18"/>
          <w:szCs w:val="18"/>
          <w:lang w:val="fr-MA"/>
        </w:rPr>
        <w:t xml:space="preserve"> BWM</w:t>
      </w:r>
      <w:r w:rsidRPr="004C3139">
        <w:rPr>
          <w:color w:val="404040" w:themeColor="text1" w:themeTint="BF"/>
          <w:sz w:val="18"/>
          <w:szCs w:val="18"/>
          <w:rtl/>
        </w:rPr>
        <w:t>، ودرجات القرب وفق</w:t>
      </w:r>
      <w:r w:rsidRPr="004C3139">
        <w:rPr>
          <w:color w:val="404040" w:themeColor="text1" w:themeTint="BF"/>
          <w:sz w:val="18"/>
          <w:szCs w:val="18"/>
          <w:lang w:val="fr-MA"/>
        </w:rPr>
        <w:t xml:space="preserve"> TOPSIS</w:t>
      </w:r>
      <w:r w:rsidRPr="004C3139">
        <w:rPr>
          <w:color w:val="404040" w:themeColor="text1" w:themeTint="BF"/>
          <w:sz w:val="18"/>
          <w:szCs w:val="18"/>
          <w:rtl/>
        </w:rPr>
        <w:t>، واختبارات المتانة، ولوحة مؤشرات، ومواد قابلة لإعادة التحقق والتكرار</w:t>
      </w:r>
      <w:r w:rsidRPr="004C3139">
        <w:rPr>
          <w:color w:val="404040" w:themeColor="text1" w:themeTint="BF"/>
          <w:sz w:val="18"/>
          <w:szCs w:val="18"/>
          <w:lang w:val="fr-MA"/>
        </w:rPr>
        <w:t>.</w:t>
      </w:r>
    </w:p>
    <w:p w14:paraId="3D3B26CA" w14:textId="305B1274" w:rsidR="00E62E02" w:rsidRPr="004C3139" w:rsidRDefault="00E62E02" w:rsidP="00E62E02">
      <w:pPr>
        <w:pStyle w:val="Listepuces"/>
        <w:numPr>
          <w:ilvl w:val="0"/>
          <w:numId w:val="0"/>
        </w:numPr>
        <w:bidi/>
        <w:ind w:left="68"/>
        <w:rPr>
          <w:color w:val="404040" w:themeColor="text1" w:themeTint="BF"/>
          <w:sz w:val="18"/>
          <w:szCs w:val="18"/>
          <w:lang w:val="fr-MA"/>
        </w:rPr>
      </w:pPr>
      <w:r w:rsidRPr="004C3139">
        <w:rPr>
          <w:b/>
          <w:bCs/>
          <w:color w:val="404040" w:themeColor="text1" w:themeTint="BF"/>
          <w:sz w:val="18"/>
          <w:szCs w:val="18"/>
          <w:rtl/>
        </w:rPr>
        <w:t>نموذج</w:t>
      </w:r>
      <w:r w:rsidRPr="004C3139">
        <w:rPr>
          <w:b/>
          <w:bCs/>
          <w:color w:val="404040" w:themeColor="text1" w:themeTint="BF"/>
          <w:sz w:val="18"/>
          <w:szCs w:val="18"/>
          <w:lang w:val="fr-MA"/>
        </w:rPr>
        <w:t xml:space="preserve"> AI-MCDM </w:t>
      </w:r>
      <w:r w:rsidRPr="004C3139">
        <w:rPr>
          <w:b/>
          <w:bCs/>
          <w:color w:val="404040" w:themeColor="text1" w:themeTint="BF"/>
          <w:sz w:val="18"/>
          <w:szCs w:val="18"/>
          <w:rtl/>
        </w:rPr>
        <w:t xml:space="preserve">لتقييم الاستثمارات في المدن الذكية في ظل </w:t>
      </w:r>
      <w:proofErr w:type="gramStart"/>
      <w:r w:rsidRPr="004C3139">
        <w:rPr>
          <w:b/>
          <w:bCs/>
          <w:color w:val="404040" w:themeColor="text1" w:themeTint="BF"/>
          <w:sz w:val="18"/>
          <w:szCs w:val="18"/>
          <w:rtl/>
        </w:rPr>
        <w:t>مخاطر</w:t>
      </w:r>
      <w:proofErr w:type="gramEnd"/>
      <w:r w:rsidRPr="004C3139">
        <w:rPr>
          <w:b/>
          <w:bCs/>
          <w:color w:val="404040" w:themeColor="text1" w:themeTint="BF"/>
          <w:sz w:val="18"/>
          <w:szCs w:val="18"/>
          <w:rtl/>
        </w:rPr>
        <w:t xml:space="preserve"> الكربون والطاقة والمخاطر </w:t>
      </w:r>
      <w:proofErr w:type="spellStart"/>
      <w:r w:rsidRPr="004C3139">
        <w:rPr>
          <w:b/>
          <w:bCs/>
          <w:color w:val="404040" w:themeColor="text1" w:themeTint="BF"/>
          <w:sz w:val="18"/>
          <w:szCs w:val="18"/>
          <w:rtl/>
        </w:rPr>
        <w:t>الجيو</w:t>
      </w:r>
      <w:proofErr w:type="spellEnd"/>
      <w:r w:rsidRPr="004C3139">
        <w:rPr>
          <w:b/>
          <w:bCs/>
          <w:color w:val="404040" w:themeColor="text1" w:themeTint="BF"/>
          <w:sz w:val="18"/>
          <w:szCs w:val="18"/>
          <w:rtl/>
        </w:rPr>
        <w:t>-اقتصادية</w:t>
      </w:r>
      <w:r w:rsidRPr="004C3139">
        <w:rPr>
          <w:color w:val="404040" w:themeColor="text1" w:themeTint="BF"/>
          <w:sz w:val="18"/>
          <w:szCs w:val="18"/>
          <w:rtl/>
        </w:rPr>
        <w:t xml:space="preserve"> </w:t>
      </w:r>
      <w:r w:rsidRPr="004C3139">
        <w:rPr>
          <w:color w:val="404040" w:themeColor="text1" w:themeTint="BF"/>
          <w:sz w:val="18"/>
          <w:szCs w:val="18"/>
          <w:lang w:val="fr-MA"/>
        </w:rPr>
        <w:t xml:space="preserve">| </w:t>
      </w:r>
      <w:r w:rsidRPr="004C3139">
        <w:rPr>
          <w:color w:val="404040" w:themeColor="text1" w:themeTint="BF"/>
          <w:sz w:val="18"/>
          <w:szCs w:val="18"/>
          <w:rtl/>
        </w:rPr>
        <w:t xml:space="preserve">مخطوطة بحثية، </w:t>
      </w:r>
      <w:r w:rsidRPr="004C3139">
        <w:rPr>
          <w:color w:val="404040" w:themeColor="text1" w:themeTint="BF"/>
          <w:sz w:val="18"/>
          <w:szCs w:val="18"/>
          <w:lang w:val="fr-MA"/>
        </w:rPr>
        <w:t xml:space="preserve">INSEEC Business School | </w:t>
      </w:r>
      <w:r w:rsidRPr="004C3139">
        <w:rPr>
          <w:color w:val="404040" w:themeColor="text1" w:themeTint="BF"/>
          <w:sz w:val="18"/>
          <w:szCs w:val="18"/>
          <w:rtl/>
        </w:rPr>
        <w:t>مايو 2026</w:t>
      </w:r>
    </w:p>
    <w:p w14:paraId="344869B7" w14:textId="24A02FEB" w:rsidR="00E62E02" w:rsidRPr="004C3139" w:rsidRDefault="00E62E02" w:rsidP="00E62E02">
      <w:pPr>
        <w:pStyle w:val="Listepuces"/>
        <w:bidi/>
        <w:rPr>
          <w:color w:val="404040" w:themeColor="text1" w:themeTint="BF"/>
          <w:sz w:val="18"/>
          <w:szCs w:val="18"/>
          <w:lang w:val="fr-MA"/>
        </w:rPr>
      </w:pPr>
      <w:r w:rsidRPr="004C3139">
        <w:rPr>
          <w:color w:val="404040" w:themeColor="text1" w:themeTint="BF"/>
          <w:sz w:val="18"/>
          <w:szCs w:val="18"/>
          <w:lang w:val="fr-MA"/>
        </w:rPr>
        <w:t xml:space="preserve"> </w:t>
      </w:r>
      <w:r w:rsidRPr="004C3139">
        <w:rPr>
          <w:color w:val="404040" w:themeColor="text1" w:themeTint="BF"/>
          <w:sz w:val="18"/>
          <w:szCs w:val="18"/>
          <w:rtl/>
        </w:rPr>
        <w:t>طورت بطاقة تقييم متعددة المعايير مدعومة بالذكاء الاصطناعي تجمع بين التنبؤ باستخدام</w:t>
      </w:r>
      <w:r w:rsidRPr="004C3139">
        <w:rPr>
          <w:color w:val="404040" w:themeColor="text1" w:themeTint="BF"/>
          <w:sz w:val="18"/>
          <w:szCs w:val="18"/>
          <w:lang w:val="fr-MA"/>
        </w:rPr>
        <w:t xml:space="preserve"> </w:t>
      </w:r>
      <w:proofErr w:type="spellStart"/>
      <w:r w:rsidRPr="004C3139">
        <w:rPr>
          <w:color w:val="404040" w:themeColor="text1" w:themeTint="BF"/>
          <w:sz w:val="18"/>
          <w:szCs w:val="18"/>
          <w:lang w:val="fr-MA"/>
        </w:rPr>
        <w:t>XGBoost</w:t>
      </w:r>
      <w:proofErr w:type="spellEnd"/>
      <w:r w:rsidRPr="004C3139">
        <w:rPr>
          <w:color w:val="404040" w:themeColor="text1" w:themeTint="BF"/>
          <w:sz w:val="18"/>
          <w:szCs w:val="18"/>
          <w:rtl/>
        </w:rPr>
        <w:t>، ومنطق صافي القيمة الحالية المخصومة المعدلة بالكربون، ومنطق الخيارات الحقيقية، وترجيح</w:t>
      </w:r>
      <w:r w:rsidRPr="004C3139">
        <w:rPr>
          <w:color w:val="404040" w:themeColor="text1" w:themeTint="BF"/>
          <w:sz w:val="18"/>
          <w:szCs w:val="18"/>
          <w:lang w:val="fr-MA"/>
        </w:rPr>
        <w:t xml:space="preserve"> </w:t>
      </w:r>
      <w:proofErr w:type="spellStart"/>
      <w:r w:rsidRPr="004C3139">
        <w:rPr>
          <w:color w:val="404040" w:themeColor="text1" w:themeTint="BF"/>
          <w:sz w:val="18"/>
          <w:szCs w:val="18"/>
          <w:lang w:val="fr-MA"/>
        </w:rPr>
        <w:t>Fuzzy</w:t>
      </w:r>
      <w:proofErr w:type="spellEnd"/>
      <w:r w:rsidRPr="004C3139">
        <w:rPr>
          <w:color w:val="404040" w:themeColor="text1" w:themeTint="BF"/>
          <w:sz w:val="18"/>
          <w:szCs w:val="18"/>
          <w:lang w:val="fr-MA"/>
        </w:rPr>
        <w:t>-AHP/MEREC</w:t>
      </w:r>
      <w:r w:rsidRPr="004C3139">
        <w:rPr>
          <w:color w:val="404040" w:themeColor="text1" w:themeTint="BF"/>
          <w:sz w:val="18"/>
          <w:szCs w:val="18"/>
          <w:rtl/>
        </w:rPr>
        <w:t>، وترتيب البدائل باستخدام</w:t>
      </w:r>
      <w:r w:rsidRPr="004C3139">
        <w:rPr>
          <w:color w:val="404040" w:themeColor="text1" w:themeTint="BF"/>
          <w:sz w:val="18"/>
          <w:szCs w:val="18"/>
          <w:lang w:val="fr-MA"/>
        </w:rPr>
        <w:t xml:space="preserve"> AROMAN</w:t>
      </w:r>
      <w:r w:rsidRPr="004C3139">
        <w:rPr>
          <w:color w:val="404040" w:themeColor="text1" w:themeTint="BF"/>
          <w:sz w:val="18"/>
          <w:szCs w:val="18"/>
          <w:rtl/>
        </w:rPr>
        <w:t>؛ مع إجراء مقارنة مرجعية ببيانات</w:t>
      </w:r>
      <w:r w:rsidRPr="004C3139">
        <w:rPr>
          <w:color w:val="404040" w:themeColor="text1" w:themeTint="BF"/>
          <w:sz w:val="18"/>
          <w:szCs w:val="18"/>
          <w:lang w:val="fr-MA"/>
        </w:rPr>
        <w:t xml:space="preserve"> World Bank PPI</w:t>
      </w:r>
      <w:r w:rsidRPr="004C3139">
        <w:rPr>
          <w:color w:val="404040" w:themeColor="text1" w:themeTint="BF"/>
          <w:sz w:val="18"/>
          <w:szCs w:val="18"/>
          <w:rtl/>
        </w:rPr>
        <w:t>، ومشاريع بنك الاستثمار الأوروبي، و</w:t>
      </w:r>
      <w:r w:rsidRPr="004C3139">
        <w:rPr>
          <w:color w:val="404040" w:themeColor="text1" w:themeTint="BF"/>
          <w:sz w:val="18"/>
          <w:szCs w:val="18"/>
          <w:lang w:val="fr-MA"/>
        </w:rPr>
        <w:t>EIBIS</w:t>
      </w:r>
      <w:r w:rsidRPr="004C3139">
        <w:rPr>
          <w:color w:val="404040" w:themeColor="text1" w:themeTint="BF"/>
          <w:sz w:val="18"/>
          <w:szCs w:val="18"/>
          <w:rtl/>
        </w:rPr>
        <w:t>، ومجموعات بيانات</w:t>
      </w:r>
      <w:r w:rsidRPr="004C3139">
        <w:rPr>
          <w:color w:val="404040" w:themeColor="text1" w:themeTint="BF"/>
          <w:sz w:val="18"/>
          <w:szCs w:val="18"/>
          <w:lang w:val="fr-MA"/>
        </w:rPr>
        <w:t xml:space="preserve"> WDI/ESG </w:t>
      </w:r>
      <w:r w:rsidRPr="004C3139">
        <w:rPr>
          <w:color w:val="404040" w:themeColor="text1" w:themeTint="BF"/>
          <w:sz w:val="18"/>
          <w:szCs w:val="18"/>
          <w:rtl/>
        </w:rPr>
        <w:t>التابعة للبنك الدولي</w:t>
      </w:r>
      <w:r w:rsidRPr="004C3139">
        <w:rPr>
          <w:color w:val="404040" w:themeColor="text1" w:themeTint="BF"/>
          <w:sz w:val="18"/>
          <w:szCs w:val="18"/>
          <w:lang w:val="fr-MA"/>
        </w:rPr>
        <w:t>.</w:t>
      </w:r>
    </w:p>
    <w:p w14:paraId="5E41B34B" w14:textId="296C215B" w:rsidR="00E62E02" w:rsidRPr="004C3139" w:rsidRDefault="00E62E02" w:rsidP="00E62E02">
      <w:pPr>
        <w:pStyle w:val="Listepuces"/>
        <w:bidi/>
        <w:rPr>
          <w:color w:val="404040" w:themeColor="text1" w:themeTint="BF"/>
          <w:sz w:val="18"/>
          <w:szCs w:val="18"/>
          <w:lang w:val="fr-MA"/>
        </w:rPr>
      </w:pPr>
      <w:r w:rsidRPr="004C3139">
        <w:rPr>
          <w:color w:val="404040" w:themeColor="text1" w:themeTint="BF"/>
          <w:sz w:val="18"/>
          <w:szCs w:val="18"/>
          <w:rtl/>
        </w:rPr>
        <w:t>سجل نموذج</w:t>
      </w:r>
      <w:r w:rsidRPr="004C3139">
        <w:rPr>
          <w:color w:val="404040" w:themeColor="text1" w:themeTint="BF"/>
          <w:sz w:val="18"/>
          <w:szCs w:val="18"/>
          <w:lang w:val="fr-MA"/>
        </w:rPr>
        <w:t xml:space="preserve"> </w:t>
      </w:r>
      <w:proofErr w:type="spellStart"/>
      <w:r w:rsidRPr="004C3139">
        <w:rPr>
          <w:color w:val="404040" w:themeColor="text1" w:themeTint="BF"/>
          <w:sz w:val="18"/>
          <w:szCs w:val="18"/>
          <w:lang w:val="fr-MA"/>
        </w:rPr>
        <w:t>XGBoost</w:t>
      </w:r>
      <w:proofErr w:type="spellEnd"/>
      <w:r w:rsidRPr="004C3139">
        <w:rPr>
          <w:color w:val="404040" w:themeColor="text1" w:themeTint="BF"/>
          <w:sz w:val="18"/>
          <w:szCs w:val="18"/>
          <w:lang w:val="fr-MA"/>
        </w:rPr>
        <w:t xml:space="preserve"> </w:t>
      </w:r>
      <w:r w:rsidRPr="004C3139">
        <w:rPr>
          <w:color w:val="404040" w:themeColor="text1" w:themeTint="BF"/>
          <w:sz w:val="18"/>
          <w:szCs w:val="18"/>
          <w:rtl/>
        </w:rPr>
        <w:t>انخفاضًا بنسبة 45.8% في متوسط الخطأ المطلق مقارنة بانحدار</w:t>
      </w:r>
      <w:r w:rsidRPr="004C3139">
        <w:rPr>
          <w:color w:val="404040" w:themeColor="text1" w:themeTint="BF"/>
          <w:sz w:val="18"/>
          <w:szCs w:val="18"/>
          <w:lang w:val="fr-MA"/>
        </w:rPr>
        <w:t xml:space="preserve"> Ridge </w:t>
      </w:r>
      <w:r w:rsidRPr="004C3139">
        <w:rPr>
          <w:color w:val="404040" w:themeColor="text1" w:themeTint="BF"/>
          <w:sz w:val="18"/>
          <w:szCs w:val="18"/>
          <w:rtl/>
        </w:rPr>
        <w:t>ضمن التحقق الزمني الأصلي؛ وتم تقديم المخرجات كأدلة قابلة للتدقيق لدعم اتخاذ القرار، وليس كنظام تحسين آلي</w:t>
      </w:r>
      <w:r w:rsidRPr="004C3139">
        <w:rPr>
          <w:color w:val="404040" w:themeColor="text1" w:themeTint="BF"/>
          <w:sz w:val="18"/>
          <w:szCs w:val="18"/>
          <w:lang w:val="fr-MA"/>
        </w:rPr>
        <w:t>.</w:t>
      </w:r>
    </w:p>
    <w:p w14:paraId="0E09D2D8" w14:textId="3A5506B5" w:rsidR="00E62E02" w:rsidRPr="004C3139" w:rsidRDefault="00E62E02" w:rsidP="00E62E02">
      <w:pPr>
        <w:pStyle w:val="Listepuces"/>
        <w:numPr>
          <w:ilvl w:val="0"/>
          <w:numId w:val="0"/>
        </w:numPr>
        <w:bidi/>
        <w:rPr>
          <w:color w:val="404040" w:themeColor="text1" w:themeTint="BF"/>
          <w:sz w:val="18"/>
          <w:szCs w:val="18"/>
          <w:lang w:val="fr-MA"/>
        </w:rPr>
      </w:pPr>
      <w:r w:rsidRPr="004C3139">
        <w:rPr>
          <w:b/>
          <w:bCs/>
          <w:color w:val="404040" w:themeColor="text1" w:themeTint="BF"/>
          <w:sz w:val="18"/>
          <w:szCs w:val="18"/>
          <w:rtl/>
        </w:rPr>
        <w:t>ربحية الإعلانات الخارجية بناءً على حركة المرور: حالة الدار البيضاء</w:t>
      </w:r>
      <w:r w:rsidRPr="004C3139">
        <w:rPr>
          <w:color w:val="404040" w:themeColor="text1" w:themeTint="BF"/>
          <w:sz w:val="18"/>
          <w:szCs w:val="18"/>
          <w:rtl/>
        </w:rPr>
        <w:t xml:space="preserve"> </w:t>
      </w:r>
      <w:r w:rsidRPr="004C3139">
        <w:rPr>
          <w:color w:val="404040" w:themeColor="text1" w:themeTint="BF"/>
          <w:sz w:val="18"/>
          <w:szCs w:val="18"/>
          <w:lang w:val="fr-MA"/>
        </w:rPr>
        <w:t xml:space="preserve">| </w:t>
      </w:r>
      <w:r w:rsidRPr="004C3139">
        <w:rPr>
          <w:color w:val="404040" w:themeColor="text1" w:themeTint="BF"/>
          <w:sz w:val="18"/>
          <w:szCs w:val="18"/>
          <w:rtl/>
        </w:rPr>
        <w:t xml:space="preserve">مشروع نهاية الإجازة، الجامعة الدولية بالدار البيضاء / </w:t>
      </w:r>
      <w:r w:rsidRPr="004C3139">
        <w:rPr>
          <w:color w:val="404040" w:themeColor="text1" w:themeTint="BF"/>
          <w:sz w:val="18"/>
          <w:szCs w:val="18"/>
        </w:rPr>
        <w:t xml:space="preserve">   </w:t>
      </w:r>
      <w:r w:rsidRPr="004C3139">
        <w:rPr>
          <w:color w:val="404040" w:themeColor="text1" w:themeTint="BF"/>
          <w:sz w:val="18"/>
          <w:szCs w:val="18"/>
          <w:lang w:val="fr-MA"/>
        </w:rPr>
        <w:t xml:space="preserve">  2ACOM</w:t>
      </w:r>
      <w:r w:rsidRPr="004C3139">
        <w:rPr>
          <w:color w:val="404040" w:themeColor="text1" w:themeTint="BF"/>
          <w:sz w:val="18"/>
          <w:szCs w:val="18"/>
          <w:lang w:val="fr-MA"/>
        </w:rPr>
        <w:t xml:space="preserve"> | 2025</w:t>
      </w:r>
      <w:r w:rsidRPr="004C3139">
        <w:rPr>
          <w:color w:val="404040" w:themeColor="text1" w:themeTint="BF"/>
          <w:sz w:val="18"/>
          <w:szCs w:val="18"/>
          <w:lang w:val="fr-MA"/>
        </w:rPr>
        <w:t xml:space="preserve"> </w:t>
      </w:r>
    </w:p>
    <w:p w14:paraId="0C9FE9B4" w14:textId="7E750275" w:rsidR="00E62E02" w:rsidRPr="004C3139" w:rsidRDefault="00E62E02" w:rsidP="00E62E02">
      <w:pPr>
        <w:pStyle w:val="Listepuces"/>
        <w:bidi/>
        <w:rPr>
          <w:color w:val="404040" w:themeColor="text1" w:themeTint="BF"/>
          <w:sz w:val="18"/>
          <w:szCs w:val="18"/>
          <w:lang w:val="fr-MA"/>
        </w:rPr>
      </w:pPr>
      <w:r w:rsidRPr="004C3139">
        <w:rPr>
          <w:color w:val="404040" w:themeColor="text1" w:themeTint="BF"/>
          <w:sz w:val="18"/>
          <w:szCs w:val="18"/>
          <w:rtl/>
        </w:rPr>
        <w:t>قيمت استثمارات الإعلانات الخارجية التقليدية والرقمية في مناطق استراتيجية بالدار البيضاء باستخدام محاكاة حركة المرور عبر</w:t>
      </w:r>
      <w:r w:rsidRPr="004C3139">
        <w:rPr>
          <w:color w:val="404040" w:themeColor="text1" w:themeTint="BF"/>
          <w:sz w:val="18"/>
          <w:szCs w:val="18"/>
          <w:lang w:val="fr-MA"/>
        </w:rPr>
        <w:t xml:space="preserve"> SUMO</w:t>
      </w:r>
      <w:r w:rsidRPr="004C3139">
        <w:rPr>
          <w:color w:val="404040" w:themeColor="text1" w:themeTint="BF"/>
          <w:sz w:val="18"/>
          <w:szCs w:val="18"/>
          <w:rtl/>
        </w:rPr>
        <w:t>، والخرائط الجغرافية عبر</w:t>
      </w:r>
      <w:r w:rsidRPr="004C3139">
        <w:rPr>
          <w:color w:val="404040" w:themeColor="text1" w:themeTint="BF"/>
          <w:sz w:val="18"/>
          <w:szCs w:val="18"/>
          <w:lang w:val="fr-MA"/>
        </w:rPr>
        <w:t xml:space="preserve"> QGIS</w:t>
      </w:r>
      <w:r w:rsidRPr="004C3139">
        <w:rPr>
          <w:color w:val="404040" w:themeColor="text1" w:themeTint="BF"/>
          <w:sz w:val="18"/>
          <w:szCs w:val="18"/>
          <w:rtl/>
        </w:rPr>
        <w:t xml:space="preserve">، والمؤشرات </w:t>
      </w:r>
      <w:proofErr w:type="spellStart"/>
      <w:r w:rsidRPr="004C3139">
        <w:rPr>
          <w:color w:val="404040" w:themeColor="text1" w:themeTint="BF"/>
          <w:sz w:val="18"/>
          <w:szCs w:val="18"/>
          <w:rtl/>
        </w:rPr>
        <w:t>السوسيو</w:t>
      </w:r>
      <w:proofErr w:type="spellEnd"/>
      <w:r w:rsidRPr="004C3139">
        <w:rPr>
          <w:color w:val="404040" w:themeColor="text1" w:themeTint="BF"/>
          <w:sz w:val="18"/>
          <w:szCs w:val="18"/>
          <w:rtl/>
        </w:rPr>
        <w:t>-اقتصادية، والإطار التنظيمي، والنمذجة المالية</w:t>
      </w:r>
      <w:r w:rsidRPr="004C3139">
        <w:rPr>
          <w:color w:val="404040" w:themeColor="text1" w:themeTint="BF"/>
          <w:sz w:val="18"/>
          <w:szCs w:val="18"/>
          <w:lang w:val="fr-MA"/>
        </w:rPr>
        <w:t>.</w:t>
      </w:r>
    </w:p>
    <w:p w14:paraId="6D7DE65A" w14:textId="2E51429B" w:rsidR="00207507" w:rsidRPr="004C3139" w:rsidRDefault="00E62E02" w:rsidP="00E62E02">
      <w:pPr>
        <w:pStyle w:val="Listepuces"/>
        <w:bidi/>
        <w:rPr>
          <w:color w:val="404040" w:themeColor="text1" w:themeTint="BF"/>
          <w:sz w:val="18"/>
          <w:szCs w:val="18"/>
          <w:lang w:val="fr-MA"/>
        </w:rPr>
      </w:pPr>
      <w:r w:rsidRPr="004C3139">
        <w:rPr>
          <w:color w:val="404040" w:themeColor="text1" w:themeTint="BF"/>
          <w:sz w:val="18"/>
          <w:szCs w:val="18"/>
          <w:rtl/>
        </w:rPr>
        <w:t>أنشأت نموذج تقييم لخمس سنوات يغطي النفقات الرأسمالية، والنفقات التشغيلية، والتكلفة الإجمالية للملكية، والعائد على الاستثمار، وتحليل نقطة التعادل، وافتراضات الإيرادات، ومؤشر الربحية المحتملة؛ وحولت بيانات التعرض المروري والأدلة المالية إلى توصيات استثمارية حسب الموقع</w:t>
      </w:r>
      <w:r w:rsidRPr="004C3139">
        <w:rPr>
          <w:color w:val="404040" w:themeColor="text1" w:themeTint="BF"/>
          <w:sz w:val="18"/>
          <w:szCs w:val="18"/>
          <w:lang w:val="fr-MA"/>
        </w:rPr>
        <w:t>.</w:t>
      </w:r>
    </w:p>
    <w:p w14:paraId="11FAF89E" w14:textId="35DBADEA" w:rsidR="00B413AF" w:rsidRPr="004C3139" w:rsidRDefault="00B413AF" w:rsidP="00B413AF">
      <w:pPr>
        <w:pStyle w:val="SectionHeading"/>
        <w:pBdr>
          <w:bottom w:val="single" w:sz="4" w:space="1" w:color="BFC7D1"/>
        </w:pBdr>
        <w:bidi/>
        <w:spacing w:before="70" w:after="16"/>
        <w:rPr>
          <w:b w:val="0"/>
          <w:bCs/>
          <w:color w:val="404040" w:themeColor="text1" w:themeTint="BF"/>
          <w:szCs w:val="18"/>
        </w:rPr>
      </w:pPr>
      <w:r w:rsidRPr="004C3139">
        <w:rPr>
          <w:b w:val="0"/>
          <w:bCs/>
          <w:color w:val="404040" w:themeColor="text1" w:themeTint="BF"/>
          <w:szCs w:val="18"/>
          <w:rtl/>
        </w:rPr>
        <w:t>الخبرات المهنية</w:t>
      </w:r>
    </w:p>
    <w:p w14:paraId="1D682C82" w14:textId="3E8E0B37" w:rsidR="00B413AF" w:rsidRPr="004C3139" w:rsidRDefault="00B413AF" w:rsidP="00B413AF">
      <w:pPr>
        <w:pStyle w:val="Listepuces"/>
        <w:numPr>
          <w:ilvl w:val="0"/>
          <w:numId w:val="0"/>
        </w:numPr>
        <w:bidi/>
        <w:ind w:left="68"/>
        <w:rPr>
          <w:color w:val="404040" w:themeColor="text1" w:themeTint="BF"/>
          <w:sz w:val="18"/>
          <w:szCs w:val="18"/>
          <w:lang w:val="fr-MA"/>
        </w:rPr>
      </w:pPr>
      <w:r w:rsidRPr="004C3139">
        <w:rPr>
          <w:b/>
          <w:bCs/>
          <w:color w:val="404040" w:themeColor="text1" w:themeTint="BF"/>
          <w:sz w:val="18"/>
          <w:szCs w:val="18"/>
          <w:rtl/>
        </w:rPr>
        <w:t>متدرب في تحليل الأعمال – الأداء المالي</w:t>
      </w:r>
      <w:r w:rsidRPr="004C3139">
        <w:rPr>
          <w:color w:val="404040" w:themeColor="text1" w:themeTint="BF"/>
          <w:sz w:val="18"/>
          <w:szCs w:val="18"/>
          <w:rtl/>
        </w:rPr>
        <w:t xml:space="preserve"> </w:t>
      </w:r>
      <w:r w:rsidRPr="004C3139">
        <w:rPr>
          <w:color w:val="404040" w:themeColor="text1" w:themeTint="BF"/>
          <w:sz w:val="18"/>
          <w:szCs w:val="18"/>
          <w:lang w:val="fr-MA"/>
        </w:rPr>
        <w:t>| SAN MAROC</w:t>
      </w:r>
      <w:r w:rsidRPr="004C3139">
        <w:rPr>
          <w:color w:val="404040" w:themeColor="text1" w:themeTint="BF"/>
          <w:sz w:val="18"/>
          <w:szCs w:val="18"/>
          <w:rtl/>
        </w:rPr>
        <w:t xml:space="preserve"> الدار البيضاء / عن بُعد | فبراير 2026 – حتى الآن</w:t>
      </w:r>
    </w:p>
    <w:p w14:paraId="04DC1EC0" w14:textId="77777777" w:rsidR="00B413AF" w:rsidRPr="004C3139" w:rsidRDefault="00B413AF" w:rsidP="00B413AF">
      <w:pPr>
        <w:pStyle w:val="Listepuces"/>
        <w:numPr>
          <w:ilvl w:val="0"/>
          <w:numId w:val="12"/>
        </w:numPr>
        <w:bidi/>
        <w:ind w:left="226" w:hanging="142"/>
        <w:rPr>
          <w:color w:val="404040" w:themeColor="text1" w:themeTint="BF"/>
          <w:sz w:val="18"/>
          <w:szCs w:val="18"/>
          <w:lang w:val="fr-MA"/>
        </w:rPr>
      </w:pPr>
      <w:r w:rsidRPr="004C3139">
        <w:rPr>
          <w:color w:val="404040" w:themeColor="text1" w:themeTint="BF"/>
          <w:sz w:val="18"/>
          <w:szCs w:val="18"/>
          <w:rtl/>
        </w:rPr>
        <w:t>حللت محفظة قروض متعثرة بقيمة 97.9 مليار درهم مغربي باستخدام منطق تقادم الديون، واحتمالية الاسترداد، وتحديد أولويات التحصيل؛ وساهمت في تقليص دورة إعداد التقارير بنسبة 40% باستخدام</w:t>
      </w:r>
      <w:r w:rsidRPr="004C3139">
        <w:rPr>
          <w:color w:val="404040" w:themeColor="text1" w:themeTint="BF"/>
          <w:sz w:val="18"/>
          <w:szCs w:val="18"/>
          <w:lang w:val="fr-MA"/>
        </w:rPr>
        <w:t xml:space="preserve"> VBA </w:t>
      </w:r>
      <w:r w:rsidRPr="004C3139">
        <w:rPr>
          <w:color w:val="404040" w:themeColor="text1" w:themeTint="BF"/>
          <w:sz w:val="18"/>
          <w:szCs w:val="18"/>
          <w:rtl/>
        </w:rPr>
        <w:t>و</w:t>
      </w:r>
      <w:r w:rsidRPr="004C3139">
        <w:rPr>
          <w:color w:val="404040" w:themeColor="text1" w:themeTint="BF"/>
          <w:sz w:val="18"/>
          <w:szCs w:val="18"/>
          <w:lang w:val="fr-MA"/>
        </w:rPr>
        <w:t>Power Query.</w:t>
      </w:r>
    </w:p>
    <w:p w14:paraId="16871AA7" w14:textId="0DBE65F5" w:rsidR="00B413AF" w:rsidRPr="004C3139" w:rsidRDefault="00B413AF" w:rsidP="00B413AF">
      <w:pPr>
        <w:pStyle w:val="Listepuces"/>
        <w:numPr>
          <w:ilvl w:val="0"/>
          <w:numId w:val="12"/>
        </w:numPr>
        <w:bidi/>
        <w:ind w:left="226" w:hanging="142"/>
        <w:rPr>
          <w:color w:val="404040" w:themeColor="text1" w:themeTint="BF"/>
          <w:sz w:val="18"/>
          <w:szCs w:val="18"/>
          <w:lang w:val="fr-MA"/>
        </w:rPr>
      </w:pPr>
      <w:r w:rsidRPr="004C3139">
        <w:rPr>
          <w:color w:val="404040" w:themeColor="text1" w:themeTint="BF"/>
          <w:sz w:val="18"/>
          <w:szCs w:val="18"/>
          <w:rtl/>
        </w:rPr>
        <w:t xml:space="preserve">أعددت لوحات مؤشرات لمتابعة مؤشرات التحصيل، وتأخر السداد، ومعدلات الاسترداد؛ واكتسبت خبرة في تحليل </w:t>
      </w:r>
      <w:proofErr w:type="gramStart"/>
      <w:r w:rsidRPr="004C3139">
        <w:rPr>
          <w:color w:val="404040" w:themeColor="text1" w:themeTint="BF"/>
          <w:sz w:val="18"/>
          <w:szCs w:val="18"/>
          <w:rtl/>
        </w:rPr>
        <w:t>مخاطر</w:t>
      </w:r>
      <w:proofErr w:type="gramEnd"/>
      <w:r w:rsidRPr="004C3139">
        <w:rPr>
          <w:color w:val="404040" w:themeColor="text1" w:themeTint="BF"/>
          <w:sz w:val="18"/>
          <w:szCs w:val="18"/>
          <w:rtl/>
        </w:rPr>
        <w:t xml:space="preserve"> الائتمان، ومراقبة المحافظ، وتحديد أولويات الاسترداد، وإعداد تقارير الأداء المالي</w:t>
      </w:r>
      <w:r w:rsidRPr="004C3139">
        <w:rPr>
          <w:color w:val="404040" w:themeColor="text1" w:themeTint="BF"/>
          <w:sz w:val="18"/>
          <w:szCs w:val="18"/>
          <w:lang w:val="fr-MA"/>
        </w:rPr>
        <w:t>.</w:t>
      </w:r>
    </w:p>
    <w:p w14:paraId="3FBBEBD0" w14:textId="0E6E930E" w:rsidR="00B413AF" w:rsidRPr="004C3139" w:rsidRDefault="00B413AF" w:rsidP="00B413AF">
      <w:pPr>
        <w:pStyle w:val="Listepuces"/>
        <w:numPr>
          <w:ilvl w:val="0"/>
          <w:numId w:val="0"/>
        </w:numPr>
        <w:bidi/>
        <w:ind w:left="176" w:hanging="108"/>
        <w:rPr>
          <w:color w:val="404040" w:themeColor="text1" w:themeTint="BF"/>
          <w:sz w:val="18"/>
          <w:szCs w:val="18"/>
          <w:lang w:val="fr-MA"/>
        </w:rPr>
      </w:pPr>
      <w:r w:rsidRPr="004C3139">
        <w:rPr>
          <w:b/>
          <w:bCs/>
          <w:color w:val="404040" w:themeColor="text1" w:themeTint="BF"/>
          <w:sz w:val="18"/>
          <w:szCs w:val="18"/>
          <w:rtl/>
        </w:rPr>
        <w:t>متدرب في تحليل الأعمال – الأداء ومؤشرات الأداء الرئيسية</w:t>
      </w:r>
      <w:r w:rsidRPr="004C3139">
        <w:rPr>
          <w:color w:val="404040" w:themeColor="text1" w:themeTint="BF"/>
          <w:sz w:val="18"/>
          <w:szCs w:val="18"/>
          <w:rtl/>
        </w:rPr>
        <w:t xml:space="preserve"> </w:t>
      </w:r>
      <w:r w:rsidRPr="004C3139">
        <w:rPr>
          <w:color w:val="404040" w:themeColor="text1" w:themeTint="BF"/>
          <w:sz w:val="18"/>
          <w:szCs w:val="18"/>
          <w:lang w:val="fr-MA"/>
        </w:rPr>
        <w:t xml:space="preserve">| </w:t>
      </w:r>
      <w:r w:rsidR="00DB31B3">
        <w:rPr>
          <w:color w:val="404040" w:themeColor="text1" w:themeTint="BF"/>
          <w:sz w:val="18"/>
          <w:szCs w:val="18"/>
          <w:lang w:val="fr-MA"/>
        </w:rPr>
        <w:t>2ACOM</w:t>
      </w:r>
      <w:r w:rsidRPr="004C3139">
        <w:rPr>
          <w:color w:val="404040" w:themeColor="text1" w:themeTint="BF"/>
          <w:sz w:val="18"/>
          <w:szCs w:val="18"/>
          <w:rtl/>
        </w:rPr>
        <w:t>وكالة للإعلانات والمبيعات، الدار البيضاء | مايو 2025 – يوليو 2025</w:t>
      </w:r>
    </w:p>
    <w:p w14:paraId="581631E9" w14:textId="2FC1FAB6" w:rsidR="00B413AF" w:rsidRPr="004C3139" w:rsidRDefault="00B413AF" w:rsidP="00B413AF">
      <w:pPr>
        <w:pStyle w:val="Listepuces"/>
        <w:numPr>
          <w:ilvl w:val="0"/>
          <w:numId w:val="13"/>
        </w:numPr>
        <w:bidi/>
        <w:ind w:left="226" w:hanging="142"/>
        <w:rPr>
          <w:color w:val="404040" w:themeColor="text1" w:themeTint="BF"/>
          <w:sz w:val="18"/>
          <w:szCs w:val="18"/>
          <w:lang w:val="fr-MA"/>
        </w:rPr>
      </w:pPr>
      <w:r w:rsidRPr="004C3139">
        <w:rPr>
          <w:color w:val="404040" w:themeColor="text1" w:themeTint="BF"/>
          <w:sz w:val="18"/>
          <w:szCs w:val="18"/>
          <w:rtl/>
        </w:rPr>
        <w:t>أنشأت نموذجًا ماليًا لخمس سنوات يدمج العائد على الاستثمار، والنفقات الرأسمالية، والنفقات التشغيلية، والتكلفة الإجمالية للملكية، وافتراضات الإيرادات، ومنطق نقطة التعادل؛ وصممت مؤشرًا متعدد المعايير للربحية يضم أكثر من 15 متغيرًا عبر خمس مناطق سوقية في الدار البيضاء</w:t>
      </w:r>
      <w:r w:rsidRPr="004C3139">
        <w:rPr>
          <w:color w:val="404040" w:themeColor="text1" w:themeTint="BF"/>
          <w:sz w:val="18"/>
          <w:szCs w:val="18"/>
          <w:lang w:val="fr-MA"/>
        </w:rPr>
        <w:t>.</w:t>
      </w:r>
    </w:p>
    <w:p w14:paraId="445DACC2" w14:textId="77777777" w:rsidR="00B413AF" w:rsidRPr="004C3139" w:rsidRDefault="00B413AF" w:rsidP="00B413AF">
      <w:pPr>
        <w:pStyle w:val="Listepuces"/>
        <w:numPr>
          <w:ilvl w:val="0"/>
          <w:numId w:val="0"/>
        </w:numPr>
        <w:bidi/>
        <w:ind w:left="176" w:hanging="108"/>
        <w:rPr>
          <w:color w:val="404040" w:themeColor="text1" w:themeTint="BF"/>
          <w:sz w:val="18"/>
          <w:szCs w:val="18"/>
          <w:lang w:val="fr-MA"/>
        </w:rPr>
      </w:pPr>
      <w:r w:rsidRPr="004C3139">
        <w:rPr>
          <w:b/>
          <w:bCs/>
          <w:color w:val="404040" w:themeColor="text1" w:themeTint="BF"/>
          <w:sz w:val="18"/>
          <w:szCs w:val="18"/>
          <w:rtl/>
        </w:rPr>
        <w:t>متدرب في التحليل وإعداد التقارير – محافظ العملاء والمخاطر</w:t>
      </w:r>
      <w:r w:rsidRPr="004C3139">
        <w:rPr>
          <w:color w:val="404040" w:themeColor="text1" w:themeTint="BF"/>
          <w:sz w:val="18"/>
          <w:szCs w:val="18"/>
          <w:rtl/>
        </w:rPr>
        <w:t xml:space="preserve"> </w:t>
      </w:r>
      <w:r w:rsidRPr="004C3139">
        <w:rPr>
          <w:color w:val="404040" w:themeColor="text1" w:themeTint="BF"/>
          <w:sz w:val="18"/>
          <w:szCs w:val="18"/>
          <w:lang w:val="fr-MA"/>
        </w:rPr>
        <w:t xml:space="preserve">| MAGHREBAIL </w:t>
      </w:r>
      <w:r w:rsidRPr="004C3139">
        <w:rPr>
          <w:color w:val="404040" w:themeColor="text1" w:themeTint="BF"/>
          <w:sz w:val="18"/>
          <w:szCs w:val="18"/>
          <w:rtl/>
        </w:rPr>
        <w:t>للتمويل الإيجاري والتمويل، الدار البيضاء | يوليو 2024 – أغسطس 2024</w:t>
      </w:r>
    </w:p>
    <w:p w14:paraId="0508FB32" w14:textId="1E447C35" w:rsidR="00207507" w:rsidRPr="004C3139" w:rsidRDefault="00B413AF" w:rsidP="00B413AF">
      <w:pPr>
        <w:pStyle w:val="Listepuces"/>
        <w:numPr>
          <w:ilvl w:val="0"/>
          <w:numId w:val="13"/>
        </w:numPr>
        <w:bidi/>
        <w:ind w:left="226" w:hanging="142"/>
        <w:rPr>
          <w:color w:val="404040" w:themeColor="text1" w:themeTint="BF"/>
          <w:sz w:val="18"/>
          <w:szCs w:val="18"/>
          <w:lang w:val="fr-MA"/>
        </w:rPr>
      </w:pPr>
      <w:r w:rsidRPr="004C3139">
        <w:rPr>
          <w:color w:val="404040" w:themeColor="text1" w:themeTint="BF"/>
          <w:sz w:val="18"/>
          <w:szCs w:val="18"/>
          <w:rtl/>
        </w:rPr>
        <w:t>حللت الأداء المالي والتعرض لمخاطر الائتمان عبر أكثر من 20 محفظة لعملاء من الشركات؛ وساهمت في تحسين مخرجات التقارير المتعلقة بالتزامات العملاء، والتمويل الإيجاري، ومراقبة المحافظ</w:t>
      </w:r>
      <w:r w:rsidRPr="004C3139">
        <w:rPr>
          <w:color w:val="404040" w:themeColor="text1" w:themeTint="BF"/>
          <w:sz w:val="18"/>
          <w:szCs w:val="18"/>
          <w:lang w:val="fr-MA"/>
        </w:rPr>
        <w:t>.</w:t>
      </w:r>
    </w:p>
    <w:p w14:paraId="44995553" w14:textId="05F03BA4" w:rsidR="00207507" w:rsidRPr="004C3139" w:rsidRDefault="00B413AF" w:rsidP="00B413AF">
      <w:pPr>
        <w:pStyle w:val="SectionHeading"/>
        <w:pBdr>
          <w:bottom w:val="single" w:sz="4" w:space="1" w:color="BFC7D1"/>
        </w:pBdr>
        <w:bidi/>
        <w:spacing w:before="70" w:after="16"/>
        <w:rPr>
          <w:b w:val="0"/>
          <w:bCs/>
          <w:color w:val="404040" w:themeColor="text1" w:themeTint="BF"/>
          <w:szCs w:val="18"/>
        </w:rPr>
      </w:pPr>
      <w:r w:rsidRPr="004C3139">
        <w:rPr>
          <w:b w:val="0"/>
          <w:bCs/>
          <w:color w:val="404040" w:themeColor="text1" w:themeTint="BF"/>
          <w:szCs w:val="18"/>
        </w:rPr>
        <w:t xml:space="preserve"> </w:t>
      </w:r>
      <w:r w:rsidRPr="004C3139">
        <w:rPr>
          <w:b w:val="0"/>
          <w:bCs/>
          <w:color w:val="404040" w:themeColor="text1" w:themeTint="BF"/>
          <w:szCs w:val="18"/>
          <w:rtl/>
        </w:rPr>
        <w:t>المهارات الأساسية</w:t>
      </w:r>
    </w:p>
    <w:p w14:paraId="24AAC995" w14:textId="4A789C62" w:rsidR="00B413AF" w:rsidRPr="004C3139" w:rsidRDefault="00B413AF" w:rsidP="00B413AF">
      <w:pPr>
        <w:pStyle w:val="Listepuces"/>
        <w:numPr>
          <w:ilvl w:val="0"/>
          <w:numId w:val="11"/>
        </w:numPr>
        <w:bidi/>
        <w:ind w:left="226" w:hanging="142"/>
        <w:rPr>
          <w:color w:val="404040" w:themeColor="text1" w:themeTint="BF"/>
          <w:sz w:val="18"/>
          <w:szCs w:val="18"/>
        </w:rPr>
      </w:pPr>
      <w:r w:rsidRPr="004C3139">
        <w:rPr>
          <w:b/>
          <w:bCs/>
          <w:color w:val="404040" w:themeColor="text1" w:themeTint="BF"/>
          <w:sz w:val="18"/>
          <w:szCs w:val="18"/>
          <w:rtl/>
        </w:rPr>
        <w:t>إدارة الخدمات الصحية والمشتريات</w:t>
      </w:r>
      <w:r w:rsidRPr="004C3139">
        <w:rPr>
          <w:b/>
          <w:bCs/>
          <w:color w:val="404040" w:themeColor="text1" w:themeTint="BF"/>
          <w:sz w:val="18"/>
          <w:szCs w:val="18"/>
        </w:rPr>
        <w:t>:</w:t>
      </w:r>
      <w:r w:rsidRPr="004C3139">
        <w:rPr>
          <w:color w:val="404040" w:themeColor="text1" w:themeTint="BF"/>
          <w:sz w:val="18"/>
          <w:szCs w:val="18"/>
        </w:rPr>
        <w:t xml:space="preserve"> </w:t>
      </w:r>
      <w:r w:rsidRPr="004C3139">
        <w:rPr>
          <w:color w:val="404040" w:themeColor="text1" w:themeTint="BF"/>
          <w:sz w:val="18"/>
          <w:szCs w:val="18"/>
          <w:rtl/>
        </w:rPr>
        <w:t>المشتريات القائمة على القيمة؛ تقييم الأجهزة الطبية عالية التكلفة؛ حساب تكلفة دورة الحياة؛ حوكمة المشتريات؛ معايير استمرارية الخدمة ومخاطر الموردين</w:t>
      </w:r>
      <w:r w:rsidRPr="004C3139">
        <w:rPr>
          <w:color w:val="404040" w:themeColor="text1" w:themeTint="BF"/>
          <w:sz w:val="18"/>
          <w:szCs w:val="18"/>
        </w:rPr>
        <w:t>.</w:t>
      </w:r>
    </w:p>
    <w:p w14:paraId="4A7EE2B0" w14:textId="77777777" w:rsidR="00B413AF" w:rsidRPr="004C3139" w:rsidRDefault="00B413AF" w:rsidP="00B413AF">
      <w:pPr>
        <w:pStyle w:val="Listepuces"/>
        <w:numPr>
          <w:ilvl w:val="0"/>
          <w:numId w:val="11"/>
        </w:numPr>
        <w:bidi/>
        <w:ind w:left="226" w:hanging="142"/>
        <w:rPr>
          <w:color w:val="404040" w:themeColor="text1" w:themeTint="BF"/>
          <w:sz w:val="18"/>
          <w:szCs w:val="18"/>
        </w:rPr>
      </w:pPr>
      <w:r w:rsidRPr="004C3139">
        <w:rPr>
          <w:b/>
          <w:bCs/>
          <w:color w:val="404040" w:themeColor="text1" w:themeTint="BF"/>
          <w:sz w:val="18"/>
          <w:szCs w:val="18"/>
          <w:rtl/>
        </w:rPr>
        <w:t>النمذجة المالية والأداء</w:t>
      </w:r>
      <w:r w:rsidRPr="004C3139">
        <w:rPr>
          <w:b/>
          <w:bCs/>
          <w:color w:val="404040" w:themeColor="text1" w:themeTint="BF"/>
          <w:sz w:val="18"/>
          <w:szCs w:val="18"/>
        </w:rPr>
        <w:t>:</w:t>
      </w:r>
      <w:r w:rsidRPr="004C3139">
        <w:rPr>
          <w:color w:val="404040" w:themeColor="text1" w:themeTint="BF"/>
          <w:sz w:val="18"/>
          <w:szCs w:val="18"/>
        </w:rPr>
        <w:t xml:space="preserve"> </w:t>
      </w:r>
      <w:r w:rsidRPr="004C3139">
        <w:rPr>
          <w:color w:val="404040" w:themeColor="text1" w:themeTint="BF"/>
          <w:sz w:val="18"/>
          <w:szCs w:val="18"/>
          <w:rtl/>
        </w:rPr>
        <w:t xml:space="preserve">صافي القيمة الحالية؛ العائد على الاستثمار؛ النفقات الرأسمالية؛ النفقات التشغيلية؛ التكلفة الإجمالية للملكية؛ منطق التدفقات النقدية المخصومة؛ تحليل نقطة التعادل؛ تحليل الحساسية؛ مؤشرات الاسترداد؛ تحليل </w:t>
      </w:r>
      <w:proofErr w:type="gramStart"/>
      <w:r w:rsidRPr="004C3139">
        <w:rPr>
          <w:color w:val="404040" w:themeColor="text1" w:themeTint="BF"/>
          <w:sz w:val="18"/>
          <w:szCs w:val="18"/>
          <w:rtl/>
        </w:rPr>
        <w:t>مخاطر</w:t>
      </w:r>
      <w:proofErr w:type="gramEnd"/>
      <w:r w:rsidRPr="004C3139">
        <w:rPr>
          <w:color w:val="404040" w:themeColor="text1" w:themeTint="BF"/>
          <w:sz w:val="18"/>
          <w:szCs w:val="18"/>
          <w:rtl/>
        </w:rPr>
        <w:t xml:space="preserve"> الائتمان؛ تقسيم المحافظ</w:t>
      </w:r>
      <w:r w:rsidRPr="004C3139">
        <w:rPr>
          <w:color w:val="404040" w:themeColor="text1" w:themeTint="BF"/>
          <w:sz w:val="18"/>
          <w:szCs w:val="18"/>
        </w:rPr>
        <w:t>.</w:t>
      </w:r>
    </w:p>
    <w:p w14:paraId="0E2F57C0" w14:textId="7A730F7B" w:rsidR="00B413AF" w:rsidRPr="004C3139" w:rsidRDefault="00B413AF" w:rsidP="00B413AF">
      <w:pPr>
        <w:pStyle w:val="Listepuces"/>
        <w:numPr>
          <w:ilvl w:val="0"/>
          <w:numId w:val="11"/>
        </w:numPr>
        <w:bidi/>
        <w:ind w:left="226" w:hanging="142"/>
        <w:rPr>
          <w:color w:val="404040" w:themeColor="text1" w:themeTint="BF"/>
          <w:sz w:val="18"/>
          <w:szCs w:val="18"/>
        </w:rPr>
      </w:pPr>
      <w:r w:rsidRPr="004C3139">
        <w:rPr>
          <w:b/>
          <w:bCs/>
          <w:color w:val="404040" w:themeColor="text1" w:themeTint="BF"/>
          <w:sz w:val="18"/>
          <w:szCs w:val="18"/>
          <w:rtl/>
        </w:rPr>
        <w:t>تحليل القرار ومناهج البحث</w:t>
      </w:r>
      <w:r w:rsidRPr="004C3139">
        <w:rPr>
          <w:b/>
          <w:bCs/>
          <w:color w:val="404040" w:themeColor="text1" w:themeTint="BF"/>
          <w:sz w:val="18"/>
          <w:szCs w:val="18"/>
        </w:rPr>
        <w:t xml:space="preserve"> </w:t>
      </w:r>
      <w:proofErr w:type="gramStart"/>
      <w:r w:rsidRPr="004C3139">
        <w:rPr>
          <w:color w:val="404040" w:themeColor="text1" w:themeTint="BF"/>
          <w:sz w:val="18"/>
          <w:szCs w:val="18"/>
        </w:rPr>
        <w:t>BWM</w:t>
      </w:r>
      <w:r w:rsidRPr="004C3139">
        <w:rPr>
          <w:b/>
          <w:bCs/>
          <w:color w:val="404040" w:themeColor="text1" w:themeTint="BF"/>
          <w:sz w:val="18"/>
          <w:szCs w:val="18"/>
        </w:rPr>
        <w:t xml:space="preserve"> </w:t>
      </w:r>
      <w:r w:rsidRPr="004C3139">
        <w:rPr>
          <w:b/>
          <w:bCs/>
          <w:color w:val="404040" w:themeColor="text1" w:themeTint="BF"/>
          <w:sz w:val="18"/>
          <w:szCs w:val="18"/>
        </w:rPr>
        <w:t>:</w:t>
      </w:r>
      <w:proofErr w:type="gramEnd"/>
      <w:r w:rsidRPr="004C3139">
        <w:rPr>
          <w:color w:val="404040" w:themeColor="text1" w:themeTint="BF"/>
          <w:sz w:val="18"/>
          <w:szCs w:val="18"/>
        </w:rPr>
        <w:t xml:space="preserve"> </w:t>
      </w:r>
      <w:r w:rsidRPr="004C3139">
        <w:rPr>
          <w:color w:val="404040" w:themeColor="text1" w:themeTint="BF"/>
          <w:sz w:val="18"/>
          <w:szCs w:val="18"/>
          <w:rtl/>
        </w:rPr>
        <w:t>؛</w:t>
      </w:r>
      <w:r w:rsidRPr="004C3139">
        <w:rPr>
          <w:color w:val="404040" w:themeColor="text1" w:themeTint="BF"/>
          <w:sz w:val="18"/>
          <w:szCs w:val="18"/>
        </w:rPr>
        <w:t xml:space="preserve"> TOPSIS</w:t>
      </w:r>
      <w:r w:rsidRPr="004C3139">
        <w:rPr>
          <w:color w:val="404040" w:themeColor="text1" w:themeTint="BF"/>
          <w:sz w:val="18"/>
          <w:szCs w:val="18"/>
          <w:rtl/>
        </w:rPr>
        <w:t>؛</w:t>
      </w:r>
      <w:r w:rsidRPr="004C3139">
        <w:rPr>
          <w:color w:val="404040" w:themeColor="text1" w:themeTint="BF"/>
          <w:sz w:val="18"/>
          <w:szCs w:val="18"/>
        </w:rPr>
        <w:t xml:space="preserve"> AHP</w:t>
      </w:r>
      <w:r w:rsidRPr="004C3139">
        <w:rPr>
          <w:color w:val="404040" w:themeColor="text1" w:themeTint="BF"/>
          <w:sz w:val="18"/>
          <w:szCs w:val="18"/>
          <w:rtl/>
        </w:rPr>
        <w:t>؛</w:t>
      </w:r>
      <w:r w:rsidRPr="004C3139">
        <w:rPr>
          <w:color w:val="404040" w:themeColor="text1" w:themeTint="BF"/>
          <w:sz w:val="18"/>
          <w:szCs w:val="18"/>
        </w:rPr>
        <w:t xml:space="preserve"> MEREC</w:t>
      </w:r>
      <w:r w:rsidRPr="004C3139">
        <w:rPr>
          <w:color w:val="404040" w:themeColor="text1" w:themeTint="BF"/>
          <w:sz w:val="18"/>
          <w:szCs w:val="18"/>
          <w:rtl/>
        </w:rPr>
        <w:t>؛</w:t>
      </w:r>
      <w:r w:rsidRPr="004C3139">
        <w:rPr>
          <w:color w:val="404040" w:themeColor="text1" w:themeTint="BF"/>
          <w:sz w:val="18"/>
          <w:szCs w:val="18"/>
        </w:rPr>
        <w:t xml:space="preserve"> AROMAN</w:t>
      </w:r>
      <w:r w:rsidRPr="004C3139">
        <w:rPr>
          <w:color w:val="404040" w:themeColor="text1" w:themeTint="BF"/>
          <w:sz w:val="18"/>
          <w:szCs w:val="18"/>
          <w:rtl/>
        </w:rPr>
        <w:t>؛ منطق استطلاع الخبراء؛ تصميم المناهج المختلطة؛ تحليل السيناريوهات؛ بناء هرمية المعايير؛ اختبارات المتانة؛ سجلات قابلية التكرار</w:t>
      </w:r>
      <w:r w:rsidRPr="004C3139">
        <w:rPr>
          <w:color w:val="404040" w:themeColor="text1" w:themeTint="BF"/>
          <w:sz w:val="18"/>
          <w:szCs w:val="18"/>
        </w:rPr>
        <w:t>.</w:t>
      </w:r>
    </w:p>
    <w:p w14:paraId="350F27DF" w14:textId="728025FD" w:rsidR="00207507" w:rsidRPr="004C3139" w:rsidRDefault="00B413AF" w:rsidP="00B413AF">
      <w:pPr>
        <w:pStyle w:val="Listepuces"/>
        <w:numPr>
          <w:ilvl w:val="0"/>
          <w:numId w:val="11"/>
        </w:numPr>
        <w:bidi/>
        <w:ind w:left="226" w:hanging="142"/>
        <w:rPr>
          <w:color w:val="404040" w:themeColor="text1" w:themeTint="BF"/>
          <w:sz w:val="18"/>
          <w:szCs w:val="18"/>
        </w:rPr>
      </w:pPr>
      <w:r w:rsidRPr="004C3139">
        <w:rPr>
          <w:b/>
          <w:bCs/>
          <w:color w:val="404040" w:themeColor="text1" w:themeTint="BF"/>
          <w:sz w:val="18"/>
          <w:szCs w:val="18"/>
          <w:rtl/>
        </w:rPr>
        <w:t xml:space="preserve">البيانات والأدوات </w:t>
      </w:r>
      <w:proofErr w:type="gramStart"/>
      <w:r w:rsidRPr="004C3139">
        <w:rPr>
          <w:b/>
          <w:bCs/>
          <w:color w:val="404040" w:themeColor="text1" w:themeTint="BF"/>
          <w:sz w:val="18"/>
          <w:szCs w:val="18"/>
          <w:rtl/>
        </w:rPr>
        <w:t>التقنية</w:t>
      </w:r>
      <w:r w:rsidRPr="004C3139">
        <w:rPr>
          <w:b/>
          <w:bCs/>
          <w:color w:val="404040" w:themeColor="text1" w:themeTint="BF"/>
          <w:sz w:val="18"/>
          <w:szCs w:val="18"/>
        </w:rPr>
        <w:t xml:space="preserve"> </w:t>
      </w:r>
      <w:r w:rsidRPr="004C3139">
        <w:rPr>
          <w:b/>
          <w:bCs/>
          <w:color w:val="404040" w:themeColor="text1" w:themeTint="BF"/>
          <w:sz w:val="18"/>
          <w:szCs w:val="18"/>
        </w:rPr>
        <w:t>:</w:t>
      </w:r>
      <w:proofErr w:type="gramEnd"/>
      <w:r w:rsidRPr="004C3139">
        <w:rPr>
          <w:color w:val="404040" w:themeColor="text1" w:themeTint="BF"/>
          <w:sz w:val="18"/>
          <w:szCs w:val="18"/>
        </w:rPr>
        <w:t xml:space="preserve"> </w:t>
      </w:r>
      <w:r w:rsidRPr="004C3139">
        <w:rPr>
          <w:color w:val="404040" w:themeColor="text1" w:themeTint="BF"/>
          <w:sz w:val="18"/>
          <w:szCs w:val="18"/>
        </w:rPr>
        <w:t xml:space="preserve"> </w:t>
      </w:r>
      <w:r w:rsidRPr="004C3139">
        <w:rPr>
          <w:color w:val="404040" w:themeColor="text1" w:themeTint="BF"/>
          <w:sz w:val="18"/>
          <w:szCs w:val="18"/>
          <w:rtl/>
        </w:rPr>
        <w:t>المتقدم</w:t>
      </w:r>
      <w:r w:rsidRPr="004C3139">
        <w:rPr>
          <w:color w:val="404040" w:themeColor="text1" w:themeTint="BF"/>
          <w:sz w:val="18"/>
          <w:szCs w:val="18"/>
        </w:rPr>
        <w:t xml:space="preserve"> </w:t>
      </w:r>
      <w:proofErr w:type="gramStart"/>
      <w:r w:rsidRPr="004C3139">
        <w:rPr>
          <w:color w:val="404040" w:themeColor="text1" w:themeTint="BF"/>
          <w:sz w:val="18"/>
          <w:szCs w:val="18"/>
        </w:rPr>
        <w:t xml:space="preserve">Excel </w:t>
      </w:r>
      <w:r w:rsidRPr="004C3139">
        <w:rPr>
          <w:color w:val="404040" w:themeColor="text1" w:themeTint="BF"/>
          <w:sz w:val="18"/>
          <w:szCs w:val="18"/>
          <w:rtl/>
        </w:rPr>
        <w:t>؛</w:t>
      </w:r>
      <w:proofErr w:type="gramEnd"/>
      <w:r w:rsidRPr="004C3139">
        <w:rPr>
          <w:color w:val="404040" w:themeColor="text1" w:themeTint="BF"/>
          <w:sz w:val="18"/>
          <w:szCs w:val="18"/>
        </w:rPr>
        <w:t xml:space="preserve"> VBA</w:t>
      </w:r>
      <w:r w:rsidRPr="004C3139">
        <w:rPr>
          <w:color w:val="404040" w:themeColor="text1" w:themeTint="BF"/>
          <w:sz w:val="18"/>
          <w:szCs w:val="18"/>
          <w:rtl/>
        </w:rPr>
        <w:t>؛</w:t>
      </w:r>
      <w:r w:rsidRPr="004C3139">
        <w:rPr>
          <w:color w:val="404040" w:themeColor="text1" w:themeTint="BF"/>
          <w:sz w:val="18"/>
          <w:szCs w:val="18"/>
        </w:rPr>
        <w:t xml:space="preserve"> Power Query</w:t>
      </w:r>
      <w:r w:rsidRPr="004C3139">
        <w:rPr>
          <w:color w:val="404040" w:themeColor="text1" w:themeTint="BF"/>
          <w:sz w:val="18"/>
          <w:szCs w:val="18"/>
          <w:rtl/>
        </w:rPr>
        <w:t>؛</w:t>
      </w:r>
      <w:r w:rsidRPr="004C3139">
        <w:rPr>
          <w:color w:val="404040" w:themeColor="text1" w:themeTint="BF"/>
          <w:sz w:val="18"/>
          <w:szCs w:val="18"/>
        </w:rPr>
        <w:t xml:space="preserve"> Power BI</w:t>
      </w:r>
      <w:r w:rsidRPr="004C3139">
        <w:rPr>
          <w:color w:val="404040" w:themeColor="text1" w:themeTint="BF"/>
          <w:sz w:val="18"/>
          <w:szCs w:val="18"/>
          <w:rtl/>
        </w:rPr>
        <w:t>؛ أساسيات</w:t>
      </w:r>
      <w:r w:rsidRPr="004C3139">
        <w:rPr>
          <w:color w:val="404040" w:themeColor="text1" w:themeTint="BF"/>
          <w:sz w:val="18"/>
          <w:szCs w:val="18"/>
        </w:rPr>
        <w:t xml:space="preserve"> </w:t>
      </w:r>
      <w:proofErr w:type="gramStart"/>
      <w:r w:rsidRPr="004C3139">
        <w:rPr>
          <w:color w:val="404040" w:themeColor="text1" w:themeTint="BF"/>
          <w:sz w:val="18"/>
          <w:szCs w:val="18"/>
        </w:rPr>
        <w:t>Python</w:t>
      </w:r>
      <w:r w:rsidRPr="004C3139">
        <w:rPr>
          <w:color w:val="404040" w:themeColor="text1" w:themeTint="BF"/>
          <w:sz w:val="18"/>
          <w:szCs w:val="18"/>
        </w:rPr>
        <w:t xml:space="preserve"> </w:t>
      </w:r>
      <w:r w:rsidRPr="004C3139">
        <w:rPr>
          <w:color w:val="404040" w:themeColor="text1" w:themeTint="BF"/>
          <w:sz w:val="18"/>
          <w:szCs w:val="18"/>
          <w:rtl/>
        </w:rPr>
        <w:t>؛</w:t>
      </w:r>
      <w:proofErr w:type="gramEnd"/>
      <w:r w:rsidRPr="004C3139">
        <w:rPr>
          <w:color w:val="404040" w:themeColor="text1" w:themeTint="BF"/>
          <w:sz w:val="18"/>
          <w:szCs w:val="18"/>
          <w:rtl/>
        </w:rPr>
        <w:t xml:space="preserve"> أساسيات</w:t>
      </w:r>
      <w:r w:rsidRPr="004C3139">
        <w:rPr>
          <w:color w:val="404040" w:themeColor="text1" w:themeTint="BF"/>
          <w:sz w:val="18"/>
          <w:szCs w:val="18"/>
        </w:rPr>
        <w:t xml:space="preserve"> </w:t>
      </w:r>
      <w:proofErr w:type="gramStart"/>
      <w:r w:rsidRPr="004C3139">
        <w:rPr>
          <w:color w:val="404040" w:themeColor="text1" w:themeTint="BF"/>
          <w:sz w:val="18"/>
          <w:szCs w:val="18"/>
        </w:rPr>
        <w:t>SQL</w:t>
      </w:r>
      <w:r w:rsidRPr="004C3139">
        <w:rPr>
          <w:color w:val="404040" w:themeColor="text1" w:themeTint="BF"/>
          <w:sz w:val="18"/>
          <w:szCs w:val="18"/>
        </w:rPr>
        <w:t xml:space="preserve"> </w:t>
      </w:r>
      <w:r w:rsidRPr="004C3139">
        <w:rPr>
          <w:color w:val="404040" w:themeColor="text1" w:themeTint="BF"/>
          <w:sz w:val="18"/>
          <w:szCs w:val="18"/>
          <w:rtl/>
        </w:rPr>
        <w:t>؛</w:t>
      </w:r>
      <w:proofErr w:type="gramEnd"/>
      <w:r w:rsidRPr="004C3139">
        <w:rPr>
          <w:color w:val="404040" w:themeColor="text1" w:themeTint="BF"/>
          <w:sz w:val="18"/>
          <w:szCs w:val="18"/>
        </w:rPr>
        <w:t xml:space="preserve"> SPSS</w:t>
      </w:r>
      <w:r w:rsidRPr="004C3139">
        <w:rPr>
          <w:color w:val="404040" w:themeColor="text1" w:themeTint="BF"/>
          <w:sz w:val="18"/>
          <w:szCs w:val="18"/>
          <w:rtl/>
        </w:rPr>
        <w:t>؛</w:t>
      </w:r>
      <w:r w:rsidRPr="004C3139">
        <w:rPr>
          <w:color w:val="404040" w:themeColor="text1" w:themeTint="BF"/>
          <w:sz w:val="18"/>
          <w:szCs w:val="18"/>
        </w:rPr>
        <w:t xml:space="preserve"> QGIS</w:t>
      </w:r>
      <w:r w:rsidRPr="004C3139">
        <w:rPr>
          <w:color w:val="404040" w:themeColor="text1" w:themeTint="BF"/>
          <w:sz w:val="18"/>
          <w:szCs w:val="18"/>
          <w:rtl/>
        </w:rPr>
        <w:t>؛</w:t>
      </w:r>
      <w:r w:rsidRPr="004C3139">
        <w:rPr>
          <w:color w:val="404040" w:themeColor="text1" w:themeTint="BF"/>
          <w:sz w:val="18"/>
          <w:szCs w:val="18"/>
        </w:rPr>
        <w:t xml:space="preserve"> SUMO</w:t>
      </w:r>
      <w:r w:rsidRPr="004C3139">
        <w:rPr>
          <w:color w:val="404040" w:themeColor="text1" w:themeTint="BF"/>
          <w:sz w:val="18"/>
          <w:szCs w:val="18"/>
          <w:rtl/>
        </w:rPr>
        <w:t>؛ تصميم لوحات المؤشرات وجداول التقييم</w:t>
      </w:r>
      <w:r w:rsidRPr="004C3139">
        <w:rPr>
          <w:color w:val="404040" w:themeColor="text1" w:themeTint="BF"/>
          <w:sz w:val="18"/>
          <w:szCs w:val="18"/>
        </w:rPr>
        <w:t>.</w:t>
      </w:r>
    </w:p>
    <w:p w14:paraId="217965F6" w14:textId="1399A8A0" w:rsidR="00207507" w:rsidRPr="004C3139" w:rsidRDefault="00B413AF" w:rsidP="00B413AF">
      <w:pPr>
        <w:pStyle w:val="SectionHeading"/>
        <w:pBdr>
          <w:bottom w:val="single" w:sz="4" w:space="1" w:color="BFC7D1"/>
        </w:pBdr>
        <w:bidi/>
        <w:spacing w:before="70" w:after="16"/>
        <w:rPr>
          <w:b w:val="0"/>
          <w:bCs/>
          <w:color w:val="404040" w:themeColor="text1" w:themeTint="BF"/>
          <w:szCs w:val="18"/>
        </w:rPr>
      </w:pPr>
      <w:r w:rsidRPr="004C3139">
        <w:rPr>
          <w:b w:val="0"/>
          <w:bCs/>
          <w:color w:val="404040" w:themeColor="text1" w:themeTint="BF"/>
          <w:szCs w:val="18"/>
          <w:rtl/>
        </w:rPr>
        <w:t>اللغات والاهتمامات الأكاديمية</w:t>
      </w:r>
    </w:p>
    <w:p w14:paraId="06A36D4D" w14:textId="0A219DA0" w:rsidR="00E62E02" w:rsidRPr="004C3139" w:rsidRDefault="00E62E02" w:rsidP="00E62E02">
      <w:pPr>
        <w:pStyle w:val="Paragraphedeliste"/>
        <w:numPr>
          <w:ilvl w:val="0"/>
          <w:numId w:val="10"/>
        </w:numPr>
        <w:bidi/>
        <w:ind w:left="226" w:hanging="142"/>
        <w:rPr>
          <w:color w:val="404040" w:themeColor="text1" w:themeTint="BF"/>
          <w:sz w:val="18"/>
          <w:szCs w:val="18"/>
        </w:rPr>
      </w:pPr>
      <w:r w:rsidRPr="004C3139">
        <w:rPr>
          <w:b/>
          <w:bCs/>
          <w:color w:val="404040" w:themeColor="text1" w:themeTint="BF"/>
          <w:sz w:val="18"/>
          <w:szCs w:val="18"/>
          <w:rtl/>
        </w:rPr>
        <w:t>اللغات</w:t>
      </w:r>
      <w:r w:rsidRPr="004C3139">
        <w:rPr>
          <w:b/>
          <w:bCs/>
          <w:color w:val="404040" w:themeColor="text1" w:themeTint="BF"/>
          <w:sz w:val="18"/>
          <w:szCs w:val="18"/>
        </w:rPr>
        <w:t>:</w:t>
      </w:r>
      <w:r w:rsidRPr="004C3139">
        <w:rPr>
          <w:color w:val="404040" w:themeColor="text1" w:themeTint="BF"/>
          <w:sz w:val="18"/>
          <w:szCs w:val="18"/>
        </w:rPr>
        <w:t xml:space="preserve"> </w:t>
      </w:r>
      <w:r w:rsidRPr="004C3139">
        <w:rPr>
          <w:color w:val="404040" w:themeColor="text1" w:themeTint="BF"/>
          <w:sz w:val="18"/>
          <w:szCs w:val="18"/>
          <w:rtl/>
        </w:rPr>
        <w:t>العربية: اللغة الأم | الإنجليزية</w:t>
      </w:r>
      <w:r w:rsidRPr="004C3139">
        <w:rPr>
          <w:color w:val="404040" w:themeColor="text1" w:themeTint="BF"/>
          <w:sz w:val="18"/>
          <w:szCs w:val="18"/>
        </w:rPr>
        <w:t xml:space="preserve">: TOEFL iBT </w:t>
      </w:r>
      <w:r w:rsidRPr="004C3139">
        <w:rPr>
          <w:color w:val="404040" w:themeColor="text1" w:themeTint="BF"/>
          <w:sz w:val="18"/>
          <w:szCs w:val="18"/>
          <w:rtl/>
        </w:rPr>
        <w:t>بدرجة 90/120، مستوى</w:t>
      </w:r>
      <w:r w:rsidRPr="004C3139">
        <w:rPr>
          <w:color w:val="404040" w:themeColor="text1" w:themeTint="BF"/>
          <w:sz w:val="18"/>
          <w:szCs w:val="18"/>
        </w:rPr>
        <w:t xml:space="preserve"> B2 </w:t>
      </w:r>
      <w:r w:rsidRPr="004C3139">
        <w:rPr>
          <w:color w:val="404040" w:themeColor="text1" w:themeTint="BF"/>
          <w:sz w:val="18"/>
          <w:szCs w:val="18"/>
          <w:rtl/>
        </w:rPr>
        <w:t>وفق الإطار الأوروبي المرجعي، بتاريخ 24 مايو 2026 | الفرنسية</w:t>
      </w:r>
      <w:r w:rsidRPr="004C3139">
        <w:rPr>
          <w:color w:val="404040" w:themeColor="text1" w:themeTint="BF"/>
          <w:sz w:val="18"/>
          <w:szCs w:val="18"/>
        </w:rPr>
        <w:t xml:space="preserve">: TCF QCM </w:t>
      </w:r>
      <w:r w:rsidRPr="004C3139">
        <w:rPr>
          <w:color w:val="404040" w:themeColor="text1" w:themeTint="BF"/>
          <w:sz w:val="18"/>
          <w:szCs w:val="18"/>
          <w:rtl/>
        </w:rPr>
        <w:t>بدرجة 693/699، مستوى</w:t>
      </w:r>
      <w:r w:rsidRPr="004C3139">
        <w:rPr>
          <w:color w:val="404040" w:themeColor="text1" w:themeTint="BF"/>
          <w:sz w:val="18"/>
          <w:szCs w:val="18"/>
        </w:rPr>
        <w:t xml:space="preserve"> C2</w:t>
      </w:r>
      <w:r w:rsidRPr="004C3139">
        <w:rPr>
          <w:color w:val="404040" w:themeColor="text1" w:themeTint="BF"/>
          <w:sz w:val="18"/>
          <w:szCs w:val="18"/>
          <w:rtl/>
        </w:rPr>
        <w:t>؛ التعبير الكتابي</w:t>
      </w:r>
      <w:r w:rsidRPr="004C3139">
        <w:rPr>
          <w:color w:val="404040" w:themeColor="text1" w:themeTint="BF"/>
          <w:sz w:val="18"/>
          <w:szCs w:val="18"/>
        </w:rPr>
        <w:t xml:space="preserve"> B2</w:t>
      </w:r>
      <w:r w:rsidRPr="004C3139">
        <w:rPr>
          <w:color w:val="404040" w:themeColor="text1" w:themeTint="BF"/>
          <w:sz w:val="18"/>
          <w:szCs w:val="18"/>
          <w:rtl/>
        </w:rPr>
        <w:t>؛ صالح إلى 13 مارس 2027</w:t>
      </w:r>
      <w:r w:rsidRPr="004C3139">
        <w:rPr>
          <w:color w:val="404040" w:themeColor="text1" w:themeTint="BF"/>
          <w:sz w:val="18"/>
          <w:szCs w:val="18"/>
        </w:rPr>
        <w:t>.</w:t>
      </w:r>
    </w:p>
    <w:p w14:paraId="1F18B779" w14:textId="47E6425C" w:rsidR="00207507" w:rsidRPr="004C3139" w:rsidRDefault="00E62E02" w:rsidP="00B413AF">
      <w:pPr>
        <w:pStyle w:val="Paragraphedeliste"/>
        <w:numPr>
          <w:ilvl w:val="0"/>
          <w:numId w:val="10"/>
        </w:numPr>
        <w:bidi/>
        <w:ind w:left="226" w:hanging="142"/>
        <w:rPr>
          <w:color w:val="404040" w:themeColor="text1" w:themeTint="BF"/>
          <w:sz w:val="18"/>
          <w:szCs w:val="18"/>
          <w:lang w:val="fr-MA"/>
        </w:rPr>
      </w:pPr>
      <w:r w:rsidRPr="004C3139">
        <w:rPr>
          <w:b/>
          <w:bCs/>
          <w:color w:val="404040" w:themeColor="text1" w:themeTint="BF"/>
          <w:sz w:val="18"/>
          <w:szCs w:val="18"/>
          <w:rtl/>
        </w:rPr>
        <w:t>الاهتمامات الأكاديمية</w:t>
      </w:r>
      <w:r w:rsidRPr="004C3139">
        <w:rPr>
          <w:b/>
          <w:bCs/>
          <w:color w:val="404040" w:themeColor="text1" w:themeTint="BF"/>
          <w:sz w:val="18"/>
          <w:szCs w:val="18"/>
          <w:lang w:val="fr-MA"/>
        </w:rPr>
        <w:t>:</w:t>
      </w:r>
      <w:r w:rsidRPr="004C3139">
        <w:rPr>
          <w:color w:val="404040" w:themeColor="text1" w:themeTint="BF"/>
          <w:sz w:val="18"/>
          <w:szCs w:val="18"/>
          <w:lang w:val="fr-MA"/>
        </w:rPr>
        <w:t xml:space="preserve"> </w:t>
      </w:r>
      <w:r w:rsidRPr="004C3139">
        <w:rPr>
          <w:color w:val="404040" w:themeColor="text1" w:themeTint="BF"/>
          <w:sz w:val="18"/>
          <w:szCs w:val="18"/>
          <w:rtl/>
        </w:rPr>
        <w:t>إدارة الخدمات الصحية؛ مشتريات المستشفيات؛ الشراء القائم على القيمة؛ تمويل الرعاية الصحية؛ إدارة دورة حياة الأجهزة الطبية؛ حوكمة سلاسل الإمداد؛ اتخاذ القرار المدعوم بالبيانات؛ رؤية السعودية 2030</w:t>
      </w:r>
      <w:r w:rsidRPr="004C3139">
        <w:rPr>
          <w:color w:val="404040" w:themeColor="text1" w:themeTint="BF"/>
          <w:sz w:val="18"/>
          <w:szCs w:val="18"/>
          <w:lang w:val="fr-MA"/>
        </w:rPr>
        <w:t>.</w:t>
      </w:r>
    </w:p>
    <w:sectPr w:rsidR="00207507" w:rsidRPr="004C3139" w:rsidSect="00034616">
      <w:pgSz w:w="11906" w:h="16838"/>
      <w:pgMar w:top="482" w:right="595" w:bottom="425" w:left="5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AAA8A3CE"/>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DC16195"/>
    <w:multiLevelType w:val="hybridMultilevel"/>
    <w:tmpl w:val="BBE4D4F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 w15:restartNumberingAfterBreak="0">
    <w:nsid w:val="14B05D26"/>
    <w:multiLevelType w:val="hybridMultilevel"/>
    <w:tmpl w:val="89A05276"/>
    <w:lvl w:ilvl="0" w:tplc="380C0001">
      <w:start w:val="1"/>
      <w:numFmt w:val="bullet"/>
      <w:lvlText w:val=""/>
      <w:lvlJc w:val="left"/>
      <w:pPr>
        <w:ind w:left="788" w:hanging="360"/>
      </w:pPr>
      <w:rPr>
        <w:rFonts w:ascii="Symbol" w:hAnsi="Symbol" w:hint="default"/>
      </w:rPr>
    </w:lvl>
    <w:lvl w:ilvl="1" w:tplc="380C0003" w:tentative="1">
      <w:start w:val="1"/>
      <w:numFmt w:val="bullet"/>
      <w:lvlText w:val="o"/>
      <w:lvlJc w:val="left"/>
      <w:pPr>
        <w:ind w:left="1508" w:hanging="360"/>
      </w:pPr>
      <w:rPr>
        <w:rFonts w:ascii="Courier New" w:hAnsi="Courier New" w:cs="Courier New" w:hint="default"/>
      </w:rPr>
    </w:lvl>
    <w:lvl w:ilvl="2" w:tplc="380C0005" w:tentative="1">
      <w:start w:val="1"/>
      <w:numFmt w:val="bullet"/>
      <w:lvlText w:val=""/>
      <w:lvlJc w:val="left"/>
      <w:pPr>
        <w:ind w:left="2228" w:hanging="360"/>
      </w:pPr>
      <w:rPr>
        <w:rFonts w:ascii="Wingdings" w:hAnsi="Wingdings" w:hint="default"/>
      </w:rPr>
    </w:lvl>
    <w:lvl w:ilvl="3" w:tplc="380C0001" w:tentative="1">
      <w:start w:val="1"/>
      <w:numFmt w:val="bullet"/>
      <w:lvlText w:val=""/>
      <w:lvlJc w:val="left"/>
      <w:pPr>
        <w:ind w:left="2948" w:hanging="360"/>
      </w:pPr>
      <w:rPr>
        <w:rFonts w:ascii="Symbol" w:hAnsi="Symbol" w:hint="default"/>
      </w:rPr>
    </w:lvl>
    <w:lvl w:ilvl="4" w:tplc="380C0003" w:tentative="1">
      <w:start w:val="1"/>
      <w:numFmt w:val="bullet"/>
      <w:lvlText w:val="o"/>
      <w:lvlJc w:val="left"/>
      <w:pPr>
        <w:ind w:left="3668" w:hanging="360"/>
      </w:pPr>
      <w:rPr>
        <w:rFonts w:ascii="Courier New" w:hAnsi="Courier New" w:cs="Courier New" w:hint="default"/>
      </w:rPr>
    </w:lvl>
    <w:lvl w:ilvl="5" w:tplc="380C0005" w:tentative="1">
      <w:start w:val="1"/>
      <w:numFmt w:val="bullet"/>
      <w:lvlText w:val=""/>
      <w:lvlJc w:val="left"/>
      <w:pPr>
        <w:ind w:left="4388" w:hanging="360"/>
      </w:pPr>
      <w:rPr>
        <w:rFonts w:ascii="Wingdings" w:hAnsi="Wingdings" w:hint="default"/>
      </w:rPr>
    </w:lvl>
    <w:lvl w:ilvl="6" w:tplc="380C0001" w:tentative="1">
      <w:start w:val="1"/>
      <w:numFmt w:val="bullet"/>
      <w:lvlText w:val=""/>
      <w:lvlJc w:val="left"/>
      <w:pPr>
        <w:ind w:left="5108" w:hanging="360"/>
      </w:pPr>
      <w:rPr>
        <w:rFonts w:ascii="Symbol" w:hAnsi="Symbol" w:hint="default"/>
      </w:rPr>
    </w:lvl>
    <w:lvl w:ilvl="7" w:tplc="380C0003" w:tentative="1">
      <w:start w:val="1"/>
      <w:numFmt w:val="bullet"/>
      <w:lvlText w:val="o"/>
      <w:lvlJc w:val="left"/>
      <w:pPr>
        <w:ind w:left="5828" w:hanging="360"/>
      </w:pPr>
      <w:rPr>
        <w:rFonts w:ascii="Courier New" w:hAnsi="Courier New" w:cs="Courier New" w:hint="default"/>
      </w:rPr>
    </w:lvl>
    <w:lvl w:ilvl="8" w:tplc="380C0005" w:tentative="1">
      <w:start w:val="1"/>
      <w:numFmt w:val="bullet"/>
      <w:lvlText w:val=""/>
      <w:lvlJc w:val="left"/>
      <w:pPr>
        <w:ind w:left="6548" w:hanging="360"/>
      </w:pPr>
      <w:rPr>
        <w:rFonts w:ascii="Wingdings" w:hAnsi="Wingdings" w:hint="default"/>
      </w:rPr>
    </w:lvl>
  </w:abstractNum>
  <w:abstractNum w:abstractNumId="11" w15:restartNumberingAfterBreak="0">
    <w:nsid w:val="4C411F07"/>
    <w:multiLevelType w:val="hybridMultilevel"/>
    <w:tmpl w:val="1F602A96"/>
    <w:lvl w:ilvl="0" w:tplc="380C0001">
      <w:start w:val="1"/>
      <w:numFmt w:val="bullet"/>
      <w:lvlText w:val=""/>
      <w:lvlJc w:val="left"/>
      <w:pPr>
        <w:ind w:left="788" w:hanging="360"/>
      </w:pPr>
      <w:rPr>
        <w:rFonts w:ascii="Symbol" w:hAnsi="Symbol" w:hint="default"/>
      </w:rPr>
    </w:lvl>
    <w:lvl w:ilvl="1" w:tplc="380C0003" w:tentative="1">
      <w:start w:val="1"/>
      <w:numFmt w:val="bullet"/>
      <w:lvlText w:val="o"/>
      <w:lvlJc w:val="left"/>
      <w:pPr>
        <w:ind w:left="1508" w:hanging="360"/>
      </w:pPr>
      <w:rPr>
        <w:rFonts w:ascii="Courier New" w:hAnsi="Courier New" w:cs="Courier New" w:hint="default"/>
      </w:rPr>
    </w:lvl>
    <w:lvl w:ilvl="2" w:tplc="380C0005" w:tentative="1">
      <w:start w:val="1"/>
      <w:numFmt w:val="bullet"/>
      <w:lvlText w:val=""/>
      <w:lvlJc w:val="left"/>
      <w:pPr>
        <w:ind w:left="2228" w:hanging="360"/>
      </w:pPr>
      <w:rPr>
        <w:rFonts w:ascii="Wingdings" w:hAnsi="Wingdings" w:hint="default"/>
      </w:rPr>
    </w:lvl>
    <w:lvl w:ilvl="3" w:tplc="380C0001" w:tentative="1">
      <w:start w:val="1"/>
      <w:numFmt w:val="bullet"/>
      <w:lvlText w:val=""/>
      <w:lvlJc w:val="left"/>
      <w:pPr>
        <w:ind w:left="2948" w:hanging="360"/>
      </w:pPr>
      <w:rPr>
        <w:rFonts w:ascii="Symbol" w:hAnsi="Symbol" w:hint="default"/>
      </w:rPr>
    </w:lvl>
    <w:lvl w:ilvl="4" w:tplc="380C0003" w:tentative="1">
      <w:start w:val="1"/>
      <w:numFmt w:val="bullet"/>
      <w:lvlText w:val="o"/>
      <w:lvlJc w:val="left"/>
      <w:pPr>
        <w:ind w:left="3668" w:hanging="360"/>
      </w:pPr>
      <w:rPr>
        <w:rFonts w:ascii="Courier New" w:hAnsi="Courier New" w:cs="Courier New" w:hint="default"/>
      </w:rPr>
    </w:lvl>
    <w:lvl w:ilvl="5" w:tplc="380C0005" w:tentative="1">
      <w:start w:val="1"/>
      <w:numFmt w:val="bullet"/>
      <w:lvlText w:val=""/>
      <w:lvlJc w:val="left"/>
      <w:pPr>
        <w:ind w:left="4388" w:hanging="360"/>
      </w:pPr>
      <w:rPr>
        <w:rFonts w:ascii="Wingdings" w:hAnsi="Wingdings" w:hint="default"/>
      </w:rPr>
    </w:lvl>
    <w:lvl w:ilvl="6" w:tplc="380C0001" w:tentative="1">
      <w:start w:val="1"/>
      <w:numFmt w:val="bullet"/>
      <w:lvlText w:val=""/>
      <w:lvlJc w:val="left"/>
      <w:pPr>
        <w:ind w:left="5108" w:hanging="360"/>
      </w:pPr>
      <w:rPr>
        <w:rFonts w:ascii="Symbol" w:hAnsi="Symbol" w:hint="default"/>
      </w:rPr>
    </w:lvl>
    <w:lvl w:ilvl="7" w:tplc="380C0003" w:tentative="1">
      <w:start w:val="1"/>
      <w:numFmt w:val="bullet"/>
      <w:lvlText w:val="o"/>
      <w:lvlJc w:val="left"/>
      <w:pPr>
        <w:ind w:left="5828" w:hanging="360"/>
      </w:pPr>
      <w:rPr>
        <w:rFonts w:ascii="Courier New" w:hAnsi="Courier New" w:cs="Courier New" w:hint="default"/>
      </w:rPr>
    </w:lvl>
    <w:lvl w:ilvl="8" w:tplc="380C0005" w:tentative="1">
      <w:start w:val="1"/>
      <w:numFmt w:val="bullet"/>
      <w:lvlText w:val=""/>
      <w:lvlJc w:val="left"/>
      <w:pPr>
        <w:ind w:left="6548" w:hanging="360"/>
      </w:pPr>
      <w:rPr>
        <w:rFonts w:ascii="Wingdings" w:hAnsi="Wingdings" w:hint="default"/>
      </w:rPr>
    </w:lvl>
  </w:abstractNum>
  <w:abstractNum w:abstractNumId="12" w15:restartNumberingAfterBreak="0">
    <w:nsid w:val="5EE40AE1"/>
    <w:multiLevelType w:val="hybridMultilevel"/>
    <w:tmpl w:val="461ACC24"/>
    <w:lvl w:ilvl="0" w:tplc="380C0001">
      <w:start w:val="1"/>
      <w:numFmt w:val="bullet"/>
      <w:lvlText w:val=""/>
      <w:lvlJc w:val="left"/>
      <w:pPr>
        <w:ind w:left="788" w:hanging="360"/>
      </w:pPr>
      <w:rPr>
        <w:rFonts w:ascii="Symbol" w:hAnsi="Symbol" w:hint="default"/>
      </w:rPr>
    </w:lvl>
    <w:lvl w:ilvl="1" w:tplc="380C0003" w:tentative="1">
      <w:start w:val="1"/>
      <w:numFmt w:val="bullet"/>
      <w:lvlText w:val="o"/>
      <w:lvlJc w:val="left"/>
      <w:pPr>
        <w:ind w:left="1508" w:hanging="360"/>
      </w:pPr>
      <w:rPr>
        <w:rFonts w:ascii="Courier New" w:hAnsi="Courier New" w:cs="Courier New" w:hint="default"/>
      </w:rPr>
    </w:lvl>
    <w:lvl w:ilvl="2" w:tplc="380C0005" w:tentative="1">
      <w:start w:val="1"/>
      <w:numFmt w:val="bullet"/>
      <w:lvlText w:val=""/>
      <w:lvlJc w:val="left"/>
      <w:pPr>
        <w:ind w:left="2228" w:hanging="360"/>
      </w:pPr>
      <w:rPr>
        <w:rFonts w:ascii="Wingdings" w:hAnsi="Wingdings" w:hint="default"/>
      </w:rPr>
    </w:lvl>
    <w:lvl w:ilvl="3" w:tplc="380C0001" w:tentative="1">
      <w:start w:val="1"/>
      <w:numFmt w:val="bullet"/>
      <w:lvlText w:val=""/>
      <w:lvlJc w:val="left"/>
      <w:pPr>
        <w:ind w:left="2948" w:hanging="360"/>
      </w:pPr>
      <w:rPr>
        <w:rFonts w:ascii="Symbol" w:hAnsi="Symbol" w:hint="default"/>
      </w:rPr>
    </w:lvl>
    <w:lvl w:ilvl="4" w:tplc="380C0003" w:tentative="1">
      <w:start w:val="1"/>
      <w:numFmt w:val="bullet"/>
      <w:lvlText w:val="o"/>
      <w:lvlJc w:val="left"/>
      <w:pPr>
        <w:ind w:left="3668" w:hanging="360"/>
      </w:pPr>
      <w:rPr>
        <w:rFonts w:ascii="Courier New" w:hAnsi="Courier New" w:cs="Courier New" w:hint="default"/>
      </w:rPr>
    </w:lvl>
    <w:lvl w:ilvl="5" w:tplc="380C0005" w:tentative="1">
      <w:start w:val="1"/>
      <w:numFmt w:val="bullet"/>
      <w:lvlText w:val=""/>
      <w:lvlJc w:val="left"/>
      <w:pPr>
        <w:ind w:left="4388" w:hanging="360"/>
      </w:pPr>
      <w:rPr>
        <w:rFonts w:ascii="Wingdings" w:hAnsi="Wingdings" w:hint="default"/>
      </w:rPr>
    </w:lvl>
    <w:lvl w:ilvl="6" w:tplc="380C0001" w:tentative="1">
      <w:start w:val="1"/>
      <w:numFmt w:val="bullet"/>
      <w:lvlText w:val=""/>
      <w:lvlJc w:val="left"/>
      <w:pPr>
        <w:ind w:left="5108" w:hanging="360"/>
      </w:pPr>
      <w:rPr>
        <w:rFonts w:ascii="Symbol" w:hAnsi="Symbol" w:hint="default"/>
      </w:rPr>
    </w:lvl>
    <w:lvl w:ilvl="7" w:tplc="380C0003" w:tentative="1">
      <w:start w:val="1"/>
      <w:numFmt w:val="bullet"/>
      <w:lvlText w:val="o"/>
      <w:lvlJc w:val="left"/>
      <w:pPr>
        <w:ind w:left="5828" w:hanging="360"/>
      </w:pPr>
      <w:rPr>
        <w:rFonts w:ascii="Courier New" w:hAnsi="Courier New" w:cs="Courier New" w:hint="default"/>
      </w:rPr>
    </w:lvl>
    <w:lvl w:ilvl="8" w:tplc="380C0005" w:tentative="1">
      <w:start w:val="1"/>
      <w:numFmt w:val="bullet"/>
      <w:lvlText w:val=""/>
      <w:lvlJc w:val="left"/>
      <w:pPr>
        <w:ind w:left="6548" w:hanging="360"/>
      </w:pPr>
      <w:rPr>
        <w:rFonts w:ascii="Wingdings" w:hAnsi="Wingdings" w:hint="default"/>
      </w:rPr>
    </w:lvl>
  </w:abstractNum>
  <w:num w:numId="1" w16cid:durableId="1835878861">
    <w:abstractNumId w:val="8"/>
  </w:num>
  <w:num w:numId="2" w16cid:durableId="1728724813">
    <w:abstractNumId w:val="6"/>
  </w:num>
  <w:num w:numId="3" w16cid:durableId="583955133">
    <w:abstractNumId w:val="5"/>
  </w:num>
  <w:num w:numId="4" w16cid:durableId="2002732121">
    <w:abstractNumId w:val="4"/>
  </w:num>
  <w:num w:numId="5" w16cid:durableId="1702969882">
    <w:abstractNumId w:val="7"/>
  </w:num>
  <w:num w:numId="6" w16cid:durableId="1054044812">
    <w:abstractNumId w:val="3"/>
  </w:num>
  <w:num w:numId="7" w16cid:durableId="111940525">
    <w:abstractNumId w:val="2"/>
  </w:num>
  <w:num w:numId="8" w16cid:durableId="540634721">
    <w:abstractNumId w:val="1"/>
  </w:num>
  <w:num w:numId="9" w16cid:durableId="1968394998">
    <w:abstractNumId w:val="0"/>
  </w:num>
  <w:num w:numId="10" w16cid:durableId="883830450">
    <w:abstractNumId w:val="9"/>
  </w:num>
  <w:num w:numId="11" w16cid:durableId="1859268217">
    <w:abstractNumId w:val="10"/>
  </w:num>
  <w:num w:numId="12" w16cid:durableId="360282575">
    <w:abstractNumId w:val="11"/>
  </w:num>
  <w:num w:numId="13" w16cid:durableId="5797585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6BF"/>
    <w:rsid w:val="00207507"/>
    <w:rsid w:val="0029639D"/>
    <w:rsid w:val="00326F90"/>
    <w:rsid w:val="00486D9F"/>
    <w:rsid w:val="004C3139"/>
    <w:rsid w:val="005474F2"/>
    <w:rsid w:val="007E4C2F"/>
    <w:rsid w:val="00AA1D8D"/>
    <w:rsid w:val="00B33C49"/>
    <w:rsid w:val="00B413AF"/>
    <w:rsid w:val="00B47730"/>
    <w:rsid w:val="00C721B8"/>
    <w:rsid w:val="00CB0664"/>
    <w:rsid w:val="00DB31B3"/>
    <w:rsid w:val="00E62E02"/>
    <w:rsid w:val="00F334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BF35E"/>
  <w14:defaultImageDpi w14:val="300"/>
  <w15:docId w15:val="{DE7CA490-4DEE-4E1B-A52D-82904206C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eastAsia="Calibri" w:hAnsi="Calibri"/>
      <w:color w:val="161616"/>
      <w:sz w:val="16"/>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ind w:left="176" w:hanging="108"/>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spacing w:after="0" w:line="240" w:lineRule="auto"/>
    </w:pPr>
    <w:rPr>
      <w:rFonts w:ascii="Calibri" w:eastAsia="Calibri" w:hAnsi="Calibri"/>
      <w:b/>
      <w:color w:val="14213D"/>
      <w:sz w:val="32"/>
    </w:rPr>
  </w:style>
  <w:style w:type="paragraph" w:customStyle="1" w:styleId="CVSubtitle">
    <w:name w:val="CV Subtitle"/>
    <w:pPr>
      <w:spacing w:after="0" w:line="240" w:lineRule="auto"/>
    </w:pPr>
    <w:rPr>
      <w:rFonts w:ascii="Calibri" w:eastAsia="Calibri" w:hAnsi="Calibri"/>
      <w:color w:val="414141"/>
      <w:sz w:val="17"/>
    </w:rPr>
  </w:style>
  <w:style w:type="paragraph" w:customStyle="1" w:styleId="SectionHeading">
    <w:name w:val="Section Heading"/>
    <w:pPr>
      <w:spacing w:after="0" w:line="240" w:lineRule="auto"/>
    </w:pPr>
    <w:rPr>
      <w:rFonts w:ascii="Calibri" w:eastAsia="Calibri" w:hAnsi="Calibri"/>
      <w:b/>
      <w:color w:val="14213D"/>
      <w:sz w:val="18"/>
    </w:rPr>
  </w:style>
  <w:style w:type="paragraph" w:customStyle="1" w:styleId="RoleHeading">
    <w:name w:val="Role Heading"/>
    <w:pPr>
      <w:spacing w:after="0" w:line="240" w:lineRule="auto"/>
    </w:pPr>
    <w:rPr>
      <w:rFonts w:ascii="Calibri" w:eastAsia="Calibri" w:hAnsi="Calibri"/>
      <w:b/>
      <w:color w:val="000000"/>
      <w:sz w:val="16"/>
    </w:rPr>
  </w:style>
  <w:style w:type="paragraph" w:customStyle="1" w:styleId="Small">
    <w:name w:val="Small"/>
    <w:pPr>
      <w:spacing w:after="0" w:line="240" w:lineRule="auto"/>
    </w:pPr>
    <w:rPr>
      <w:rFonts w:ascii="Calibri" w:eastAsia="Calibri" w:hAnsi="Calibri"/>
      <w:color w:val="414141"/>
      <w:sz w:val="15"/>
    </w:rPr>
  </w:style>
  <w:style w:type="character" w:styleId="Lienhypertexte">
    <w:name w:val="Hyperlink"/>
    <w:basedOn w:val="Policepardfaut"/>
    <w:uiPriority w:val="99"/>
    <w:unhideWhenUsed/>
    <w:rsid w:val="00F33487"/>
    <w:rPr>
      <w:color w:val="0000FF" w:themeColor="hyperlink"/>
      <w:u w:val="single"/>
    </w:rPr>
  </w:style>
  <w:style w:type="character" w:styleId="Mentionnonrsolue">
    <w:name w:val="Unresolved Mention"/>
    <w:basedOn w:val="Policepardfaut"/>
    <w:uiPriority w:val="99"/>
    <w:semiHidden/>
    <w:unhideWhenUsed/>
    <w:rsid w:val="00F33487"/>
    <w:rPr>
      <w:color w:val="605E5C"/>
      <w:shd w:val="clear" w:color="auto" w:fill="E1DFDD"/>
    </w:rPr>
  </w:style>
  <w:style w:type="paragraph" w:styleId="PrformatHTML">
    <w:name w:val="HTML Preformatted"/>
    <w:basedOn w:val="Normal"/>
    <w:link w:val="PrformatHTMLCar"/>
    <w:uiPriority w:val="99"/>
    <w:semiHidden/>
    <w:unhideWhenUsed/>
    <w:rsid w:val="00486D9F"/>
    <w:rPr>
      <w:rFonts w:ascii="Consolas" w:hAnsi="Consolas"/>
      <w:sz w:val="20"/>
      <w:szCs w:val="20"/>
    </w:rPr>
  </w:style>
  <w:style w:type="character" w:customStyle="1" w:styleId="PrformatHTMLCar">
    <w:name w:val="Préformaté HTML Car"/>
    <w:basedOn w:val="Policepardfaut"/>
    <w:link w:val="PrformatHTML"/>
    <w:uiPriority w:val="99"/>
    <w:semiHidden/>
    <w:rsid w:val="00486D9F"/>
    <w:rPr>
      <w:rFonts w:ascii="Consolas" w:eastAsia="Calibri" w:hAnsi="Consolas"/>
      <w:color w:val="161616"/>
      <w:sz w:val="20"/>
      <w:szCs w:val="20"/>
    </w:rPr>
  </w:style>
  <w:style w:type="paragraph" w:styleId="NormalWeb">
    <w:name w:val="Normal (Web)"/>
    <w:basedOn w:val="Normal"/>
    <w:uiPriority w:val="99"/>
    <w:semiHidden/>
    <w:unhideWhenUsed/>
    <w:rsid w:val="00486D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el-ghali-sany-58909025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l2545.github.io/portfolio-KA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997</Words>
  <Characters>6044</Characters>
  <Application>Microsoft Office Word</Application>
  <DocSecurity>0</DocSecurity>
  <Lines>65</Lines>
  <Paragraphs>47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CV - KAU Health Services Management and Hospitals - El Ghali Sany</vt:lpstr>
      <vt:lpstr/>
    </vt:vector>
  </TitlesOfParts>
  <Manager/>
  <Company/>
  <LinksUpToDate>false</LinksUpToDate>
  <CharactersWithSpaces>6994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KAU Health Services Management and Hospitals - El Ghali Sany</dc:title>
  <dc:subject>Curriculum Vitae</dc:subject>
  <dc:creator>elghali sany</dc:creator>
  <cp:keywords>KAU, Health Services Management, Hospitals, Procurement, TCO, BWM, TOPSIS</cp:keywords>
  <dc:description>generated by python-docx</dc:description>
  <cp:lastModifiedBy>elghali sany</cp:lastModifiedBy>
  <cp:revision>3</cp:revision>
  <cp:lastPrinted>2026-06-12T13:03:00Z</cp:lastPrinted>
  <dcterms:created xsi:type="dcterms:W3CDTF">2026-06-12T13:02:00Z</dcterms:created>
  <dcterms:modified xsi:type="dcterms:W3CDTF">2026-06-12T13:03:00Z</dcterms:modified>
  <cp:category/>
</cp:coreProperties>
</file>