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8" w:lineRule="auto"/>
        <w:jc w:val="center"/>
      </w:pPr>
      <w:r>
        <w:rPr>
          <w:rFonts w:ascii="Aptos Display" w:hAnsi="Aptos Display" w:eastAsia="Aptos Display"/>
          <w:b/>
          <w:i w:val="0"/>
          <w:color w:val="165D52"/>
          <w:sz w:val="34"/>
        </w:rPr>
        <w:t>EL GHALI SANY</w:t>
      </w:r>
    </w:p>
    <w:p>
      <w:pPr>
        <w:spacing w:before="0" w:after="0" w:line="228" w:lineRule="auto"/>
        <w:jc w:val="center"/>
      </w:pPr>
      <w:r>
        <w:rPr>
          <w:rFonts w:ascii="Aptos" w:hAnsi="Aptos" w:eastAsia="Aptos"/>
          <w:b/>
          <w:i w:val="0"/>
          <w:color w:val="1F1F1F"/>
          <w:sz w:val="18"/>
        </w:rPr>
        <w:t>Master's Applicant - Prince Sattam bin Abdulaziz University | Digital Transformation | Emerging Technologies | AI Governance</w:t>
      </w:r>
    </w:p>
    <w:p>
      <w:pPr>
        <w:spacing w:before="0" w:after="60" w:line="228" w:lineRule="auto"/>
        <w:jc w:val="center"/>
      </w:pPr>
      <w:r>
        <w:rPr>
          <w:rFonts w:ascii="Aptos" w:hAnsi="Aptos" w:eastAsia="Aptos"/>
          <w:b w:val="0"/>
          <w:i w:val="0"/>
          <w:sz w:val="17"/>
        </w:rPr>
        <w:t>Lyon, France | sanyghali@gmail.com | +33 7 81 95 70 70 | LinkedIn: Elghali Sany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25"/>
      </w:tblGrid>
      <w:tr>
        <w:tc>
          <w:tcPr>
            <w:tcW w:type="dxa" w:w="10325"/>
            <w:shd w:fill="E8F2F0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before="0" w:after="0" w:line="228" w:lineRule="auto"/>
            </w:pPr>
            <w:r>
              <w:rPr>
                <w:rFonts w:ascii="Aptos" w:hAnsi="Aptos" w:eastAsia="Aptos"/>
                <w:b/>
                <w:i w:val="0"/>
                <w:color w:val="165D52"/>
                <w:sz w:val="18"/>
              </w:rPr>
              <w:t>Target Program: Master in Digital Transformation and Emerging Technologies, Prince Sattam bin Abdulaziz University - Academic Year 2026/2027</w:t>
            </w:r>
          </w:p>
        </w:tc>
      </w:tr>
    </w:tbl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ACADEMIC PROFILE</w:t>
      </w:r>
    </w:p>
    <w:p>
      <w:pPr>
        <w:spacing w:before="0" w:after="20" w:line="230" w:lineRule="auto"/>
      </w:pPr>
      <w:r>
        <w:rPr>
          <w:rFonts w:ascii="Aptos" w:hAnsi="Aptos" w:eastAsia="Aptos"/>
          <w:b w:val="0"/>
          <w:i w:val="0"/>
          <w:sz w:val="17"/>
        </w:rPr>
        <w:t>Management, Finance and Accounting graduate and current MSc Procurement and Supply Chain Management student with applied experience in financial modelling, KPI reporting, investment appraisal, credit-risk analysis, digital-transformation governance, and data-supported decision frameworks. For Prince Sattam bin Abdulaziz University's Digital Transformation and Emerging Technologies program, my profile connects managerial decision-making with AI governance, emerging technologies, performance measurement, data governance, smart-city readiness, and responsible implementation. My proposed research develops an integrated readiness framework for AI-enabled digital transformation in Saudi smart-city megaprojects, using NEOM as a bounded conceptual case setting and translating strategy, ROI, operational feasibility, data governance, stakeholder trust, and Islamic business ethics into auditable criteria.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EDUCATION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MSc Procurement and Supply Chain Management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INSEEC Business School, Lyon, France | Oct. 2025 - Present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Graduate coursework and projects in procurement performance, cost analysis, operations management, forecasting, KPI modelling, and data-based decision-making.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Developing analytical tools for resource allocation, institutional performance, operational efficiency, and managerial reporting.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Professional Bachelor's Degree in Management - Financial and Accounting Management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International University of Casablanca, Morocco | Sept. 2022 - Jul. 2025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Graduated with High Honors / Mention Tres Bien; core training in accounting, corporate finance, management control, financial analysis, statistics, economics, business law, and organizational management.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Final project evaluated outdoor advertising investment profitability in Casablanca using traffic flows, location variables, costs, regulation, and financial performance indicators.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RESEARCH AND ACADEMIC PROJECTS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Integrated Readiness Framework for Assessing AI-Enabled Digital Transformation and Emerging Technologies in Saudi Smart-City Megaprojects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PSAU DTET Research Proposal | NEOM conceptual case setting | May 2026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Designed a DTET-oriented readiness framework comparing a generic digital-transformation checklist with an integrated assessment model.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Integrated strategic alignment, investment discipline, operational feasibility, data governance, stakeholder trust, and Islamic business-ethics criteria.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Planned methods include thematic literature synthesis, directed document analysis, codebook construction, pilot scoring, synthetic NEOM-based scenarios, paired comparison, coverage analysis, and sensitivity testing.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Positioned the output as a reproducible managerial assessment tool, not a technical AI system or an operational audit of NEOM.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AI-MCDM Investment Scoring for Smart Cities under Carbon, Energy, and Geoeconomic Risk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Research Manuscript | INSEEC Business School | May 2026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Built an AI-enabled multi-criteria investment scorecard combining XGBoost forecasting, carbon-adjusted DNPV reasoning, real-options logic, Fuzzy-AHP/MEREC weighting, and AROMAN ranking.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Connected emerging technologies, investment analytics, smart-city infrastructure, carbon risk, geoeconomic exposure, and ranking auditability.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Positioned the framework as decision-support evidence for transparent capital allocation rather than automated optimization.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Outdoor Advertising Profitability Based on Road Traffic: Casablanca Case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Bachelor Final Project | UIC / 2ACOM | 2025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Assessed traditional and digital outdoor advertising investments using SUMO traffic simulation, QGIS mapping, socio-economic indicators, regulatory constraints, and financial modelling.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Built a model covering CAPEX, OPEX, TCO, ROI, break-even analysis, and a Potential Profitability Index across strategic Casablanca zones.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Converted traffic-exposure and financial evidence into location-investment recommendations for advertising operators.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PROFESSIONAL EXPERIENCE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Business Analysis Intern - Financial Performance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SAN MAROC, Casablanca / Remote | Feb. 2026 - Present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Analyzed a MAD 97.9B non-performing-loan portfolio using debt aging, recovery probability, and collection-priority logic.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Reduced reporting cycle time by 40% using VBA and Power Query; prepared dashboards for collection indicators, payment delays, and recovery rates.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Developed practical exposure to credit-risk analysis, portfolio monitoring, recovery prioritization, and financial-performance reporting.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Business Analysis Intern - Performance and KPIs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2ACOM Advertising Sales Agency, Casablanca | May 2025 - Jul. 2025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Built a five-year financial model integrating ROI, CAPEX, OPEX, TCO, revenue assumptions, and break-even logic.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Designed a multi-criteria profitability index with 15+ variables across five Casablanca market zones to support investment-location decisions.</w:t>
      </w:r>
    </w:p>
    <w:p>
      <w:pPr>
        <w:spacing w:before="30" w:after="0" w:line="228" w:lineRule="auto"/>
      </w:pPr>
      <w:r>
        <w:rPr>
          <w:rFonts w:ascii="Aptos" w:hAnsi="Aptos" w:eastAsia="Aptos"/>
          <w:b/>
          <w:i w:val="0"/>
          <w:color w:val="000000"/>
          <w:sz w:val="17"/>
        </w:rPr>
        <w:t>Analysis and Reporting Intern - Client Portfolios and Risk</w:t>
      </w:r>
      <w:r>
        <w:rPr>
          <w:rFonts w:ascii="Aptos" w:hAnsi="Aptos" w:eastAsia="Aptos"/>
          <w:b w:val="0"/>
          <w:i w:val="0"/>
          <w:color w:val="585858"/>
          <w:sz w:val="17"/>
        </w:rPr>
        <w:t xml:space="preserve"> | MAGHREBAIL Leasing and Financing, Casablanca | Jul. 2024 - Aug. 2024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Analyzed financial performance and credit-risk exposure across 20+ corporate client portfolios.</w:t>
      </w:r>
    </w:p>
    <w:p>
      <w:pPr>
        <w:spacing w:before="0" w:after="0" w:line="221" w:lineRule="auto"/>
        <w:ind w:left="115"/>
      </w:pPr>
      <w:r>
        <w:rPr>
          <w:rFonts w:ascii="Aptos" w:hAnsi="Aptos" w:eastAsia="Aptos"/>
          <w:b w:val="0"/>
          <w:i w:val="0"/>
          <w:color w:val="000000"/>
          <w:sz w:val="16"/>
        </w:rPr>
        <w:t>Improved reporting outputs related to client commitments, leasing finance, and portfolio monitoring.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CORE SKILLS</w:t>
      </w:r>
    </w:p>
    <w:p>
      <w:pPr>
        <w:spacing w:before="0" w:after="0" w:line="221" w:lineRule="auto"/>
        <w:ind w:left="43"/>
      </w:pPr>
      <w:r>
        <w:rPr>
          <w:rFonts w:ascii="Aptos" w:hAnsi="Aptos" w:eastAsia="Aptos"/>
          <w:b/>
          <w:i w:val="0"/>
          <w:sz w:val="16"/>
        </w:rPr>
        <w:t xml:space="preserve">Digital Transformation and Emerging Technologies: </w:t>
      </w:r>
      <w:r>
        <w:rPr>
          <w:rFonts w:ascii="Aptos" w:hAnsi="Aptos" w:eastAsia="Aptos"/>
          <w:b w:val="0"/>
          <w:i w:val="0"/>
          <w:sz w:val="16"/>
        </w:rPr>
        <w:t>digital-transformation readiness; AI governance; emerging-technology assessment; data-governance criteria; smart-city governance; responsible implementation; stakeholder trust.</w:t>
      </w:r>
    </w:p>
    <w:p>
      <w:pPr>
        <w:spacing w:before="0" w:after="0" w:line="221" w:lineRule="auto"/>
        <w:ind w:left="43"/>
      </w:pPr>
      <w:r>
        <w:rPr>
          <w:rFonts w:ascii="Aptos" w:hAnsi="Aptos" w:eastAsia="Aptos"/>
          <w:b/>
          <w:i w:val="0"/>
          <w:sz w:val="16"/>
        </w:rPr>
        <w:t xml:space="preserve">Data and Decision Analytics: </w:t>
      </w:r>
      <w:r>
        <w:rPr>
          <w:rFonts w:ascii="Aptos" w:hAnsi="Aptos" w:eastAsia="Aptos"/>
          <w:b w:val="0"/>
          <w:i w:val="0"/>
          <w:sz w:val="16"/>
        </w:rPr>
        <w:t>Advanced Excel; VBA; Power Query; Power BI; Python fundamentals; basic SQL; dashboard design; codebook and scoring-sheet design; scenario analysis.</w:t>
      </w:r>
    </w:p>
    <w:p>
      <w:pPr>
        <w:spacing w:before="0" w:after="0" w:line="221" w:lineRule="auto"/>
        <w:ind w:left="43"/>
      </w:pPr>
      <w:r>
        <w:rPr>
          <w:rFonts w:ascii="Aptos" w:hAnsi="Aptos" w:eastAsia="Aptos"/>
          <w:b/>
          <w:i w:val="0"/>
          <w:sz w:val="16"/>
        </w:rPr>
        <w:t xml:space="preserve">Financial Modelling and Performance: </w:t>
      </w:r>
      <w:r>
        <w:rPr>
          <w:rFonts w:ascii="Aptos" w:hAnsi="Aptos" w:eastAsia="Aptos"/>
          <w:b w:val="0"/>
          <w:i w:val="0"/>
          <w:sz w:val="16"/>
        </w:rPr>
        <w:t>NPV; ROI; CAPEX; OPEX; TCO; DCF reasoning; break-even analysis; recovery KPIs; credit-risk analysis; portfolio segmentation.</w:t>
      </w:r>
    </w:p>
    <w:p>
      <w:pPr>
        <w:spacing w:before="0" w:after="0" w:line="221" w:lineRule="auto"/>
        <w:ind w:left="43"/>
      </w:pPr>
      <w:r>
        <w:rPr>
          <w:rFonts w:ascii="Aptos" w:hAnsi="Aptos" w:eastAsia="Aptos"/>
          <w:b/>
          <w:i w:val="0"/>
          <w:sz w:val="16"/>
        </w:rPr>
        <w:t xml:space="preserve">Research and MCDM Methods: </w:t>
      </w:r>
      <w:r>
        <w:rPr>
          <w:rFonts w:ascii="Aptos" w:hAnsi="Aptos" w:eastAsia="Aptos"/>
          <w:b w:val="0"/>
          <w:i w:val="0"/>
          <w:sz w:val="16"/>
        </w:rPr>
        <w:t>directed content analysis; thematic synthesis; AHP; TOPSIS; MEREC; COPRAS; AROMAN; sensitivity analysis; reproducibility logs.</w:t>
      </w:r>
    </w:p>
    <w:p>
      <w:pPr>
        <w:spacing w:before="0" w:after="0" w:line="221" w:lineRule="auto"/>
        <w:ind w:left="43"/>
      </w:pPr>
      <w:r>
        <w:rPr>
          <w:rFonts w:ascii="Aptos" w:hAnsi="Aptos" w:eastAsia="Aptos"/>
          <w:b/>
          <w:i w:val="0"/>
          <w:sz w:val="16"/>
        </w:rPr>
        <w:t xml:space="preserve">Spatial and Infrastructure Analytics: </w:t>
      </w:r>
      <w:r>
        <w:rPr>
          <w:rFonts w:ascii="Aptos" w:hAnsi="Aptos" w:eastAsia="Aptos"/>
          <w:b w:val="0"/>
          <w:i w:val="0"/>
          <w:sz w:val="16"/>
        </w:rPr>
        <w:t>QGIS; SUMO; traffic-exposure analysis; investment-location maps; site-scoring matrices; smart-city infrastructure appraisal.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LANGUAGES</w:t>
      </w:r>
    </w:p>
    <w:p>
      <w:pPr>
        <w:spacing w:before="0" w:after="0" w:line="230" w:lineRule="auto"/>
      </w:pPr>
      <w:r>
        <w:rPr>
          <w:rFonts w:ascii="Aptos" w:hAnsi="Aptos" w:eastAsia="Aptos"/>
          <w:b w:val="0"/>
          <w:i w:val="0"/>
          <w:sz w:val="17"/>
        </w:rPr>
        <w:t>Arabic: Native | French: C2 - TCF QCM 693/699; written expression B2 | English: B2 - TOEFL iBT 90/120 equivalent</w:t>
      </w:r>
    </w:p>
    <w:p>
      <w:pPr>
        <w:spacing w:before="110" w:after="20" w:line="228" w:lineRule="auto"/>
        <w:pBdr>
          <w:bottom w:val="single" w:sz="6" w:space="1" w:color="BFBFBF"/>
        </w:pBdr>
      </w:pPr>
      <w:r>
        <w:rPr>
          <w:rFonts w:ascii="Aptos Display" w:hAnsi="Aptos Display" w:eastAsia="Aptos Display"/>
          <w:b/>
          <w:i w:val="0"/>
          <w:color w:val="165D52"/>
          <w:sz w:val="20"/>
        </w:rPr>
        <w:t>ACTIVITIES AND ACADEMIC INTERESTS</w:t>
      </w:r>
    </w:p>
    <w:p>
      <w:pPr>
        <w:spacing w:before="0" w:after="0" w:line="230" w:lineRule="auto"/>
      </w:pPr>
      <w:r>
        <w:rPr>
          <w:rFonts w:ascii="Aptos" w:hAnsi="Aptos" w:eastAsia="Aptos"/>
          <w:b w:val="0"/>
          <w:i w:val="0"/>
          <w:sz w:val="16"/>
        </w:rPr>
        <w:t>Leo Club: participation in community-service and student activities. Cultural and Artistic Club, International University of Casablanca: participation in cultural and university activities.</w:t>
      </w:r>
    </w:p>
    <w:p>
      <w:pPr>
        <w:spacing w:before="0" w:after="0" w:line="230" w:lineRule="auto"/>
      </w:pPr>
      <w:r>
        <w:rPr>
          <w:rFonts w:ascii="Aptos" w:hAnsi="Aptos" w:eastAsia="Aptos"/>
          <w:b w:val="0"/>
          <w:i w:val="0"/>
          <w:sz w:val="16"/>
        </w:rPr>
        <w:t>Academic interests: digital transformation, AI governance, emerging technologies, smart-city management, data governance, project performance, investment appraisal, Saudi Vision 2030, responsible innovation, and sustainable finance.</w:t>
      </w:r>
    </w:p>
    <w:sectPr w:rsidR="00FC693F" w:rsidRPr="0006063C" w:rsidSect="00034616">
      <w:footerReference w:type="default" r:id="rId9"/>
      <w:pgSz w:w="11909" w:h="16834"/>
      <w:pgMar w:top="619" w:right="792" w:bottom="619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 w:eastAsia="Aptos"/>
        <w:b w:val="0"/>
        <w:i w:val="0"/>
        <w:color w:val="585858"/>
        <w:sz w:val="16"/>
      </w:rPr>
      <w:t>El Ghali Sany - DTET Application CV - Prince Sattam bin Abdulaziz University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Aptos" w:hAnsi="Aptos" w:eastAsia="Aptos"/>
      <w:color w:val="1F1F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