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Verificación funcional y pruebas de sistema</w:t>
      </w:r>
    </w:p>
    <w:p>
      <w:r>
        <w:t>Evaluación T2 · VetAssistant IA · Matriz de trazabilidad del alcance documentado en PC09</w:t>
      </w:r>
    </w:p>
    <w:p>
      <w:r>
        <w:t>Documento técnico preparado a partir de la versión del proyecto posterior al Sprint 2. No sustituye las actas de ejecución en infraestructura real ni la aceptación del usuario.</w:t>
      </w:r>
    </w:p>
    <w:p>
      <w:pPr>
        <w:pStyle w:val="Heading1"/>
      </w:pPr>
      <w:r>
        <w:t>1. Propósito y alcance</w:t>
      </w:r>
    </w:p>
    <w:p>
      <w:r>
        <w:t>La rúbrica del examen T2 pide demostrar el 100 % de las funcionalidades del alcance aprobado. Para verificarlo se toma como base el capítulo 6.4 del informe PC09 (62 requisitos funcionales y 14 no funcionales), además de los cuatro subsistemas documentados en 6.8.1.</w:t>
      </w:r>
    </w:p>
    <w:p>
      <w:r>
        <w:t>La expresión «100 %» es un objetivo de verificación y NO es un resultado acreditado en esta entrega. Se debe comprobar cada requisito con la aplicación real, registrar evidencias y resolver incidencias. Los resultados automatizados con dobles no bastan por sí solos.</w:t>
      </w:r>
    </w:p>
    <w:p>
      <w:pPr>
        <w:pStyle w:val="Heading1"/>
      </w:pPr>
      <w:r>
        <w:t>2. Estado de la evidencia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04"/>
        <w:gridCol w:w="4904"/>
      </w:tblGrid>
      <w:tr>
        <w:trPr>
          <w:tblHeader w:val="true"/>
        </w:trPr>
        <w:tc>
          <w:tcPr>
            <w:tcW w:type="dxa" w:w="3061"/>
            <w:vAlign w:val="center"/>
            <w:shd w:fill="17365B"/>
          </w:tcPr>
          <w:p>
            <w:pPr>
              <w:spacing w:after="20" w:before="20"/>
            </w:pPr>
            <w:r>
              <w:rPr>
                <w:b/>
                <w:color w:val="FFFFFF"/>
                <w:sz w:val="16"/>
              </w:rPr>
              <w:t>Evidencia</w:t>
            </w:r>
          </w:p>
        </w:tc>
        <w:tc>
          <w:tcPr>
            <w:tcW w:type="dxa" w:w="6520"/>
            <w:vAlign w:val="center"/>
            <w:shd w:fill="17365B"/>
          </w:tcPr>
          <w:p>
            <w:pPr>
              <w:spacing w:after="20" w:before="20"/>
            </w:pPr>
            <w:r>
              <w:rPr>
                <w:b/>
                <w:color w:val="FFFFFF"/>
                <w:sz w:val="16"/>
              </w:rPr>
              <w:t>Situación verificable</w:t>
            </w:r>
          </w:p>
        </w:tc>
      </w:tr>
      <w:tr>
        <w:tc>
          <w:tcPr>
            <w:tcW w:type="dxa" w:w="3061"/>
            <w:vAlign w:val="center"/>
          </w:tcPr>
          <w:p>
            <w:pPr>
              <w:spacing w:after="20" w:before="20"/>
            </w:pPr>
            <w:r>
              <w:rPr>
                <w:sz w:val="16"/>
              </w:rPr>
              <w:t>Suite original del Sprint 2 en GitHub Actions</w:t>
            </w:r>
          </w:p>
        </w:tc>
        <w:tc>
          <w:tcPr>
            <w:tcW w:type="dxa" w:w="6520"/>
            <w:vAlign w:val="center"/>
          </w:tcPr>
          <w:p>
            <w:pPr>
              <w:spacing w:after="20" w:before="20"/>
            </w:pPr>
            <w:r>
              <w:rPr>
                <w:sz w:val="16"/>
              </w:rPr>
              <w:t>30 pruebas aprobadas en ejecución previamente aportada por el equipo; no incluye los nuevos casos ST-01 a ST-13.</w:t>
            </w:r>
          </w:p>
        </w:tc>
      </w:tr>
      <w:tr>
        <w:tc>
          <w:tcPr>
            <w:tcW w:type="dxa" w:w="3061"/>
            <w:vAlign w:val="center"/>
          </w:tcPr>
          <w:p>
            <w:pPr>
              <w:spacing w:after="20" w:before="20"/>
            </w:pPr>
            <w:r>
              <w:rPr>
                <w:sz w:val="16"/>
              </w:rPr>
              <w:t>Verificador offline del Sprint 2</w:t>
            </w:r>
          </w:p>
        </w:tc>
        <w:tc>
          <w:tcPr>
            <w:tcW w:type="dxa" w:w="6520"/>
            <w:vAlign w:val="center"/>
          </w:tcPr>
          <w:p>
            <w:pPr>
              <w:spacing w:after="20" w:before="20"/>
            </w:pPr>
            <w:r>
              <w:rPr>
                <w:sz w:val="16"/>
              </w:rPr>
              <w:t>4 casos aprobados localmente durante la preparación de este anexo.</w:t>
            </w:r>
          </w:p>
        </w:tc>
      </w:tr>
      <w:tr>
        <w:tc>
          <w:tcPr>
            <w:tcW w:type="dxa" w:w="3061"/>
            <w:vAlign w:val="center"/>
          </w:tcPr>
          <w:p>
            <w:pPr>
              <w:spacing w:after="20" w:before="20"/>
            </w:pPr>
            <w:r>
              <w:rPr>
                <w:sz w:val="16"/>
              </w:rPr>
              <w:t>Casos de sistema HTTP controlados</w:t>
            </w:r>
          </w:p>
        </w:tc>
        <w:tc>
          <w:tcPr>
            <w:tcW w:type="dxa" w:w="6520"/>
            <w:vAlign w:val="center"/>
          </w:tcPr>
          <w:p>
            <w:pPr>
              <w:spacing w:after="20" w:before="20"/>
            </w:pPr>
            <w:r>
              <w:rPr>
                <w:sz w:val="16"/>
              </w:rPr>
              <w:t>13 pruebas redactadas y validadas sintácticamente; su ejecución Flask sigue pendiente en PC/GitHub.</w:t>
            </w:r>
          </w:p>
        </w:tc>
      </w:tr>
      <w:tr>
        <w:tc>
          <w:tcPr>
            <w:tcW w:type="dxa" w:w="3061"/>
            <w:vAlign w:val="center"/>
          </w:tcPr>
          <w:p>
            <w:pPr>
              <w:spacing w:after="20" w:before="20"/>
            </w:pPr>
            <w:r>
              <w:rPr>
                <w:sz w:val="16"/>
              </w:rPr>
              <w:t>Prueba end-to-end con MySQL y navegador</w:t>
            </w:r>
          </w:p>
        </w:tc>
        <w:tc>
          <w:tcPr>
            <w:tcW w:type="dxa" w:w="6520"/>
            <w:vAlign w:val="center"/>
          </w:tcPr>
          <w:p>
            <w:pPr>
              <w:spacing w:after="20" w:before="20"/>
            </w:pPr>
            <w:r>
              <w:rPr>
                <w:sz w:val="16"/>
              </w:rPr>
              <w:t>Pendiente; no se simula ni se informa como aprobada.</w:t>
            </w:r>
          </w:p>
        </w:tc>
      </w:tr>
      <w:tr>
        <w:tc>
          <w:tcPr>
            <w:tcW w:type="dxa" w:w="3061"/>
            <w:vAlign w:val="center"/>
          </w:tcPr>
          <w:p>
            <w:pPr>
              <w:spacing w:after="20" w:before="20"/>
            </w:pPr>
            <w:r>
              <w:rPr>
                <w:sz w:val="16"/>
              </w:rPr>
              <w:t>Aceptación del jefe de almacén</w:t>
            </w:r>
          </w:p>
        </w:tc>
        <w:tc>
          <w:tcPr>
            <w:tcW w:type="dxa" w:w="6520"/>
            <w:vAlign w:val="center"/>
          </w:tcPr>
          <w:p>
            <w:pPr>
              <w:spacing w:after="20" w:before="20"/>
            </w:pPr>
            <w:r>
              <w:rPr>
                <w:sz w:val="16"/>
              </w:rPr>
              <w:t>Pendiente por falta de disponibilidad del evaluador.</w:t>
            </w:r>
          </w:p>
        </w:tc>
      </w:tr>
    </w:tbl>
    <w:p>
      <w:pPr>
        <w:pStyle w:val="Heading1"/>
      </w:pPr>
      <w:r>
        <w:t>3. Casos de sistema HTTP preparados</w:t>
      </w:r>
    </w:p>
    <w:p>
      <w:r>
        <w:t>Archivo: tests/test_sistema_t2_controlado.py. Utiliza Flask test_client, rutas reales y dobles de servicio. Comprobará respuestas HTTP, vistas y sesiones, sin modificar bases de datos.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907"/>
            <w:vAlign w:val="center"/>
            <w:shd w:fill="17365B"/>
          </w:tcPr>
          <w:p>
            <w:pPr>
              <w:spacing w:after="20" w:before="20"/>
            </w:pPr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6123"/>
            <w:vAlign w:val="center"/>
            <w:shd w:fill="17365B"/>
          </w:tcPr>
          <w:p>
            <w:pPr>
              <w:spacing w:after="20" w:before="20"/>
            </w:pPr>
            <w:r>
              <w:rPr>
                <w:b/>
                <w:color w:val="FFFFFF"/>
                <w:sz w:val="16"/>
              </w:rPr>
              <w:t>Flujo comprobado</w:t>
            </w:r>
          </w:p>
        </w:tc>
        <w:tc>
          <w:tcPr>
            <w:tcW w:type="dxa" w:w="2551"/>
            <w:vAlign w:val="center"/>
            <w:shd w:fill="17365B"/>
          </w:tcPr>
          <w:p>
            <w:pPr>
              <w:spacing w:after="20" w:before="20"/>
            </w:pPr>
            <w:r>
              <w:rPr>
                <w:b/>
                <w:color w:val="FFFFFF"/>
                <w:sz w:val="16"/>
              </w:rPr>
              <w:t>Área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after="20" w:before="20"/>
            </w:pPr>
            <w:r>
              <w:rPr>
                <w:sz w:val="16"/>
              </w:rPr>
              <w:t>ST-01</w:t>
            </w:r>
          </w:p>
        </w:tc>
        <w:tc>
          <w:tcPr>
            <w:tcW w:type="dxa" w:w="6123"/>
            <w:vAlign w:val="center"/>
          </w:tcPr>
          <w:p>
            <w:pPr>
              <w:spacing w:after="20" w:before="20"/>
            </w:pPr>
            <w:r>
              <w:rPr>
                <w:sz w:val="16"/>
              </w:rPr>
              <w:t>Inicio de aplicación y navegación</w:t>
            </w:r>
          </w:p>
        </w:tc>
        <w:tc>
          <w:tcPr>
            <w:tcW w:type="dxa" w:w="2551"/>
            <w:vAlign w:val="center"/>
          </w:tcPr>
          <w:p>
            <w:pPr>
              <w:spacing w:after="20" w:before="20"/>
            </w:pPr>
            <w:r>
              <w:rPr>
                <w:sz w:val="16"/>
              </w:rPr>
              <w:t>Asistente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after="20" w:before="20"/>
            </w:pPr>
            <w:r>
              <w:rPr>
                <w:sz w:val="16"/>
              </w:rPr>
              <w:t>ST-02</w:t>
            </w:r>
          </w:p>
        </w:tc>
        <w:tc>
          <w:tcPr>
            <w:tcW w:type="dxa" w:w="6123"/>
            <w:vAlign w:val="center"/>
          </w:tcPr>
          <w:p>
            <w:pPr>
              <w:spacing w:after="20" w:before="20"/>
            </w:pPr>
            <w:r>
              <w:rPr>
                <w:sz w:val="16"/>
              </w:rPr>
              <w:t>Consulta textual y respuesta</w:t>
            </w:r>
          </w:p>
        </w:tc>
        <w:tc>
          <w:tcPr>
            <w:tcW w:type="dxa" w:w="2551"/>
            <w:vAlign w:val="center"/>
          </w:tcPr>
          <w:p>
            <w:pPr>
              <w:spacing w:after="20" w:before="20"/>
            </w:pPr>
            <w:r>
              <w:rPr>
                <w:sz w:val="16"/>
              </w:rPr>
              <w:t>Asistente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after="20" w:before="20"/>
            </w:pPr>
            <w:r>
              <w:rPr>
                <w:sz w:val="16"/>
              </w:rPr>
              <w:t>ST-03</w:t>
            </w:r>
          </w:p>
        </w:tc>
        <w:tc>
          <w:tcPr>
            <w:tcW w:type="dxa" w:w="6123"/>
            <w:vAlign w:val="center"/>
          </w:tcPr>
          <w:p>
            <w:pPr>
              <w:spacing w:after="20" w:before="20"/>
            </w:pPr>
            <w:r>
              <w:rPr>
                <w:sz w:val="16"/>
              </w:rPr>
              <w:t>Historial de sesión y limpiar chat</w:t>
            </w:r>
          </w:p>
        </w:tc>
        <w:tc>
          <w:tcPr>
            <w:tcW w:type="dxa" w:w="2551"/>
            <w:vAlign w:val="center"/>
          </w:tcPr>
          <w:p>
            <w:pPr>
              <w:spacing w:after="20" w:before="20"/>
            </w:pPr>
            <w:r>
              <w:rPr>
                <w:sz w:val="16"/>
              </w:rPr>
              <w:t>Asistente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after="20" w:before="20"/>
            </w:pPr>
            <w:r>
              <w:rPr>
                <w:sz w:val="16"/>
              </w:rPr>
              <w:t>ST-04</w:t>
            </w:r>
          </w:p>
        </w:tc>
        <w:tc>
          <w:tcPr>
            <w:tcW w:type="dxa" w:w="6123"/>
            <w:vAlign w:val="center"/>
          </w:tcPr>
          <w:p>
            <w:pPr>
              <w:spacing w:after="20" w:before="20"/>
            </w:pPr>
            <w:r>
              <w:rPr>
                <w:sz w:val="16"/>
              </w:rPr>
              <w:t>Dashboard con indicadores y críticos</w:t>
            </w:r>
          </w:p>
        </w:tc>
        <w:tc>
          <w:tcPr>
            <w:tcW w:type="dxa" w:w="2551"/>
            <w:vAlign w:val="center"/>
          </w:tcPr>
          <w:p>
            <w:pPr>
              <w:spacing w:after="20" w:before="20"/>
            </w:pPr>
            <w:r>
              <w:rPr>
                <w:sz w:val="16"/>
              </w:rPr>
              <w:t>Dashboard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after="20" w:before="20"/>
            </w:pPr>
            <w:r>
              <w:rPr>
                <w:sz w:val="16"/>
              </w:rPr>
              <w:t>ST-05</w:t>
            </w:r>
          </w:p>
        </w:tc>
        <w:tc>
          <w:tcPr>
            <w:tcW w:type="dxa" w:w="6123"/>
            <w:vAlign w:val="center"/>
          </w:tcPr>
          <w:p>
            <w:pPr>
              <w:spacing w:after="20" w:before="20"/>
            </w:pPr>
            <w:r>
              <w:rPr>
                <w:sz w:val="16"/>
              </w:rPr>
              <w:t>Pantalla de predicción y prioridades</w:t>
            </w:r>
          </w:p>
        </w:tc>
        <w:tc>
          <w:tcPr>
            <w:tcW w:type="dxa" w:w="2551"/>
            <w:vAlign w:val="center"/>
          </w:tcPr>
          <w:p>
            <w:pPr>
              <w:spacing w:after="20" w:before="20"/>
            </w:pPr>
            <w:r>
              <w:rPr>
                <w:sz w:val="16"/>
              </w:rPr>
              <w:t>Predicción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after="20" w:before="20"/>
            </w:pPr>
            <w:r>
              <w:rPr>
                <w:sz w:val="16"/>
              </w:rPr>
              <w:t>ST-06</w:t>
            </w:r>
          </w:p>
        </w:tc>
        <w:tc>
          <w:tcPr>
            <w:tcW w:type="dxa" w:w="6123"/>
            <w:vAlign w:val="center"/>
          </w:tcPr>
          <w:p>
            <w:pPr>
              <w:spacing w:after="20" w:before="20"/>
            </w:pPr>
            <w:r>
              <w:rPr>
                <w:sz w:val="16"/>
              </w:rPr>
              <w:t>API de predicción a siete días</w:t>
            </w:r>
          </w:p>
        </w:tc>
        <w:tc>
          <w:tcPr>
            <w:tcW w:type="dxa" w:w="2551"/>
            <w:vAlign w:val="center"/>
          </w:tcPr>
          <w:p>
            <w:pPr>
              <w:spacing w:after="20" w:before="20"/>
            </w:pPr>
            <w:r>
              <w:rPr>
                <w:sz w:val="16"/>
              </w:rPr>
              <w:t>Predicción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after="20" w:before="20"/>
            </w:pPr>
            <w:r>
              <w:rPr>
                <w:sz w:val="16"/>
              </w:rPr>
              <w:t>ST-07</w:t>
            </w:r>
          </w:p>
        </w:tc>
        <w:tc>
          <w:tcPr>
            <w:tcW w:type="dxa" w:w="6123"/>
            <w:vAlign w:val="center"/>
          </w:tcPr>
          <w:p>
            <w:pPr>
              <w:spacing w:after="20" w:before="20"/>
            </w:pPr>
            <w:r>
              <w:rPr>
                <w:sz w:val="16"/>
              </w:rPr>
              <w:t>Rechazo del horizonte incorrecto</w:t>
            </w:r>
          </w:p>
        </w:tc>
        <w:tc>
          <w:tcPr>
            <w:tcW w:type="dxa" w:w="2551"/>
            <w:vAlign w:val="center"/>
          </w:tcPr>
          <w:p>
            <w:pPr>
              <w:spacing w:after="20" w:before="20"/>
            </w:pPr>
            <w:r>
              <w:rPr>
                <w:sz w:val="16"/>
              </w:rPr>
              <w:t>Predicción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after="20" w:before="20"/>
            </w:pPr>
            <w:r>
              <w:rPr>
                <w:sz w:val="16"/>
              </w:rPr>
              <w:t>ST-08</w:t>
            </w:r>
          </w:p>
        </w:tc>
        <w:tc>
          <w:tcPr>
            <w:tcW w:type="dxa" w:w="6123"/>
            <w:vAlign w:val="center"/>
          </w:tcPr>
          <w:p>
            <w:pPr>
              <w:spacing w:after="20" w:before="20"/>
            </w:pPr>
            <w:r>
              <w:rPr>
                <w:sz w:val="16"/>
              </w:rPr>
              <w:t>Detalle existente y producto no encontrado</w:t>
            </w:r>
          </w:p>
        </w:tc>
        <w:tc>
          <w:tcPr>
            <w:tcW w:type="dxa" w:w="2551"/>
            <w:vAlign w:val="center"/>
          </w:tcPr>
          <w:p>
            <w:pPr>
              <w:spacing w:after="20" w:before="20"/>
            </w:pPr>
            <w:r>
              <w:rPr>
                <w:sz w:val="16"/>
              </w:rPr>
              <w:t>Predicción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after="20" w:before="20"/>
            </w:pPr>
            <w:r>
              <w:rPr>
                <w:sz w:val="16"/>
              </w:rPr>
              <w:t>ST-09</w:t>
            </w:r>
          </w:p>
        </w:tc>
        <w:tc>
          <w:tcPr>
            <w:tcW w:type="dxa" w:w="6123"/>
            <w:vAlign w:val="center"/>
          </w:tcPr>
          <w:p>
            <w:pPr>
              <w:spacing w:after="20" w:before="20"/>
            </w:pPr>
            <w:r>
              <w:rPr>
                <w:sz w:val="16"/>
              </w:rPr>
              <w:t>API de alertas</w:t>
            </w:r>
          </w:p>
        </w:tc>
        <w:tc>
          <w:tcPr>
            <w:tcW w:type="dxa" w:w="2551"/>
            <w:vAlign w:val="center"/>
          </w:tcPr>
          <w:p>
            <w:pPr>
              <w:spacing w:after="20" w:before="20"/>
            </w:pPr>
            <w:r>
              <w:rPr>
                <w:sz w:val="16"/>
              </w:rPr>
              <w:t>Alertas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after="20" w:before="20"/>
            </w:pPr>
            <w:r>
              <w:rPr>
                <w:sz w:val="16"/>
              </w:rPr>
              <w:t>ST-10</w:t>
            </w:r>
          </w:p>
        </w:tc>
        <w:tc>
          <w:tcPr>
            <w:tcW w:type="dxa" w:w="6123"/>
            <w:vAlign w:val="center"/>
          </w:tcPr>
          <w:p>
            <w:pPr>
              <w:spacing w:after="20" w:before="20"/>
            </w:pPr>
            <w:r>
              <w:rPr>
                <w:sz w:val="16"/>
              </w:rPr>
              <w:t>Registro explícito sin guardar al consultar</w:t>
            </w:r>
          </w:p>
        </w:tc>
        <w:tc>
          <w:tcPr>
            <w:tcW w:type="dxa" w:w="2551"/>
            <w:vAlign w:val="center"/>
          </w:tcPr>
          <w:p>
            <w:pPr>
              <w:spacing w:after="20" w:before="20"/>
            </w:pPr>
            <w:r>
              <w:rPr>
                <w:sz w:val="16"/>
              </w:rPr>
              <w:t>Predicción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after="20" w:before="20"/>
            </w:pPr>
            <w:r>
              <w:rPr>
                <w:sz w:val="16"/>
              </w:rPr>
              <w:t>ST-11</w:t>
            </w:r>
          </w:p>
        </w:tc>
        <w:tc>
          <w:tcPr>
            <w:tcW w:type="dxa" w:w="6123"/>
            <w:vAlign w:val="center"/>
          </w:tcPr>
          <w:p>
            <w:pPr>
              <w:spacing w:after="20" w:before="20"/>
            </w:pPr>
            <w:r>
              <w:rPr>
                <w:sz w:val="16"/>
              </w:rPr>
              <w:t>Respuesta ante error de registro</w:t>
            </w:r>
          </w:p>
        </w:tc>
        <w:tc>
          <w:tcPr>
            <w:tcW w:type="dxa" w:w="2551"/>
            <w:vAlign w:val="center"/>
          </w:tcPr>
          <w:p>
            <w:pPr>
              <w:spacing w:after="20" w:before="20"/>
            </w:pPr>
            <w:r>
              <w:rPr>
                <w:sz w:val="16"/>
              </w:rPr>
              <w:t>Predicción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after="20" w:before="20"/>
            </w:pPr>
            <w:r>
              <w:rPr>
                <w:sz w:val="16"/>
              </w:rPr>
              <w:t>ST-12</w:t>
            </w:r>
          </w:p>
        </w:tc>
        <w:tc>
          <w:tcPr>
            <w:tcW w:type="dxa" w:w="6123"/>
            <w:vAlign w:val="center"/>
          </w:tcPr>
          <w:p>
            <w:pPr>
              <w:spacing w:after="20" w:before="20"/>
            </w:pPr>
            <w:r>
              <w:rPr>
                <w:sz w:val="16"/>
              </w:rPr>
              <w:t>Panel y API de calidad de datos</w:t>
            </w:r>
          </w:p>
        </w:tc>
        <w:tc>
          <w:tcPr>
            <w:tcW w:type="dxa" w:w="2551"/>
            <w:vAlign w:val="center"/>
          </w:tcPr>
          <w:p>
            <w:pPr>
              <w:spacing w:after="20" w:before="20"/>
            </w:pPr>
            <w:r>
              <w:rPr>
                <w:sz w:val="16"/>
              </w:rPr>
              <w:t>Control de datos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after="20" w:before="20"/>
            </w:pPr>
            <w:r>
              <w:rPr>
                <w:sz w:val="16"/>
              </w:rPr>
              <w:t>ST-13</w:t>
            </w:r>
          </w:p>
        </w:tc>
        <w:tc>
          <w:tcPr>
            <w:tcW w:type="dxa" w:w="6123"/>
            <w:vAlign w:val="center"/>
          </w:tcPr>
          <w:p>
            <w:pPr>
              <w:spacing w:after="20" w:before="20"/>
            </w:pPr>
            <w:r>
              <w:rPr>
                <w:sz w:val="16"/>
              </w:rPr>
              <w:t>Endpoint de salud y cabeceras HTTP</w:t>
            </w:r>
          </w:p>
        </w:tc>
        <w:tc>
          <w:tcPr>
            <w:tcW w:type="dxa" w:w="2551"/>
            <w:vAlign w:val="center"/>
          </w:tcPr>
          <w:p>
            <w:pPr>
              <w:spacing w:after="20" w:before="20"/>
            </w:pPr>
            <w:r>
              <w:rPr>
                <w:sz w:val="16"/>
              </w:rPr>
              <w:t>Seguridad</w:t>
            </w:r>
          </w:p>
        </w:tc>
      </w:tr>
    </w:tbl>
    <w:p>
      <w:pPr>
        <w:pStyle w:val="Heading1"/>
      </w:pPr>
      <w:r>
        <w:t>4. Verificación integral manual pendiente</w:t>
      </w:r>
    </w:p>
    <w:p>
      <w:r>
        <w:t>La siguiente secuencia debe ejecutarse con VetAssistant IA corriendo y con acceso autorizado a la base de datos de prueba. Los valores observados se deben registrar; «por ejecutar» no equivale a un error.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822"/>
            <w:vAlign w:val="center"/>
            <w:shd w:fill="17365B"/>
          </w:tcPr>
          <w:p>
            <w:pPr>
              <w:spacing w:after="20" w:before="20"/>
            </w:pPr>
            <w:r>
              <w:rPr>
                <w:b/>
                <w:color w:val="FFFFFF"/>
                <w:sz w:val="15"/>
              </w:rPr>
              <w:t>Código</w:t>
            </w:r>
          </w:p>
        </w:tc>
        <w:tc>
          <w:tcPr>
            <w:tcW w:type="dxa" w:w="4876"/>
            <w:vAlign w:val="center"/>
            <w:shd w:fill="17365B"/>
          </w:tcPr>
          <w:p>
            <w:pPr>
              <w:spacing w:after="20" w:before="20"/>
            </w:pPr>
            <w:r>
              <w:rPr>
                <w:b/>
                <w:color w:val="FFFFFF"/>
                <w:sz w:val="15"/>
              </w:rPr>
              <w:t>Subsistema y procedimiento</w:t>
            </w:r>
          </w:p>
        </w:tc>
        <w:tc>
          <w:tcPr>
            <w:tcW w:type="dxa" w:w="3883"/>
            <w:vAlign w:val="center"/>
            <w:shd w:fill="17365B"/>
          </w:tcPr>
          <w:p>
            <w:pPr>
              <w:spacing w:after="20" w:before="20"/>
            </w:pPr>
            <w:r>
              <w:rPr>
                <w:b/>
                <w:color w:val="FFFFFF"/>
                <w:sz w:val="15"/>
              </w:rPr>
              <w:t>Relación PC09 / Resultado esperado</w:t>
            </w:r>
          </w:p>
        </w:tc>
      </w:tr>
      <w:tr>
        <w:tc>
          <w:tcPr>
            <w:tcW w:type="dxa" w:w="822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MF-01</w:t>
            </w:r>
          </w:p>
        </w:tc>
        <w:tc>
          <w:tcPr>
            <w:tcW w:type="dxa" w:w="4876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Asistente: Ingresar «¿Cuál es el stock disponible de P001?»; contrastar con MySQL</w:t>
            </w:r>
          </w:p>
        </w:tc>
        <w:tc>
          <w:tcPr>
            <w:tcW w:type="dxa" w:w="38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RF-01, RF-02, RF-10, RF-12, RF-21. Respuesta y registro correctos</w:t>
            </w:r>
          </w:p>
        </w:tc>
      </w:tr>
      <w:tr>
        <w:tc>
          <w:tcPr>
            <w:tcW w:type="dxa" w:w="822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MF-02</w:t>
            </w:r>
          </w:p>
        </w:tc>
        <w:tc>
          <w:tcPr>
            <w:tcW w:type="dxa" w:w="4876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Asistente: Consultar ubicación real del producto P001</w:t>
            </w:r>
          </w:p>
        </w:tc>
        <w:tc>
          <w:tcPr>
            <w:tcW w:type="dxa" w:w="38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RF-13. Ubicación coincide con base de datos</w:t>
            </w:r>
          </w:p>
        </w:tc>
      </w:tr>
      <w:tr>
        <w:tc>
          <w:tcPr>
            <w:tcW w:type="dxa" w:w="822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MF-03</w:t>
            </w:r>
          </w:p>
        </w:tc>
        <w:tc>
          <w:tcPr>
            <w:tcW w:type="dxa" w:w="4876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Asistente: Consultar lotes, vencimientos y días restantes de un producto que tenga lotes</w:t>
            </w:r>
          </w:p>
        </w:tc>
        <w:tc>
          <w:tcPr>
            <w:tcW w:type="dxa" w:w="38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RF-14 a RF-16. Detalle corresponde a registros reales</w:t>
            </w:r>
          </w:p>
        </w:tc>
      </w:tr>
      <w:tr>
        <w:tc>
          <w:tcPr>
            <w:tcW w:type="dxa" w:w="822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MF-04</w:t>
            </w:r>
          </w:p>
        </w:tc>
        <w:tc>
          <w:tcPr>
            <w:tcW w:type="dxa" w:w="4876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Asistente: Solicitar productos críticos y próximos a vencer</w:t>
            </w:r>
          </w:p>
        </w:tc>
        <w:tc>
          <w:tcPr>
            <w:tcW w:type="dxa" w:w="38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RF-17 a RF-20. Listados coinciden con el inventario</w:t>
            </w:r>
          </w:p>
        </w:tc>
      </w:tr>
      <w:tr>
        <w:tc>
          <w:tcPr>
            <w:tcW w:type="dxa" w:w="822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MF-05</w:t>
            </w:r>
          </w:p>
        </w:tc>
        <w:tc>
          <w:tcPr>
            <w:tcW w:type="dxa" w:w="4876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Asistente: Consultar dos intenciones en una pregunta y luego pregunta de seguimiento</w:t>
            </w:r>
          </w:p>
        </w:tc>
        <w:tc>
          <w:tcPr>
            <w:tcW w:type="dxa" w:w="38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RF-09, RF-11. Retiene contexto y responde a ambas consultas</w:t>
            </w:r>
          </w:p>
        </w:tc>
      </w:tr>
      <w:tr>
        <w:tc>
          <w:tcPr>
            <w:tcW w:type="dxa" w:w="822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MF-06</w:t>
            </w:r>
          </w:p>
        </w:tc>
        <w:tc>
          <w:tcPr>
            <w:tcW w:type="dxa" w:w="4876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Asistente: Probar entrada no reconocida, sugerencias y botón Limpiar chat</w:t>
            </w:r>
          </w:p>
        </w:tc>
        <w:tc>
          <w:tcPr>
            <w:tcW w:type="dxa" w:w="38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RF-04, RF-07, RF-08. Mensaje adecuado, sugerencias y sesión limpia</w:t>
            </w:r>
          </w:p>
        </w:tc>
      </w:tr>
      <w:tr>
        <w:tc>
          <w:tcPr>
            <w:tcW w:type="dxa" w:w="822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MF-07</w:t>
            </w:r>
          </w:p>
        </w:tc>
        <w:tc>
          <w:tcPr>
            <w:tcW w:type="dxa" w:w="4876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Asistente: Probar accesos rápidos y dictado por voz en navegador compatible</w:t>
            </w:r>
          </w:p>
        </w:tc>
        <w:tc>
          <w:tcPr>
            <w:tcW w:type="dxa" w:w="38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RF-22, RF-23. Accesos funcionan y se registra limitación del navegador</w:t>
            </w:r>
          </w:p>
        </w:tc>
      </w:tr>
      <w:tr>
        <w:tc>
          <w:tcPr>
            <w:tcW w:type="dxa" w:w="822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MF-08</w:t>
            </w:r>
          </w:p>
        </w:tc>
        <w:tc>
          <w:tcPr>
            <w:tcW w:type="dxa" w:w="4876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Predicción: Abrir Predicción 7 días y validar variables, modelo, totales y semáforo</w:t>
            </w:r>
          </w:p>
        </w:tc>
        <w:tc>
          <w:tcPr>
            <w:tcW w:type="dxa" w:w="38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RF-24, RF-28 a RF-34, RF-39, RF-40. Los totales concuerdan y el horizonte es 7 días</w:t>
            </w:r>
          </w:p>
        </w:tc>
      </w:tr>
      <w:tr>
        <w:tc>
          <w:tcPr>
            <w:tcW w:type="dxa" w:w="822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MF-09</w:t>
            </w:r>
          </w:p>
        </w:tc>
        <w:tc>
          <w:tcPr>
            <w:tcW w:type="dxa" w:w="4876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Predicción: Consultar detalle de producto existente y de producto sin historial</w:t>
            </w:r>
          </w:p>
        </w:tc>
        <w:tc>
          <w:tcPr>
            <w:tcW w:type="dxa" w:w="38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RF-25 a RF-27, RF-53, RF-54. Detalle o error explicativo correcto</w:t>
            </w:r>
          </w:p>
        </w:tc>
      </w:tr>
      <w:tr>
        <w:tc>
          <w:tcPr>
            <w:tcW w:type="dxa" w:w="822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MF-10</w:t>
            </w:r>
          </w:p>
        </w:tc>
        <w:tc>
          <w:tcPr>
            <w:tcW w:type="dxa" w:w="4876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Predicción: Utilizar búsqueda, filtros ALTO/MEDIO/BAJO/categoría y «Ver análisis»</w:t>
            </w:r>
          </w:p>
        </w:tc>
        <w:tc>
          <w:tcPr>
            <w:tcW w:type="dxa" w:w="38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RF-35 a RF-38. Filtros y detalles corresponden a la selección</w:t>
            </w:r>
          </w:p>
        </w:tc>
      </w:tr>
      <w:tr>
        <w:tc>
          <w:tcPr>
            <w:tcW w:type="dxa" w:w="822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MF-11</w:t>
            </w:r>
          </w:p>
        </w:tc>
        <w:tc>
          <w:tcPr>
            <w:tcW w:type="dxa" w:w="4876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Predicción: Registrar evaluación, consultar últimas seis y recargar vista</w:t>
            </w:r>
          </w:p>
        </w:tc>
        <w:tc>
          <w:tcPr>
            <w:tcW w:type="dxa" w:w="38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RF-41 a RF-45. Un solo registro explícito; sin duplicados por consulta</w:t>
            </w:r>
          </w:p>
        </w:tc>
      </w:tr>
      <w:tr>
        <w:tc>
          <w:tcPr>
            <w:tcW w:type="dxa" w:w="822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MF-12</w:t>
            </w:r>
          </w:p>
        </w:tc>
        <w:tc>
          <w:tcPr>
            <w:tcW w:type="dxa" w:w="4876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Alertas: Abrir campana y cotejar alto/medio/bajo y Top 5 con predicción</w:t>
            </w:r>
          </w:p>
        </w:tc>
        <w:tc>
          <w:tcPr>
            <w:tcW w:type="dxa" w:w="38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RF-46 a RF-49. Cantidades y productos coinciden sin crear historial</w:t>
            </w:r>
          </w:p>
        </w:tc>
      </w:tr>
      <w:tr>
        <w:tc>
          <w:tcPr>
            <w:tcW w:type="dxa" w:w="822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MF-13</w:t>
            </w:r>
          </w:p>
        </w:tc>
        <w:tc>
          <w:tcPr>
            <w:tcW w:type="dxa" w:w="4876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API: Consultar tres endpoints (alertas, predicciones 7d y detalle) y horizonte 14 días</w:t>
            </w:r>
          </w:p>
        </w:tc>
        <w:tc>
          <w:tcPr>
            <w:tcW w:type="dxa" w:w="38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RF-50 a RF-54. HTTP y contenido adecuados; 14 días rechazado</w:t>
            </w:r>
          </w:p>
        </w:tc>
      </w:tr>
      <w:tr>
        <w:tc>
          <w:tcPr>
            <w:tcW w:type="dxa" w:w="822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MF-14</w:t>
            </w:r>
          </w:p>
        </w:tc>
        <w:tc>
          <w:tcPr>
            <w:tcW w:type="dxa" w:w="4876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Dashboard: Revisar métricas NLP, totales por intención y producto más consultado</w:t>
            </w:r>
          </w:p>
        </w:tc>
        <w:tc>
          <w:tcPr>
            <w:tcW w:type="dxa" w:w="38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RF-55 a RF-59. Datos coinciden con registros en MySQL</w:t>
            </w:r>
          </w:p>
        </w:tc>
      </w:tr>
      <w:tr>
        <w:tc>
          <w:tcPr>
            <w:tcW w:type="dxa" w:w="822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MF-15</w:t>
            </w:r>
          </w:p>
        </w:tc>
        <w:tc>
          <w:tcPr>
            <w:tcW w:type="dxa" w:w="4876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Dashboard: Verificar alertas logísticas, tabla críticos y próximos a vencer</w:t>
            </w:r>
          </w:p>
        </w:tc>
        <w:tc>
          <w:tcPr>
            <w:tcW w:type="dxa" w:w="38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RF-60 a RF-62. Datos concuerdan con consultas reales</w:t>
            </w:r>
          </w:p>
        </w:tc>
      </w:tr>
      <w:tr>
        <w:tc>
          <w:tcPr>
            <w:tcW w:type="dxa" w:w="822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MF-16</w:t>
            </w:r>
          </w:p>
        </w:tc>
        <w:tc>
          <w:tcPr>
            <w:tcW w:type="dxa" w:w="4876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Calidad y seguridad: Abrir /calidad-datos, /health y revisar acceso en entorno de demostración</w:t>
            </w:r>
          </w:p>
        </w:tc>
        <w:tc>
          <w:tcPr>
            <w:tcW w:type="dxa" w:w="3883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RNF-01 a RNF-14. Panel y requisitos de entorno comprobados</w:t>
            </w:r>
          </w:p>
        </w:tc>
      </w:tr>
    </w:tbl>
    <w:p>
      <w:pPr>
        <w:pStyle w:val="Heading1"/>
      </w:pPr>
      <w:r>
        <w:t>5. Matriz de trazabilidad de requisitos funcionales</w:t>
      </w:r>
    </w:p>
    <w:p>
      <w:r>
        <w:t>Transcripción del requisito original del apartado 6.4.1 del informe PC09. La asociación con ST indica una prueba HTTP diseñada; MF identifica la verificación manual necesaria. Ninguna fila se califica como aprobada sin acta de ejecución de la aplicación.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850"/>
            <w:vAlign w:val="center"/>
            <w:shd w:fill="17365B"/>
          </w:tcPr>
          <w:p>
            <w:pPr>
              <w:spacing w:after="20" w:before="20"/>
            </w:pPr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type="dxa" w:w="5868"/>
            <w:vAlign w:val="center"/>
            <w:shd w:fill="17365B"/>
          </w:tcPr>
          <w:p>
            <w:pPr>
              <w:spacing w:after="20" w:before="20"/>
            </w:pPr>
            <w:r>
              <w:rPr>
                <w:b/>
                <w:color w:val="FFFFFF"/>
                <w:sz w:val="14"/>
              </w:rPr>
              <w:t>Criterio / proceso del informe PC09</w:t>
            </w:r>
          </w:p>
        </w:tc>
        <w:tc>
          <w:tcPr>
            <w:tcW w:type="dxa" w:w="2863"/>
            <w:vAlign w:val="center"/>
            <w:shd w:fill="17365B"/>
          </w:tcPr>
          <w:p>
            <w:pPr>
              <w:spacing w:after="20" w:before="20"/>
            </w:pPr>
            <w:r>
              <w:rPr>
                <w:b/>
                <w:color w:val="FFFFFF"/>
                <w:sz w:val="14"/>
              </w:rPr>
              <w:t>Subsistema / evidencia prevista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20" w:before="20"/>
            </w:pPr>
            <w:r>
              <w:rPr>
                <w:sz w:val="14"/>
              </w:rPr>
              <w:t>RF-01</w:t>
            </w:r>
          </w:p>
        </w:tc>
        <w:tc>
          <w:tcPr>
            <w:tcW w:type="dxa" w:w="5868"/>
            <w:vAlign w:val="center"/>
          </w:tcPr>
          <w:p>
            <w:pPr>
              <w:spacing w:after="20" w:before="20"/>
            </w:pPr>
            <w:r>
              <w:rPr>
                <w:sz w:val="14"/>
              </w:rPr>
              <w:t>El sistema deberá permitir al usuario ingresar consultas escritas mediante la interfaz del asistente inteligente.</w:t>
            </w:r>
          </w:p>
        </w:tc>
        <w:tc>
          <w:tcPr>
            <w:tcW w:type="dxa" w:w="2863"/>
            <w:vAlign w:val="center"/>
          </w:tcPr>
          <w:p>
            <w:pPr>
              <w:spacing w:after="20" w:before="20"/>
            </w:pPr>
            <w:r>
              <w:rPr>
                <w:sz w:val="14"/>
              </w:rPr>
              <w:t>Asistente: ST-01/02 + MF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20" w:before="20"/>
            </w:pPr>
            <w:r>
              <w:rPr>
                <w:sz w:val="14"/>
              </w:rPr>
              <w:t>RF-02</w:t>
            </w:r>
          </w:p>
        </w:tc>
        <w:tc>
          <w:tcPr>
            <w:tcW w:type="dxa" w:w="5868"/>
            <w:vAlign w:val="center"/>
          </w:tcPr>
          <w:p>
            <w:pPr>
              <w:spacing w:after="20" w:before="20"/>
            </w:pPr>
            <w:r>
              <w:rPr>
                <w:sz w:val="14"/>
              </w:rPr>
              <w:t>El sistema deberá mostrar en pantalla las preguntas realizadas por el usuario y las respuestas generadas por el asistente.</w:t>
            </w:r>
          </w:p>
        </w:tc>
        <w:tc>
          <w:tcPr>
            <w:tcW w:type="dxa" w:w="2863"/>
            <w:vAlign w:val="center"/>
          </w:tcPr>
          <w:p>
            <w:pPr>
              <w:spacing w:after="20" w:before="20"/>
            </w:pPr>
            <w:r>
              <w:rPr>
                <w:sz w:val="14"/>
              </w:rPr>
              <w:t>Asistente: ST-01/02 + MF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20" w:before="20"/>
            </w:pPr>
            <w:r>
              <w:rPr>
                <w:sz w:val="14"/>
              </w:rPr>
              <w:t>RF-03</w:t>
            </w:r>
          </w:p>
        </w:tc>
        <w:tc>
          <w:tcPr>
            <w:tcW w:type="dxa" w:w="5868"/>
            <w:vAlign w:val="center"/>
          </w:tcPr>
          <w:p>
            <w:pPr>
              <w:spacing w:after="20" w:before="20"/>
            </w:pPr>
            <w:r>
              <w:rPr>
                <w:sz w:val="14"/>
              </w:rPr>
              <w:t>El sistema deberá mantener el historial de la conversación durante la sesión activa del usuario.</w:t>
            </w:r>
          </w:p>
        </w:tc>
        <w:tc>
          <w:tcPr>
            <w:tcW w:type="dxa" w:w="2863"/>
            <w:vAlign w:val="center"/>
          </w:tcPr>
          <w:p>
            <w:pPr>
              <w:spacing w:after="20" w:before="20"/>
            </w:pPr>
            <w:r>
              <w:rPr>
                <w:sz w:val="14"/>
              </w:rPr>
              <w:t>Asistente: ST-03 + MF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20" w:before="20"/>
            </w:pPr>
            <w:r>
              <w:rPr>
                <w:sz w:val="14"/>
              </w:rPr>
              <w:t>RF-04</w:t>
            </w:r>
          </w:p>
        </w:tc>
        <w:tc>
          <w:tcPr>
            <w:tcW w:type="dxa" w:w="5868"/>
            <w:vAlign w:val="center"/>
          </w:tcPr>
          <w:p>
            <w:pPr>
              <w:spacing w:after="20" w:before="20"/>
            </w:pPr>
            <w:r>
              <w:rPr>
                <w:sz w:val="14"/>
              </w:rPr>
              <w:t>El sistema deberá permitir limpiar el historial de conversación para iniciar una nueva interacción.</w:t>
            </w:r>
          </w:p>
        </w:tc>
        <w:tc>
          <w:tcPr>
            <w:tcW w:type="dxa" w:w="2863"/>
            <w:vAlign w:val="center"/>
          </w:tcPr>
          <w:p>
            <w:pPr>
              <w:spacing w:after="20" w:before="20"/>
            </w:pPr>
            <w:r>
              <w:rPr>
                <w:sz w:val="14"/>
              </w:rPr>
              <w:t>Asistente: ST-03 + MF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20" w:before="20"/>
            </w:pPr>
            <w:r>
              <w:rPr>
                <w:sz w:val="14"/>
              </w:rPr>
              <w:t>RF-05</w:t>
            </w:r>
          </w:p>
        </w:tc>
        <w:tc>
          <w:tcPr>
            <w:tcW w:type="dxa" w:w="5868"/>
            <w:vAlign w:val="center"/>
          </w:tcPr>
          <w:p>
            <w:pPr>
              <w:spacing w:after="20" w:before="20"/>
            </w:pPr>
            <w:r>
              <w:rPr>
                <w:sz w:val="14"/>
              </w:rPr>
              <w:t>El sistema deberá identificar si una consulta está relacionada con productos, stock, ubicación, vencimiento, inventario o riesgo de quiebre de stock.</w:t>
            </w:r>
          </w:p>
        </w:tc>
        <w:tc>
          <w:tcPr>
            <w:tcW w:type="dxa" w:w="2863"/>
            <w:vAlign w:val="center"/>
          </w:tcPr>
          <w:p>
            <w:pPr>
              <w:spacing w:after="20" w:before="20"/>
            </w:pPr>
            <w:r>
              <w:rPr>
                <w:sz w:val="14"/>
              </w:rPr>
              <w:t>Asistente: MF: comprobación real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20" w:before="20"/>
            </w:pPr>
            <w:r>
              <w:rPr>
                <w:sz w:val="14"/>
              </w:rPr>
              <w:t>RF-06</w:t>
            </w:r>
          </w:p>
        </w:tc>
        <w:tc>
          <w:tcPr>
            <w:tcW w:type="dxa" w:w="5868"/>
            <w:vAlign w:val="center"/>
          </w:tcPr>
          <w:p>
            <w:pPr>
              <w:spacing w:after="20" w:before="20"/>
            </w:pPr>
            <w:r>
              <w:rPr>
                <w:sz w:val="14"/>
              </w:rPr>
              <w:t>El sistema deberá clasificar la intención de una consulta utilizando el modelo de clasificación de intenciones implementado.</w:t>
            </w:r>
          </w:p>
        </w:tc>
        <w:tc>
          <w:tcPr>
            <w:tcW w:type="dxa" w:w="2863"/>
            <w:vAlign w:val="center"/>
          </w:tcPr>
          <w:p>
            <w:pPr>
              <w:spacing w:after="20" w:before="20"/>
            </w:pPr>
            <w:r>
              <w:rPr>
                <w:sz w:val="14"/>
              </w:rPr>
              <w:t>Asistente: MF: comprobación real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20" w:before="20"/>
            </w:pPr>
            <w:r>
              <w:rPr>
                <w:sz w:val="14"/>
              </w:rPr>
              <w:t>RF-07</w:t>
            </w:r>
          </w:p>
        </w:tc>
        <w:tc>
          <w:tcPr>
            <w:tcW w:type="dxa" w:w="5868"/>
            <w:vAlign w:val="center"/>
          </w:tcPr>
          <w:p>
            <w:pPr>
              <w:spacing w:after="20" w:before="20"/>
            </w:pPr>
            <w:r>
              <w:rPr>
                <w:sz w:val="14"/>
              </w:rPr>
              <w:t>El sistema deberá clasificar una consulta como desconocida cuando no pueda determinar una intención válida con suficiente confianza.</w:t>
            </w:r>
          </w:p>
        </w:tc>
        <w:tc>
          <w:tcPr>
            <w:tcW w:type="dxa" w:w="2863"/>
            <w:vAlign w:val="center"/>
          </w:tcPr>
          <w:p>
            <w:pPr>
              <w:spacing w:after="20" w:before="20"/>
            </w:pPr>
            <w:r>
              <w:rPr>
                <w:sz w:val="14"/>
              </w:rPr>
              <w:t>Asistente: MF: comprobación real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20" w:before="20"/>
            </w:pPr>
            <w:r>
              <w:rPr>
                <w:sz w:val="14"/>
              </w:rPr>
              <w:t>RF-08</w:t>
            </w:r>
          </w:p>
        </w:tc>
        <w:tc>
          <w:tcPr>
            <w:tcW w:type="dxa" w:w="5868"/>
            <w:vAlign w:val="center"/>
          </w:tcPr>
          <w:p>
            <w:pPr>
              <w:spacing w:after="20" w:before="20"/>
            </w:pPr>
            <w:r>
              <w:rPr>
                <w:sz w:val="14"/>
              </w:rPr>
              <w:t>El sistema deberá mostrar ejemplos de consultas disponibles cuando no pueda comprender la pregunta realizada por el usuario.</w:t>
            </w:r>
          </w:p>
        </w:tc>
        <w:tc>
          <w:tcPr>
            <w:tcW w:type="dxa" w:w="2863"/>
            <w:vAlign w:val="center"/>
          </w:tcPr>
          <w:p>
            <w:pPr>
              <w:spacing w:after="20" w:before="20"/>
            </w:pPr>
            <w:r>
              <w:rPr>
                <w:sz w:val="14"/>
              </w:rPr>
              <w:t>Asistente: MF: comprobación real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20" w:before="20"/>
            </w:pPr>
            <w:r>
              <w:rPr>
                <w:sz w:val="14"/>
              </w:rPr>
              <w:t>RF-09</w:t>
            </w:r>
          </w:p>
        </w:tc>
        <w:tc>
          <w:tcPr>
            <w:tcW w:type="dxa" w:w="5868"/>
            <w:vAlign w:val="center"/>
          </w:tcPr>
          <w:p>
            <w:pPr>
              <w:spacing w:after="20" w:before="20"/>
            </w:pPr>
            <w:r>
              <w:rPr>
                <w:sz w:val="14"/>
              </w:rPr>
              <w:t>El sistema deberá detectar múltiples intenciones dentro de una misma consulta, permitiendo responder hasta un máximo de tres intenciones identificadas.</w:t>
            </w:r>
          </w:p>
        </w:tc>
        <w:tc>
          <w:tcPr>
            <w:tcW w:type="dxa" w:w="2863"/>
            <w:vAlign w:val="center"/>
          </w:tcPr>
          <w:p>
            <w:pPr>
              <w:spacing w:after="20" w:before="20"/>
            </w:pPr>
            <w:r>
              <w:rPr>
                <w:sz w:val="14"/>
              </w:rPr>
              <w:t>Asistente: MF: comprobación real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20" w:before="20"/>
            </w:pPr>
            <w:r>
              <w:rPr>
                <w:sz w:val="14"/>
              </w:rPr>
              <w:t>RF-10</w:t>
            </w:r>
          </w:p>
        </w:tc>
        <w:tc>
          <w:tcPr>
            <w:tcW w:type="dxa" w:w="5868"/>
            <w:vAlign w:val="center"/>
          </w:tcPr>
          <w:p>
            <w:pPr>
              <w:spacing w:after="20" w:before="20"/>
            </w:pPr>
            <w:r>
              <w:rPr>
                <w:sz w:val="14"/>
              </w:rPr>
              <w:t>El sistema deberá identificar el producto mencionado en una consulta mediante comparación con los productos registrados.</w:t>
            </w:r>
          </w:p>
        </w:tc>
        <w:tc>
          <w:tcPr>
            <w:tcW w:type="dxa" w:w="2863"/>
            <w:vAlign w:val="center"/>
          </w:tcPr>
          <w:p>
            <w:pPr>
              <w:spacing w:after="20" w:before="20"/>
            </w:pPr>
            <w:r>
              <w:rPr>
                <w:sz w:val="14"/>
              </w:rPr>
              <w:t>Asistente: MF: comprobación real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20" w:before="20"/>
            </w:pPr>
            <w:r>
              <w:rPr>
                <w:sz w:val="14"/>
              </w:rPr>
              <w:t>RF-11</w:t>
            </w:r>
          </w:p>
        </w:tc>
        <w:tc>
          <w:tcPr>
            <w:tcW w:type="dxa" w:w="5868"/>
            <w:vAlign w:val="center"/>
          </w:tcPr>
          <w:p>
            <w:pPr>
              <w:spacing w:after="20" w:before="20"/>
            </w:pPr>
            <w:r>
              <w:rPr>
                <w:sz w:val="14"/>
              </w:rPr>
              <w:t>El sistema deberá conservar temporalmente el último producto identificado para permitir preguntas de seguimiento sin necesidad de repetir su nombre.</w:t>
            </w:r>
          </w:p>
        </w:tc>
        <w:tc>
          <w:tcPr>
            <w:tcW w:type="dxa" w:w="2863"/>
            <w:vAlign w:val="center"/>
          </w:tcPr>
          <w:p>
            <w:pPr>
              <w:spacing w:after="20" w:before="20"/>
            </w:pPr>
            <w:r>
              <w:rPr>
                <w:sz w:val="14"/>
              </w:rPr>
              <w:t>Asistente: ST-03 + MF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20" w:before="20"/>
            </w:pPr>
            <w:r>
              <w:rPr>
                <w:sz w:val="14"/>
              </w:rPr>
              <w:t>RF-12</w:t>
            </w:r>
          </w:p>
        </w:tc>
        <w:tc>
          <w:tcPr>
            <w:tcW w:type="dxa" w:w="5868"/>
            <w:vAlign w:val="center"/>
          </w:tcPr>
          <w:p>
            <w:pPr>
              <w:spacing w:after="20" w:before="20"/>
            </w:pPr>
            <w:r>
              <w:rPr>
                <w:sz w:val="14"/>
              </w:rPr>
              <w:t>El sistema deberá permitir consultar el stock total disponible de un producto.</w:t>
            </w:r>
          </w:p>
        </w:tc>
        <w:tc>
          <w:tcPr>
            <w:tcW w:type="dxa" w:w="2863"/>
            <w:vAlign w:val="center"/>
          </w:tcPr>
          <w:p>
            <w:pPr>
              <w:spacing w:after="20" w:before="20"/>
            </w:pPr>
            <w:r>
              <w:rPr>
                <w:sz w:val="14"/>
              </w:rPr>
              <w:t>Asistente: MF: comprobación real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20" w:before="20"/>
            </w:pPr>
            <w:r>
              <w:rPr>
                <w:sz w:val="14"/>
              </w:rPr>
              <w:t>RF-13</w:t>
            </w:r>
          </w:p>
        </w:tc>
        <w:tc>
          <w:tcPr>
            <w:tcW w:type="dxa" w:w="5868"/>
            <w:vAlign w:val="center"/>
          </w:tcPr>
          <w:p>
            <w:pPr>
              <w:spacing w:after="20" w:before="20"/>
            </w:pPr>
            <w:r>
              <w:rPr>
                <w:sz w:val="14"/>
              </w:rPr>
              <w:t>El sistema deberá permitir consultar la ubicación registrada de un producto dentro del inventario.</w:t>
            </w:r>
          </w:p>
        </w:tc>
        <w:tc>
          <w:tcPr>
            <w:tcW w:type="dxa" w:w="2863"/>
            <w:vAlign w:val="center"/>
          </w:tcPr>
          <w:p>
            <w:pPr>
              <w:spacing w:after="20" w:before="20"/>
            </w:pPr>
            <w:r>
              <w:rPr>
                <w:sz w:val="14"/>
              </w:rPr>
              <w:t>Asistente: MF: comprobación real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20" w:before="20"/>
            </w:pPr>
            <w:r>
              <w:rPr>
                <w:sz w:val="14"/>
              </w:rPr>
              <w:t>RF-14</w:t>
            </w:r>
          </w:p>
        </w:tc>
        <w:tc>
          <w:tcPr>
            <w:tcW w:type="dxa" w:w="5868"/>
            <w:vAlign w:val="center"/>
          </w:tcPr>
          <w:p>
            <w:pPr>
              <w:spacing w:after="20" w:before="20"/>
            </w:pPr>
            <w:r>
              <w:rPr>
                <w:sz w:val="14"/>
              </w:rPr>
              <w:t>El sistema deberá permitir consultar los lotes registrados de un producto junto con sus fechas de vencimiento.</w:t>
            </w:r>
          </w:p>
        </w:tc>
        <w:tc>
          <w:tcPr>
            <w:tcW w:type="dxa" w:w="2863"/>
            <w:vAlign w:val="center"/>
          </w:tcPr>
          <w:p>
            <w:pPr>
              <w:spacing w:after="20" w:before="20"/>
            </w:pPr>
            <w:r>
              <w:rPr>
                <w:sz w:val="14"/>
              </w:rPr>
              <w:t>Asistente: MF: comprobación real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20" w:before="20"/>
            </w:pPr>
            <w:r>
              <w:rPr>
                <w:sz w:val="14"/>
              </w:rPr>
              <w:t>RF-15</w:t>
            </w:r>
          </w:p>
        </w:tc>
        <w:tc>
          <w:tcPr>
            <w:tcW w:type="dxa" w:w="5868"/>
            <w:vAlign w:val="center"/>
          </w:tcPr>
          <w:p>
            <w:pPr>
              <w:spacing w:after="20" w:before="20"/>
            </w:pPr>
            <w:r>
              <w:rPr>
                <w:sz w:val="14"/>
              </w:rPr>
              <w:t>El sistema deberá calcular el estado de vencimiento de cada lote indicando si se encuentra vencido, vence hoy, está próximo a vencer o continúa vigente.</w:t>
            </w:r>
          </w:p>
        </w:tc>
        <w:tc>
          <w:tcPr>
            <w:tcW w:type="dxa" w:w="2863"/>
            <w:vAlign w:val="center"/>
          </w:tcPr>
          <w:p>
            <w:pPr>
              <w:spacing w:after="20" w:before="20"/>
            </w:pPr>
            <w:r>
              <w:rPr>
                <w:sz w:val="14"/>
              </w:rPr>
              <w:t>Asistente: MF: comprobación real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20" w:before="20"/>
            </w:pPr>
            <w:r>
              <w:rPr>
                <w:sz w:val="14"/>
              </w:rPr>
              <w:t>RF-16</w:t>
            </w:r>
          </w:p>
        </w:tc>
        <w:tc>
          <w:tcPr>
            <w:tcW w:type="dxa" w:w="5868"/>
            <w:vAlign w:val="center"/>
          </w:tcPr>
          <w:p>
            <w:pPr>
              <w:spacing w:after="20" w:before="20"/>
            </w:pPr>
            <w:r>
              <w:rPr>
                <w:sz w:val="14"/>
              </w:rPr>
              <w:t>El sistema deberá indicar la cantidad de días restantes para el vencimiento de un lote cuando esta información sea solicitada.</w:t>
            </w:r>
          </w:p>
        </w:tc>
        <w:tc>
          <w:tcPr>
            <w:tcW w:type="dxa" w:w="2863"/>
            <w:vAlign w:val="center"/>
          </w:tcPr>
          <w:p>
            <w:pPr>
              <w:spacing w:after="20" w:before="20"/>
            </w:pPr>
            <w:r>
              <w:rPr>
                <w:sz w:val="14"/>
              </w:rPr>
              <w:t>Asistente: MF: comprobación real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20" w:before="20"/>
            </w:pPr>
            <w:r>
              <w:rPr>
                <w:sz w:val="14"/>
              </w:rPr>
              <w:t>RF-17</w:t>
            </w:r>
          </w:p>
        </w:tc>
        <w:tc>
          <w:tcPr>
            <w:tcW w:type="dxa" w:w="5868"/>
            <w:vAlign w:val="center"/>
          </w:tcPr>
          <w:p>
            <w:pPr>
              <w:spacing w:after="20" w:before="20"/>
            </w:pPr>
            <w:r>
              <w:rPr>
                <w:sz w:val="14"/>
              </w:rPr>
              <w:t>El sistema deberá identificar los productos cuyo stock actual sea menor o igual al stock mínimo registrado.</w:t>
            </w:r>
          </w:p>
        </w:tc>
        <w:tc>
          <w:tcPr>
            <w:tcW w:type="dxa" w:w="2863"/>
            <w:vAlign w:val="center"/>
          </w:tcPr>
          <w:p>
            <w:pPr>
              <w:spacing w:after="20" w:before="20"/>
            </w:pPr>
            <w:r>
              <w:rPr>
                <w:sz w:val="14"/>
              </w:rPr>
              <w:t>Asistente: MF: comprobación real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20" w:before="20"/>
            </w:pPr>
            <w:r>
              <w:rPr>
                <w:sz w:val="14"/>
              </w:rPr>
              <w:t>RF-18</w:t>
            </w:r>
          </w:p>
        </w:tc>
        <w:tc>
          <w:tcPr>
            <w:tcW w:type="dxa" w:w="5868"/>
            <w:vAlign w:val="center"/>
          </w:tcPr>
          <w:p>
            <w:pPr>
              <w:spacing w:after="20" w:before="20"/>
            </w:pPr>
            <w:r>
              <w:rPr>
                <w:sz w:val="14"/>
              </w:rPr>
              <w:t>El sistema deberá listar los productos con stock crítico indicando su stock actual y stock mínimo.</w:t>
            </w:r>
          </w:p>
        </w:tc>
        <w:tc>
          <w:tcPr>
            <w:tcW w:type="dxa" w:w="2863"/>
            <w:vAlign w:val="center"/>
          </w:tcPr>
          <w:p>
            <w:pPr>
              <w:spacing w:after="20" w:before="20"/>
            </w:pPr>
            <w:r>
              <w:rPr>
                <w:sz w:val="14"/>
              </w:rPr>
              <w:t>Asistente: MF: comprobación real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20" w:before="20"/>
            </w:pPr>
            <w:r>
              <w:rPr>
                <w:sz w:val="14"/>
              </w:rPr>
              <w:t>RF-19</w:t>
            </w:r>
          </w:p>
        </w:tc>
        <w:tc>
          <w:tcPr>
            <w:tcW w:type="dxa" w:w="5868"/>
            <w:vAlign w:val="center"/>
          </w:tcPr>
          <w:p>
            <w:pPr>
              <w:spacing w:after="20" w:before="20"/>
            </w:pPr>
            <w:r>
              <w:rPr>
                <w:sz w:val="14"/>
              </w:rPr>
              <w:t>El sistema deberá identificar los productos cuyos lotes vencen dentro de los próximos siete días.</w:t>
            </w:r>
          </w:p>
        </w:tc>
        <w:tc>
          <w:tcPr>
            <w:tcW w:type="dxa" w:w="2863"/>
            <w:vAlign w:val="center"/>
          </w:tcPr>
          <w:p>
            <w:pPr>
              <w:spacing w:after="20" w:before="20"/>
            </w:pPr>
            <w:r>
              <w:rPr>
                <w:sz w:val="14"/>
              </w:rPr>
              <w:t>Asistente: MF: comprobación real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20" w:before="20"/>
            </w:pPr>
            <w:r>
              <w:rPr>
                <w:sz w:val="14"/>
              </w:rPr>
              <w:t>RF-20</w:t>
            </w:r>
          </w:p>
        </w:tc>
        <w:tc>
          <w:tcPr>
            <w:tcW w:type="dxa" w:w="5868"/>
            <w:vAlign w:val="center"/>
          </w:tcPr>
          <w:p>
            <w:pPr>
              <w:spacing w:after="20" w:before="20"/>
            </w:pPr>
            <w:r>
              <w:rPr>
                <w:sz w:val="14"/>
              </w:rPr>
              <w:t>El sistema deberá mostrar los productos próximos a vencer indicando producto, lote, fecha y estado del vencimiento.</w:t>
            </w:r>
          </w:p>
        </w:tc>
        <w:tc>
          <w:tcPr>
            <w:tcW w:type="dxa" w:w="2863"/>
            <w:vAlign w:val="center"/>
          </w:tcPr>
          <w:p>
            <w:pPr>
              <w:spacing w:after="20" w:before="20"/>
            </w:pPr>
            <w:r>
              <w:rPr>
                <w:sz w:val="14"/>
              </w:rPr>
              <w:t>Asistente: MF: comprobación real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20" w:before="20"/>
            </w:pPr>
            <w:r>
              <w:rPr>
                <w:sz w:val="14"/>
              </w:rPr>
              <w:t>RF-21</w:t>
            </w:r>
          </w:p>
        </w:tc>
        <w:tc>
          <w:tcPr>
            <w:tcW w:type="dxa" w:w="5868"/>
            <w:vAlign w:val="center"/>
          </w:tcPr>
          <w:p>
            <w:pPr>
              <w:spacing w:after="20" w:before="20"/>
            </w:pPr>
            <w:r>
              <w:rPr>
                <w:sz w:val="14"/>
              </w:rPr>
              <w:t>El sistema deberá registrar en la base de datos las consultas realizadas al asistente, incluyendo pregunta, intención, producto identificado y respuesta generada.</w:t>
            </w:r>
          </w:p>
        </w:tc>
        <w:tc>
          <w:tcPr>
            <w:tcW w:type="dxa" w:w="2863"/>
            <w:vAlign w:val="center"/>
          </w:tcPr>
          <w:p>
            <w:pPr>
              <w:spacing w:after="20" w:before="20"/>
            </w:pPr>
            <w:r>
              <w:rPr>
                <w:sz w:val="14"/>
              </w:rPr>
              <w:t>Asistente: MF: comprobación real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20" w:before="20"/>
            </w:pPr>
            <w:r>
              <w:rPr>
                <w:sz w:val="14"/>
              </w:rPr>
              <w:t>RF-22</w:t>
            </w:r>
          </w:p>
        </w:tc>
        <w:tc>
          <w:tcPr>
            <w:tcW w:type="dxa" w:w="5868"/>
            <w:vAlign w:val="center"/>
          </w:tcPr>
          <w:p>
            <w:pPr>
              <w:spacing w:after="20" w:before="20"/>
            </w:pPr>
            <w:r>
              <w:rPr>
                <w:sz w:val="14"/>
              </w:rPr>
              <w:t>El sistema deberá disponer de accesos rápidos para realizar consultas frecuentes de stock, ubicación, vencimiento, productos críticos, productos por vencer y riesgo de quiebre.</w:t>
            </w:r>
          </w:p>
        </w:tc>
        <w:tc>
          <w:tcPr>
            <w:tcW w:type="dxa" w:w="2863"/>
            <w:vAlign w:val="center"/>
          </w:tcPr>
          <w:p>
            <w:pPr>
              <w:spacing w:after="20" w:before="20"/>
            </w:pPr>
            <w:r>
              <w:rPr>
                <w:sz w:val="14"/>
              </w:rPr>
              <w:t>Asistente: ST-01/02 + MF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20" w:before="20"/>
            </w:pPr>
            <w:r>
              <w:rPr>
                <w:sz w:val="14"/>
              </w:rPr>
              <w:t>RF-23</w:t>
            </w:r>
          </w:p>
        </w:tc>
        <w:tc>
          <w:tcPr>
            <w:tcW w:type="dxa" w:w="5868"/>
            <w:vAlign w:val="center"/>
          </w:tcPr>
          <w:p>
            <w:pPr>
              <w:spacing w:after="20" w:before="20"/>
            </w:pPr>
            <w:r>
              <w:rPr>
                <w:sz w:val="14"/>
              </w:rPr>
              <w:t>El sistema deberá permitir utilizar reconocimiento de voz para introducir consultas cuando esta funcionalidad sea soportada por el navegador.</w:t>
            </w:r>
          </w:p>
        </w:tc>
        <w:tc>
          <w:tcPr>
            <w:tcW w:type="dxa" w:w="2863"/>
            <w:vAlign w:val="center"/>
          </w:tcPr>
          <w:p>
            <w:pPr>
              <w:spacing w:after="20" w:before="20"/>
            </w:pPr>
            <w:r>
              <w:rPr>
                <w:sz w:val="14"/>
              </w:rPr>
              <w:t>Asistente: MF: comprobación real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20" w:before="20"/>
            </w:pPr>
            <w:r>
              <w:rPr>
                <w:sz w:val="14"/>
              </w:rPr>
              <w:t>RF-24</w:t>
            </w:r>
          </w:p>
        </w:tc>
        <w:tc>
          <w:tcPr>
            <w:tcW w:type="dxa" w:w="5868"/>
            <w:vAlign w:val="center"/>
          </w:tcPr>
          <w:p>
            <w:pPr>
              <w:spacing w:after="20" w:before="20"/>
            </w:pPr>
            <w:r>
              <w:rPr>
                <w:sz w:val="14"/>
              </w:rPr>
              <w:t>El sistema deberá calcular el riesgo de quiebre de stock de los productos para un horizonte de siete días.</w:t>
            </w:r>
          </w:p>
        </w:tc>
        <w:tc>
          <w:tcPr>
            <w:tcW w:type="dxa" w:w="2863"/>
            <w:vAlign w:val="center"/>
          </w:tcPr>
          <w:p>
            <w:pPr>
              <w:spacing w:after="20" w:before="20"/>
            </w:pPr>
            <w:r>
              <w:rPr>
                <w:sz w:val="14"/>
              </w:rPr>
              <w:t>Predicción: ST-05/06 + MF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20" w:before="20"/>
            </w:pPr>
            <w:r>
              <w:rPr>
                <w:sz w:val="14"/>
              </w:rPr>
              <w:t>RF-25</w:t>
            </w:r>
          </w:p>
        </w:tc>
        <w:tc>
          <w:tcPr>
            <w:tcW w:type="dxa" w:w="5868"/>
            <w:vAlign w:val="center"/>
          </w:tcPr>
          <w:p>
            <w:pPr>
              <w:spacing w:after="20" w:before="20"/>
            </w:pPr>
            <w:r>
              <w:rPr>
                <w:sz w:val="14"/>
              </w:rPr>
              <w:t>El sistema deberá permitir consultar el riesgo de quiebre de stock de un producto específico.</w:t>
            </w:r>
          </w:p>
        </w:tc>
        <w:tc>
          <w:tcPr>
            <w:tcW w:type="dxa" w:w="2863"/>
            <w:vAlign w:val="center"/>
          </w:tcPr>
          <w:p>
            <w:pPr>
              <w:spacing w:after="20" w:before="20"/>
            </w:pPr>
            <w:r>
              <w:rPr>
                <w:sz w:val="14"/>
              </w:rPr>
              <w:t>Predicción: ST-08 + MF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20" w:before="20"/>
            </w:pPr>
            <w:r>
              <w:rPr>
                <w:sz w:val="14"/>
              </w:rPr>
              <w:t>RF-26</w:t>
            </w:r>
          </w:p>
        </w:tc>
        <w:tc>
          <w:tcPr>
            <w:tcW w:type="dxa" w:w="5868"/>
            <w:vAlign w:val="center"/>
          </w:tcPr>
          <w:p>
            <w:pPr>
              <w:spacing w:after="20" w:before="20"/>
            </w:pPr>
            <w:r>
              <w:rPr>
                <w:sz w:val="14"/>
              </w:rPr>
              <w:t>El sistema deberá mostrar para un producto su probabilidad de riesgo, nivel de riesgo, stock actual, ventas de los últimos siete días, demanda estimada, stock proyectado y recomendación.</w:t>
            </w:r>
          </w:p>
        </w:tc>
        <w:tc>
          <w:tcPr>
            <w:tcW w:type="dxa" w:w="2863"/>
            <w:vAlign w:val="center"/>
          </w:tcPr>
          <w:p>
            <w:pPr>
              <w:spacing w:after="20" w:before="20"/>
            </w:pPr>
            <w:r>
              <w:rPr>
                <w:sz w:val="14"/>
              </w:rPr>
              <w:t>Predicción: ST-08 + MF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20" w:before="20"/>
            </w:pPr>
            <w:r>
              <w:rPr>
                <w:sz w:val="14"/>
              </w:rPr>
              <w:t>RF-27</w:t>
            </w:r>
          </w:p>
        </w:tc>
        <w:tc>
          <w:tcPr>
            <w:tcW w:type="dxa" w:w="5868"/>
            <w:vAlign w:val="center"/>
          </w:tcPr>
          <w:p>
            <w:pPr>
              <w:spacing w:after="20" w:before="20"/>
            </w:pPr>
            <w:r>
              <w:rPr>
                <w:sz w:val="14"/>
              </w:rPr>
              <w:t>El sistema deberá informar cuando un producto registrado en MySQL no posea historial suficiente para realizar una predicción de riesgo.</w:t>
            </w:r>
          </w:p>
        </w:tc>
        <w:tc>
          <w:tcPr>
            <w:tcW w:type="dxa" w:w="2863"/>
            <w:vAlign w:val="center"/>
          </w:tcPr>
          <w:p>
            <w:pPr>
              <w:spacing w:after="20" w:before="20"/>
            </w:pPr>
            <w:r>
              <w:rPr>
                <w:sz w:val="14"/>
              </w:rPr>
              <w:t>Predicción: ST-08 + MF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20" w:before="20"/>
            </w:pPr>
            <w:r>
              <w:rPr>
                <w:sz w:val="14"/>
              </w:rPr>
              <w:t>RF-28</w:t>
            </w:r>
          </w:p>
        </w:tc>
        <w:tc>
          <w:tcPr>
            <w:tcW w:type="dxa" w:w="5868"/>
            <w:vAlign w:val="center"/>
          </w:tcPr>
          <w:p>
            <w:pPr>
              <w:spacing w:after="20" w:before="20"/>
            </w:pPr>
            <w:r>
              <w:rPr>
                <w:sz w:val="14"/>
              </w:rPr>
              <w:t>El sistema deberá permitir consultar de manera general los productos que presentan riesgo de quiebre de stock durante los próximos siete días.</w:t>
            </w:r>
          </w:p>
        </w:tc>
        <w:tc>
          <w:tcPr>
            <w:tcW w:type="dxa" w:w="2863"/>
            <w:vAlign w:val="center"/>
          </w:tcPr>
          <w:p>
            <w:pPr>
              <w:spacing w:after="20" w:before="20"/>
            </w:pPr>
            <w:r>
              <w:rPr>
                <w:sz w:val="14"/>
              </w:rPr>
              <w:t>Predicción: ST-05/06 + MF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20" w:before="20"/>
            </w:pPr>
            <w:r>
              <w:rPr>
                <w:sz w:val="14"/>
              </w:rPr>
              <w:t>RF-29</w:t>
            </w:r>
          </w:p>
        </w:tc>
        <w:tc>
          <w:tcPr>
            <w:tcW w:type="dxa" w:w="5868"/>
            <w:vAlign w:val="center"/>
          </w:tcPr>
          <w:p>
            <w:pPr>
              <w:spacing w:after="20" w:before="20"/>
            </w:pPr>
            <w:r>
              <w:rPr>
                <w:sz w:val="14"/>
              </w:rPr>
              <w:t>El sistema deberá informar cuando no existan productos en riesgo alto ni en nivel medio de vigilancia.</w:t>
            </w:r>
          </w:p>
        </w:tc>
        <w:tc>
          <w:tcPr>
            <w:tcW w:type="dxa" w:w="2863"/>
            <w:vAlign w:val="center"/>
          </w:tcPr>
          <w:p>
            <w:pPr>
              <w:spacing w:after="20" w:before="20"/>
            </w:pPr>
            <w:r>
              <w:rPr>
                <w:sz w:val="14"/>
              </w:rPr>
              <w:t>Predicción: MF: comprobación real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20" w:before="20"/>
            </w:pPr>
            <w:r>
              <w:rPr>
                <w:sz w:val="14"/>
              </w:rPr>
              <w:t>RF-30</w:t>
            </w:r>
          </w:p>
        </w:tc>
        <w:tc>
          <w:tcPr>
            <w:tcW w:type="dxa" w:w="5868"/>
            <w:vAlign w:val="center"/>
          </w:tcPr>
          <w:p>
            <w:pPr>
              <w:spacing w:after="20" w:before="20"/>
            </w:pPr>
            <w:r>
              <w:rPr>
                <w:sz w:val="14"/>
              </w:rPr>
              <w:t>El sistema deberá clasificar operacionalmente el riesgo de los productos en los niveles ALTO, MEDIO y BAJO.</w:t>
            </w:r>
          </w:p>
        </w:tc>
        <w:tc>
          <w:tcPr>
            <w:tcW w:type="dxa" w:w="2863"/>
            <w:vAlign w:val="center"/>
          </w:tcPr>
          <w:p>
            <w:pPr>
              <w:spacing w:after="20" w:before="20"/>
            </w:pPr>
            <w:r>
              <w:rPr>
                <w:sz w:val="14"/>
              </w:rPr>
              <w:t>Predicción: MF: comprobación real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20" w:before="20"/>
            </w:pPr>
            <w:r>
              <w:rPr>
                <w:sz w:val="14"/>
              </w:rPr>
              <w:t>RF-31</w:t>
            </w:r>
          </w:p>
        </w:tc>
        <w:tc>
          <w:tcPr>
            <w:tcW w:type="dxa" w:w="5868"/>
            <w:vAlign w:val="center"/>
          </w:tcPr>
          <w:p>
            <w:pPr>
              <w:spacing w:after="20" w:before="20"/>
            </w:pPr>
            <w:r>
              <w:rPr>
                <w:sz w:val="14"/>
              </w:rPr>
              <w:t>El sistema deberá considerar como riesgo ALTO las probabilidades iguales o mayores al 75 %, MEDIO las probabilidades desde 50 % hasta menos de 75 % y BAJO las probabilidades menores al 50 %.</w:t>
            </w:r>
          </w:p>
        </w:tc>
        <w:tc>
          <w:tcPr>
            <w:tcW w:type="dxa" w:w="2863"/>
            <w:vAlign w:val="center"/>
          </w:tcPr>
          <w:p>
            <w:pPr>
              <w:spacing w:after="20" w:before="20"/>
            </w:pPr>
            <w:r>
              <w:rPr>
                <w:sz w:val="14"/>
              </w:rPr>
              <w:t>Predicción: MF: comprobación real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20" w:before="20"/>
            </w:pPr>
            <w:r>
              <w:rPr>
                <w:sz w:val="14"/>
              </w:rPr>
              <w:t>RF-32</w:t>
            </w:r>
          </w:p>
        </w:tc>
        <w:tc>
          <w:tcPr>
            <w:tcW w:type="dxa" w:w="5868"/>
            <w:vAlign w:val="center"/>
          </w:tcPr>
          <w:p>
            <w:pPr>
              <w:spacing w:after="20" w:before="20"/>
            </w:pPr>
            <w:r>
              <w:rPr>
                <w:sz w:val="14"/>
              </w:rPr>
              <w:t>El sistema deberá generar un resumen con la cantidad y porcentaje de productos clasificados en riesgo ALTO, MEDIO y BAJO.</w:t>
            </w:r>
          </w:p>
        </w:tc>
        <w:tc>
          <w:tcPr>
            <w:tcW w:type="dxa" w:w="2863"/>
            <w:vAlign w:val="center"/>
          </w:tcPr>
          <w:p>
            <w:pPr>
              <w:spacing w:after="20" w:before="20"/>
            </w:pPr>
            <w:r>
              <w:rPr>
                <w:sz w:val="14"/>
              </w:rPr>
              <w:t>Predicción: ST-05/06 + MF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20" w:before="20"/>
            </w:pPr>
            <w:r>
              <w:rPr>
                <w:sz w:val="14"/>
              </w:rPr>
              <w:t>RF-33</w:t>
            </w:r>
          </w:p>
        </w:tc>
        <w:tc>
          <w:tcPr>
            <w:tcW w:type="dxa" w:w="5868"/>
            <w:vAlign w:val="center"/>
          </w:tcPr>
          <w:p>
            <w:pPr>
              <w:spacing w:after="20" w:before="20"/>
            </w:pPr>
            <w:r>
              <w:rPr>
                <w:sz w:val="14"/>
              </w:rPr>
              <w:t>El sistema deberá mostrar los cinco productos con mayor prioridad de riesgo dentro del módulo de predicción.</w:t>
            </w:r>
          </w:p>
        </w:tc>
        <w:tc>
          <w:tcPr>
            <w:tcW w:type="dxa" w:w="2863"/>
            <w:vAlign w:val="center"/>
          </w:tcPr>
          <w:p>
            <w:pPr>
              <w:spacing w:after="20" w:before="20"/>
            </w:pPr>
            <w:r>
              <w:rPr>
                <w:sz w:val="14"/>
              </w:rPr>
              <w:t>Predicción: MF: comprobación real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20" w:before="20"/>
            </w:pPr>
            <w:r>
              <w:rPr>
                <w:sz w:val="14"/>
              </w:rPr>
              <w:t>RF-34</w:t>
            </w:r>
          </w:p>
        </w:tc>
        <w:tc>
          <w:tcPr>
            <w:tcW w:type="dxa" w:w="5868"/>
            <w:vAlign w:val="center"/>
          </w:tcPr>
          <w:p>
            <w:pPr>
              <w:spacing w:after="20" w:before="20"/>
            </w:pPr>
            <w:r>
              <w:rPr>
                <w:sz w:val="14"/>
              </w:rPr>
              <w:t>El sistema deberá mostrar por producto información de stock actual, stock de seguridad, punto de reorden, ventas históricas, demanda estimada, stock proyectado, cobertura y probabilidad de riesgo.</w:t>
            </w:r>
          </w:p>
        </w:tc>
        <w:tc>
          <w:tcPr>
            <w:tcW w:type="dxa" w:w="2863"/>
            <w:vAlign w:val="center"/>
          </w:tcPr>
          <w:p>
            <w:pPr>
              <w:spacing w:after="20" w:before="20"/>
            </w:pPr>
            <w:r>
              <w:rPr>
                <w:sz w:val="14"/>
              </w:rPr>
              <w:t>Predicción: MF: comprobación real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20" w:before="20"/>
            </w:pPr>
            <w:r>
              <w:rPr>
                <w:sz w:val="14"/>
              </w:rPr>
              <w:t>RF-35</w:t>
            </w:r>
          </w:p>
        </w:tc>
        <w:tc>
          <w:tcPr>
            <w:tcW w:type="dxa" w:w="5868"/>
            <w:vAlign w:val="center"/>
          </w:tcPr>
          <w:p>
            <w:pPr>
              <w:spacing w:after="20" w:before="20"/>
            </w:pPr>
            <w:r>
              <w:rPr>
                <w:sz w:val="14"/>
              </w:rPr>
              <w:t>El sistema deberá permitir buscar productos dentro del módulo predictivo mediante el nombre o código del producto.</w:t>
            </w:r>
          </w:p>
        </w:tc>
        <w:tc>
          <w:tcPr>
            <w:tcW w:type="dxa" w:w="2863"/>
            <w:vAlign w:val="center"/>
          </w:tcPr>
          <w:p>
            <w:pPr>
              <w:spacing w:after="20" w:before="20"/>
            </w:pPr>
            <w:r>
              <w:rPr>
                <w:sz w:val="14"/>
              </w:rPr>
              <w:t>Predicción: MF: comprobación real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20" w:before="20"/>
            </w:pPr>
            <w:r>
              <w:rPr>
                <w:sz w:val="14"/>
              </w:rPr>
              <w:t>RF-36</w:t>
            </w:r>
          </w:p>
        </w:tc>
        <w:tc>
          <w:tcPr>
            <w:tcW w:type="dxa" w:w="5868"/>
            <w:vAlign w:val="center"/>
          </w:tcPr>
          <w:p>
            <w:pPr>
              <w:spacing w:after="20" w:before="20"/>
            </w:pPr>
            <w:r>
              <w:rPr>
                <w:sz w:val="14"/>
              </w:rPr>
              <w:t>El sistema deberá permitir filtrar las predicciones según los niveles ALTO, MEDIO, BAJO o mostrar todos los productos.</w:t>
            </w:r>
          </w:p>
        </w:tc>
        <w:tc>
          <w:tcPr>
            <w:tcW w:type="dxa" w:w="2863"/>
            <w:vAlign w:val="center"/>
          </w:tcPr>
          <w:p>
            <w:pPr>
              <w:spacing w:after="20" w:before="20"/>
            </w:pPr>
            <w:r>
              <w:rPr>
                <w:sz w:val="14"/>
              </w:rPr>
              <w:t>Predicción: MF: comprobación real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20" w:before="20"/>
            </w:pPr>
            <w:r>
              <w:rPr>
                <w:sz w:val="14"/>
              </w:rPr>
              <w:t>RF-37</w:t>
            </w:r>
          </w:p>
        </w:tc>
        <w:tc>
          <w:tcPr>
            <w:tcW w:type="dxa" w:w="5868"/>
            <w:vAlign w:val="center"/>
          </w:tcPr>
          <w:p>
            <w:pPr>
              <w:spacing w:after="20" w:before="20"/>
            </w:pPr>
            <w:r>
              <w:rPr>
                <w:sz w:val="14"/>
              </w:rPr>
              <w:t>El sistema deberá permitir visualizar y ocultar el análisis detallado correspondiente a cada producto evaluado.</w:t>
            </w:r>
          </w:p>
        </w:tc>
        <w:tc>
          <w:tcPr>
            <w:tcW w:type="dxa" w:w="2863"/>
            <w:vAlign w:val="center"/>
          </w:tcPr>
          <w:p>
            <w:pPr>
              <w:spacing w:after="20" w:before="20"/>
            </w:pPr>
            <w:r>
              <w:rPr>
                <w:sz w:val="14"/>
              </w:rPr>
              <w:t>Predicción: MF: comprobación real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20" w:before="20"/>
            </w:pPr>
            <w:r>
              <w:rPr>
                <w:sz w:val="14"/>
              </w:rPr>
              <w:t>RF-38</w:t>
            </w:r>
          </w:p>
        </w:tc>
        <w:tc>
          <w:tcPr>
            <w:tcW w:type="dxa" w:w="5868"/>
            <w:vAlign w:val="center"/>
          </w:tcPr>
          <w:p>
            <w:pPr>
              <w:spacing w:after="20" w:before="20"/>
            </w:pPr>
            <w:r>
              <w:rPr>
                <w:sz w:val="14"/>
              </w:rPr>
              <w:t>El sistema deberá mostrar los factores observados y la recomendación operativa correspondiente a los productos evaluados.</w:t>
            </w:r>
          </w:p>
        </w:tc>
        <w:tc>
          <w:tcPr>
            <w:tcW w:type="dxa" w:w="2863"/>
            <w:vAlign w:val="center"/>
          </w:tcPr>
          <w:p>
            <w:pPr>
              <w:spacing w:after="20" w:before="20"/>
            </w:pPr>
            <w:r>
              <w:rPr>
                <w:sz w:val="14"/>
              </w:rPr>
              <w:t>Predicción: MF: comprobación real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20" w:before="20"/>
            </w:pPr>
            <w:r>
              <w:rPr>
                <w:sz w:val="14"/>
              </w:rPr>
              <w:t>RF-39</w:t>
            </w:r>
          </w:p>
        </w:tc>
        <w:tc>
          <w:tcPr>
            <w:tcW w:type="dxa" w:w="5868"/>
            <w:vAlign w:val="center"/>
          </w:tcPr>
          <w:p>
            <w:pPr>
              <w:spacing w:after="20" w:before="20"/>
            </w:pPr>
            <w:r>
              <w:rPr>
                <w:sz w:val="14"/>
              </w:rPr>
              <w:t>El sistema deberá mostrar la comparación de los modelos de Machine Learning evaluados utilizando Accuracy, Precision, Recall, F1-Score y su respectivo umbral.</w:t>
            </w:r>
          </w:p>
        </w:tc>
        <w:tc>
          <w:tcPr>
            <w:tcW w:type="dxa" w:w="2863"/>
            <w:vAlign w:val="center"/>
          </w:tcPr>
          <w:p>
            <w:pPr>
              <w:spacing w:after="20" w:before="20"/>
            </w:pPr>
            <w:r>
              <w:rPr>
                <w:sz w:val="14"/>
              </w:rPr>
              <w:t>Predicción: MF: comprobación real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20" w:before="20"/>
            </w:pPr>
            <w:r>
              <w:rPr>
                <w:sz w:val="14"/>
              </w:rPr>
              <w:t>RF-40</w:t>
            </w:r>
          </w:p>
        </w:tc>
        <w:tc>
          <w:tcPr>
            <w:tcW w:type="dxa" w:w="5868"/>
            <w:vAlign w:val="center"/>
          </w:tcPr>
          <w:p>
            <w:pPr>
              <w:spacing w:after="20" w:before="20"/>
            </w:pPr>
            <w:r>
              <w:rPr>
                <w:sz w:val="14"/>
              </w:rPr>
              <w:t>El sistema deberá mostrar las variables de mayor importancia global utilizadas por el modelo predictivo.</w:t>
            </w:r>
          </w:p>
        </w:tc>
        <w:tc>
          <w:tcPr>
            <w:tcW w:type="dxa" w:w="2863"/>
            <w:vAlign w:val="center"/>
          </w:tcPr>
          <w:p>
            <w:pPr>
              <w:spacing w:after="20" w:before="20"/>
            </w:pPr>
            <w:r>
              <w:rPr>
                <w:sz w:val="14"/>
              </w:rPr>
              <w:t>Predicción: MF: comprobación real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20" w:before="20"/>
            </w:pPr>
            <w:r>
              <w:rPr>
                <w:sz w:val="14"/>
              </w:rPr>
              <w:t>RF-41</w:t>
            </w:r>
          </w:p>
        </w:tc>
        <w:tc>
          <w:tcPr>
            <w:tcW w:type="dxa" w:w="5868"/>
            <w:vAlign w:val="center"/>
          </w:tcPr>
          <w:p>
            <w:pPr>
              <w:spacing w:after="20" w:before="20"/>
            </w:pPr>
            <w:r>
              <w:rPr>
                <w:sz w:val="14"/>
              </w:rPr>
              <w:t>El sistema deberá permitir registrar manualmente una evaluación actual del riesgo de quiebre de stock mediante la opción “Registrar evaluación”.</w:t>
            </w:r>
          </w:p>
        </w:tc>
        <w:tc>
          <w:tcPr>
            <w:tcW w:type="dxa" w:w="2863"/>
            <w:vAlign w:val="center"/>
          </w:tcPr>
          <w:p>
            <w:pPr>
              <w:spacing w:after="20" w:before="20"/>
            </w:pPr>
            <w:r>
              <w:rPr>
                <w:sz w:val="14"/>
              </w:rPr>
              <w:t>Predicción: ST-10/11 + MF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20" w:before="20"/>
            </w:pPr>
            <w:r>
              <w:rPr>
                <w:sz w:val="14"/>
              </w:rPr>
              <w:t>RF-42</w:t>
            </w:r>
          </w:p>
        </w:tc>
        <w:tc>
          <w:tcPr>
            <w:tcW w:type="dxa" w:w="5868"/>
            <w:vAlign w:val="center"/>
          </w:tcPr>
          <w:p>
            <w:pPr>
              <w:spacing w:after="20" w:before="20"/>
            </w:pPr>
            <w:r>
              <w:rPr>
                <w:sz w:val="14"/>
              </w:rPr>
              <w:t>El sistema deberá almacenar cada evaluación registrada junto con su fecha, horizonte, modelo utilizado, umbrales, cantidad de productos por nivel de riesgo y probabilidad promedio.</w:t>
            </w:r>
          </w:p>
        </w:tc>
        <w:tc>
          <w:tcPr>
            <w:tcW w:type="dxa" w:w="2863"/>
            <w:vAlign w:val="center"/>
          </w:tcPr>
          <w:p>
            <w:pPr>
              <w:spacing w:after="20" w:before="20"/>
            </w:pPr>
            <w:r>
              <w:rPr>
                <w:sz w:val="14"/>
              </w:rPr>
              <w:t>Predicción: ST-10/11 + MF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20" w:before="20"/>
            </w:pPr>
            <w:r>
              <w:rPr>
                <w:sz w:val="14"/>
              </w:rPr>
              <w:t>RF-43</w:t>
            </w:r>
          </w:p>
        </w:tc>
        <w:tc>
          <w:tcPr>
            <w:tcW w:type="dxa" w:w="5868"/>
            <w:vAlign w:val="center"/>
          </w:tcPr>
          <w:p>
            <w:pPr>
              <w:spacing w:after="20" w:before="20"/>
            </w:pPr>
            <w:r>
              <w:rPr>
                <w:sz w:val="14"/>
              </w:rPr>
              <w:t>El sistema deberá almacenar el detalle de los productos correspondientes a cada evaluación registrada, incluyendo stock actual, demanda estimada, stock proyectado, probabilidad y nivel de riesgo.</w:t>
            </w:r>
          </w:p>
        </w:tc>
        <w:tc>
          <w:tcPr>
            <w:tcW w:type="dxa" w:w="2863"/>
            <w:vAlign w:val="center"/>
          </w:tcPr>
          <w:p>
            <w:pPr>
              <w:spacing w:after="20" w:before="20"/>
            </w:pPr>
            <w:r>
              <w:rPr>
                <w:sz w:val="14"/>
              </w:rPr>
              <w:t>Predicción: ST-10/11 + MF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20" w:before="20"/>
            </w:pPr>
            <w:r>
              <w:rPr>
                <w:sz w:val="14"/>
              </w:rPr>
              <w:t>RF-44</w:t>
            </w:r>
          </w:p>
        </w:tc>
        <w:tc>
          <w:tcPr>
            <w:tcW w:type="dxa" w:w="5868"/>
            <w:vAlign w:val="center"/>
          </w:tcPr>
          <w:p>
            <w:pPr>
              <w:spacing w:after="20" w:before="20"/>
            </w:pPr>
            <w:r>
              <w:rPr>
                <w:sz w:val="14"/>
              </w:rPr>
              <w:t>El sistema deberá mostrar las seis evaluaciones de riesgo registradas más recientemente en el módulo predictivo.</w:t>
            </w:r>
          </w:p>
        </w:tc>
        <w:tc>
          <w:tcPr>
            <w:tcW w:type="dxa" w:w="2863"/>
            <w:vAlign w:val="center"/>
          </w:tcPr>
          <w:p>
            <w:pPr>
              <w:spacing w:after="20" w:before="20"/>
            </w:pPr>
            <w:r>
              <w:rPr>
                <w:sz w:val="14"/>
              </w:rPr>
              <w:t>Predicción: ST-10/11 + MF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20" w:before="20"/>
            </w:pPr>
            <w:r>
              <w:rPr>
                <w:sz w:val="14"/>
              </w:rPr>
              <w:t>RF-45</w:t>
            </w:r>
          </w:p>
        </w:tc>
        <w:tc>
          <w:tcPr>
            <w:tcW w:type="dxa" w:w="5868"/>
            <w:vAlign w:val="center"/>
          </w:tcPr>
          <w:p>
            <w:pPr>
              <w:spacing w:after="20" w:before="20"/>
            </w:pPr>
            <w:r>
              <w:rPr>
                <w:sz w:val="14"/>
              </w:rPr>
              <w:t>El sistema deberá permitir consultar el historial de predicciones registradas de un producto específico.</w:t>
            </w:r>
          </w:p>
        </w:tc>
        <w:tc>
          <w:tcPr>
            <w:tcW w:type="dxa" w:w="2863"/>
            <w:vAlign w:val="center"/>
          </w:tcPr>
          <w:p>
            <w:pPr>
              <w:spacing w:after="20" w:before="20"/>
            </w:pPr>
            <w:r>
              <w:rPr>
                <w:sz w:val="14"/>
              </w:rPr>
              <w:t>Predicción: ST-10/11 + MF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20" w:before="20"/>
            </w:pPr>
            <w:r>
              <w:rPr>
                <w:sz w:val="14"/>
              </w:rPr>
              <w:t>RF-46</w:t>
            </w:r>
          </w:p>
        </w:tc>
        <w:tc>
          <w:tcPr>
            <w:tcW w:type="dxa" w:w="5868"/>
            <w:vAlign w:val="center"/>
          </w:tcPr>
          <w:p>
            <w:pPr>
              <w:spacing w:after="20" w:before="20"/>
            </w:pPr>
            <w:r>
              <w:rPr>
                <w:sz w:val="14"/>
              </w:rPr>
              <w:t>El sistema deberá disponer de una campana de alertas predictivas en la pantalla principal del asistente.</w:t>
            </w:r>
          </w:p>
        </w:tc>
        <w:tc>
          <w:tcPr>
            <w:tcW w:type="dxa" w:w="2863"/>
            <w:vAlign w:val="center"/>
          </w:tcPr>
          <w:p>
            <w:pPr>
              <w:spacing w:after="20" w:before="20"/>
            </w:pPr>
            <w:r>
              <w:rPr>
                <w:sz w:val="14"/>
              </w:rPr>
              <w:t>Alertas: ST-09 + MF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20" w:before="20"/>
            </w:pPr>
            <w:r>
              <w:rPr>
                <w:sz w:val="14"/>
              </w:rPr>
              <w:t>RF-47</w:t>
            </w:r>
          </w:p>
        </w:tc>
        <w:tc>
          <w:tcPr>
            <w:tcW w:type="dxa" w:w="5868"/>
            <w:vAlign w:val="center"/>
          </w:tcPr>
          <w:p>
            <w:pPr>
              <w:spacing w:after="20" w:before="20"/>
            </w:pPr>
            <w:r>
              <w:rPr>
                <w:sz w:val="14"/>
              </w:rPr>
              <w:t>La campana deberá mostrar la cantidad actual de productos en riesgo ALTO, MEDIO y BAJO.</w:t>
            </w:r>
          </w:p>
        </w:tc>
        <w:tc>
          <w:tcPr>
            <w:tcW w:type="dxa" w:w="2863"/>
            <w:vAlign w:val="center"/>
          </w:tcPr>
          <w:p>
            <w:pPr>
              <w:spacing w:after="20" w:before="20"/>
            </w:pPr>
            <w:r>
              <w:rPr>
                <w:sz w:val="14"/>
              </w:rPr>
              <w:t>Alertas: ST-09 + MF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20" w:before="20"/>
            </w:pPr>
            <w:r>
              <w:rPr>
                <w:sz w:val="14"/>
              </w:rPr>
              <w:t>RF-48</w:t>
            </w:r>
          </w:p>
        </w:tc>
        <w:tc>
          <w:tcPr>
            <w:tcW w:type="dxa" w:w="5868"/>
            <w:vAlign w:val="center"/>
          </w:tcPr>
          <w:p>
            <w:pPr>
              <w:spacing w:after="20" w:before="20"/>
            </w:pPr>
            <w:r>
              <w:rPr>
                <w:sz w:val="14"/>
              </w:rPr>
              <w:t>La campana de alertas deberá mostrar hasta cinco productos de mayor prioridad indicando producto, categoría, stock, demanda estimada y porcentaje de riesgo.</w:t>
            </w:r>
          </w:p>
        </w:tc>
        <w:tc>
          <w:tcPr>
            <w:tcW w:type="dxa" w:w="2863"/>
            <w:vAlign w:val="center"/>
          </w:tcPr>
          <w:p>
            <w:pPr>
              <w:spacing w:after="20" w:before="20"/>
            </w:pPr>
            <w:r>
              <w:rPr>
                <w:sz w:val="14"/>
              </w:rPr>
              <w:t>Alertas: ST-09 + MF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20" w:before="20"/>
            </w:pPr>
            <w:r>
              <w:rPr>
                <w:sz w:val="14"/>
              </w:rPr>
              <w:t>RF-49</w:t>
            </w:r>
          </w:p>
        </w:tc>
        <w:tc>
          <w:tcPr>
            <w:tcW w:type="dxa" w:w="5868"/>
            <w:vAlign w:val="center"/>
          </w:tcPr>
          <w:p>
            <w:pPr>
              <w:spacing w:after="20" w:before="20"/>
            </w:pPr>
            <w:r>
              <w:rPr>
                <w:sz w:val="14"/>
              </w:rPr>
              <w:t>El sistema deberá actualizar la información de la campana consultando la evaluación predictiva actual sin registrar automáticamente una nueva evaluación histórica.</w:t>
            </w:r>
          </w:p>
        </w:tc>
        <w:tc>
          <w:tcPr>
            <w:tcW w:type="dxa" w:w="2863"/>
            <w:vAlign w:val="center"/>
          </w:tcPr>
          <w:p>
            <w:pPr>
              <w:spacing w:after="20" w:before="20"/>
            </w:pPr>
            <w:r>
              <w:rPr>
                <w:sz w:val="14"/>
              </w:rPr>
              <w:t>Alertas: ST-09 + MF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20" w:before="20"/>
            </w:pPr>
            <w:r>
              <w:rPr>
                <w:sz w:val="14"/>
              </w:rPr>
              <w:t>RF-50</w:t>
            </w:r>
          </w:p>
        </w:tc>
        <w:tc>
          <w:tcPr>
            <w:tcW w:type="dxa" w:w="5868"/>
            <w:vAlign w:val="center"/>
          </w:tcPr>
          <w:p>
            <w:pPr>
              <w:spacing w:after="20" w:before="20"/>
            </w:pPr>
            <w:r>
              <w:rPr>
                <w:sz w:val="14"/>
              </w:rPr>
              <w:t>El sistema deberá proporcionar un endpoint REST para obtener el resumen de alertas predictivas.</w:t>
            </w:r>
          </w:p>
        </w:tc>
        <w:tc>
          <w:tcPr>
            <w:tcW w:type="dxa" w:w="2863"/>
            <w:vAlign w:val="center"/>
          </w:tcPr>
          <w:p>
            <w:pPr>
              <w:spacing w:after="20" w:before="20"/>
            </w:pPr>
            <w:r>
              <w:rPr>
                <w:sz w:val="14"/>
              </w:rPr>
              <w:t>Alertas: ST-09 + MF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20" w:before="20"/>
            </w:pPr>
            <w:r>
              <w:rPr>
                <w:sz w:val="14"/>
              </w:rPr>
              <w:t>RF-51</w:t>
            </w:r>
          </w:p>
        </w:tc>
        <w:tc>
          <w:tcPr>
            <w:tcW w:type="dxa" w:w="5868"/>
            <w:vAlign w:val="center"/>
          </w:tcPr>
          <w:p>
            <w:pPr>
              <w:spacing w:after="20" w:before="20"/>
            </w:pPr>
            <w:r>
              <w:rPr>
                <w:sz w:val="14"/>
              </w:rPr>
              <w:t>El sistema deberá proporcionar un endpoint REST para obtener las predicciones de riesgo de stock.</w:t>
            </w:r>
          </w:p>
        </w:tc>
        <w:tc>
          <w:tcPr>
            <w:tcW w:type="dxa" w:w="2863"/>
            <w:vAlign w:val="center"/>
          </w:tcPr>
          <w:p>
            <w:pPr>
              <w:spacing w:after="20" w:before="20"/>
            </w:pPr>
            <w:r>
              <w:rPr>
                <w:sz w:val="14"/>
              </w:rPr>
              <w:t>Predicción: ST-06 + MF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20" w:before="20"/>
            </w:pPr>
            <w:r>
              <w:rPr>
                <w:sz w:val="14"/>
              </w:rPr>
              <w:t>RF-52</w:t>
            </w:r>
          </w:p>
        </w:tc>
        <w:tc>
          <w:tcPr>
            <w:tcW w:type="dxa" w:w="5868"/>
            <w:vAlign w:val="center"/>
          </w:tcPr>
          <w:p>
            <w:pPr>
              <w:spacing w:after="20" w:before="20"/>
            </w:pPr>
            <w:r>
              <w:rPr>
                <w:sz w:val="14"/>
              </w:rPr>
              <w:t>El endpoint de predicciones deberá admitir actualmente únicamente un horizonte de siete días y deberá devolver un error cuando se solicite un horizonte diferente.</w:t>
            </w:r>
          </w:p>
        </w:tc>
        <w:tc>
          <w:tcPr>
            <w:tcW w:type="dxa" w:w="2863"/>
            <w:vAlign w:val="center"/>
          </w:tcPr>
          <w:p>
            <w:pPr>
              <w:spacing w:after="20" w:before="20"/>
            </w:pPr>
            <w:r>
              <w:rPr>
                <w:sz w:val="14"/>
              </w:rPr>
              <w:t>Predicción: ST-07 + MF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20" w:before="20"/>
            </w:pPr>
            <w:r>
              <w:rPr>
                <w:sz w:val="14"/>
              </w:rPr>
              <w:t>RF-53</w:t>
            </w:r>
          </w:p>
        </w:tc>
        <w:tc>
          <w:tcPr>
            <w:tcW w:type="dxa" w:w="5868"/>
            <w:vAlign w:val="center"/>
          </w:tcPr>
          <w:p>
            <w:pPr>
              <w:spacing w:after="20" w:before="20"/>
            </w:pPr>
            <w:r>
              <w:rPr>
                <w:sz w:val="14"/>
              </w:rPr>
              <w:t>El sistema deberá proporcionar un endpoint REST para consultar el detalle predictivo de un producto utilizando su identificador.</w:t>
            </w:r>
          </w:p>
        </w:tc>
        <w:tc>
          <w:tcPr>
            <w:tcW w:type="dxa" w:w="2863"/>
            <w:vAlign w:val="center"/>
          </w:tcPr>
          <w:p>
            <w:pPr>
              <w:spacing w:after="20" w:before="20"/>
            </w:pPr>
            <w:r>
              <w:rPr>
                <w:sz w:val="14"/>
              </w:rPr>
              <w:t>Predicción: ST-08 + MF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20" w:before="20"/>
            </w:pPr>
            <w:r>
              <w:rPr>
                <w:sz w:val="14"/>
              </w:rPr>
              <w:t>RF-54</w:t>
            </w:r>
          </w:p>
        </w:tc>
        <w:tc>
          <w:tcPr>
            <w:tcW w:type="dxa" w:w="5868"/>
            <w:vAlign w:val="center"/>
          </w:tcPr>
          <w:p>
            <w:pPr>
              <w:spacing w:after="20" w:before="20"/>
            </w:pPr>
            <w:r>
              <w:rPr>
                <w:sz w:val="14"/>
              </w:rPr>
              <w:t>El sistema deberá indicar mediante la API cuando un producto no existe o no posee historial suficiente para generar su detalle predictivo.</w:t>
            </w:r>
          </w:p>
        </w:tc>
        <w:tc>
          <w:tcPr>
            <w:tcW w:type="dxa" w:w="2863"/>
            <w:vAlign w:val="center"/>
          </w:tcPr>
          <w:p>
            <w:pPr>
              <w:spacing w:after="20" w:before="20"/>
            </w:pPr>
            <w:r>
              <w:rPr>
                <w:sz w:val="14"/>
              </w:rPr>
              <w:t>Predicción: ST-08 + MF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20" w:before="20"/>
            </w:pPr>
            <w:r>
              <w:rPr>
                <w:sz w:val="14"/>
              </w:rPr>
              <w:t>RF-55</w:t>
            </w:r>
          </w:p>
        </w:tc>
        <w:tc>
          <w:tcPr>
            <w:tcW w:type="dxa" w:w="5868"/>
            <w:vAlign w:val="center"/>
          </w:tcPr>
          <w:p>
            <w:pPr>
              <w:spacing w:after="20" w:before="20"/>
            </w:pPr>
            <w:r>
              <w:rPr>
                <w:sz w:val="14"/>
              </w:rPr>
              <w:t>El dashboard deberá mostrar las métricas Accuracy, Precision, Recall y F1-Score del modelo de clasificación de intenciones.</w:t>
            </w:r>
          </w:p>
        </w:tc>
        <w:tc>
          <w:tcPr>
            <w:tcW w:type="dxa" w:w="2863"/>
            <w:vAlign w:val="center"/>
          </w:tcPr>
          <w:p>
            <w:pPr>
              <w:spacing w:after="20" w:before="20"/>
            </w:pPr>
            <w:r>
              <w:rPr>
                <w:sz w:val="14"/>
              </w:rPr>
              <w:t>Dashboard: ST-04 + MF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20" w:before="20"/>
            </w:pPr>
            <w:r>
              <w:rPr>
                <w:sz w:val="14"/>
              </w:rPr>
              <w:t>RF-56</w:t>
            </w:r>
          </w:p>
        </w:tc>
        <w:tc>
          <w:tcPr>
            <w:tcW w:type="dxa" w:w="5868"/>
            <w:vAlign w:val="center"/>
          </w:tcPr>
          <w:p>
            <w:pPr>
              <w:spacing w:after="20" w:before="20"/>
            </w:pPr>
            <w:r>
              <w:rPr>
                <w:sz w:val="14"/>
              </w:rPr>
              <w:t>El dashboard deberá mostrar el total de consultas registradas por el asistente.</w:t>
            </w:r>
          </w:p>
        </w:tc>
        <w:tc>
          <w:tcPr>
            <w:tcW w:type="dxa" w:w="2863"/>
            <w:vAlign w:val="center"/>
          </w:tcPr>
          <w:p>
            <w:pPr>
              <w:spacing w:after="20" w:before="20"/>
            </w:pPr>
            <w:r>
              <w:rPr>
                <w:sz w:val="14"/>
              </w:rPr>
              <w:t>Dashboard: ST-04 + MF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20" w:before="20"/>
            </w:pPr>
            <w:r>
              <w:rPr>
                <w:sz w:val="14"/>
              </w:rPr>
              <w:t>RF-57</w:t>
            </w:r>
          </w:p>
        </w:tc>
        <w:tc>
          <w:tcPr>
            <w:tcW w:type="dxa" w:w="5868"/>
            <w:vAlign w:val="center"/>
          </w:tcPr>
          <w:p>
            <w:pPr>
              <w:spacing w:after="20" w:before="20"/>
            </w:pPr>
            <w:r>
              <w:rPr>
                <w:sz w:val="14"/>
              </w:rPr>
              <w:t>El dashboard deberá mostrar la distribución de las consultas agrupadas por intención detectada.</w:t>
            </w:r>
          </w:p>
        </w:tc>
        <w:tc>
          <w:tcPr>
            <w:tcW w:type="dxa" w:w="2863"/>
            <w:vAlign w:val="center"/>
          </w:tcPr>
          <w:p>
            <w:pPr>
              <w:spacing w:after="20" w:before="20"/>
            </w:pPr>
            <w:r>
              <w:rPr>
                <w:sz w:val="14"/>
              </w:rPr>
              <w:t>Dashboard: ST-04 + MF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20" w:before="20"/>
            </w:pPr>
            <w:r>
              <w:rPr>
                <w:sz w:val="14"/>
              </w:rPr>
              <w:t>RF-58</w:t>
            </w:r>
          </w:p>
        </w:tc>
        <w:tc>
          <w:tcPr>
            <w:tcW w:type="dxa" w:w="5868"/>
            <w:vAlign w:val="center"/>
          </w:tcPr>
          <w:p>
            <w:pPr>
              <w:spacing w:after="20" w:before="20"/>
            </w:pPr>
            <w:r>
              <w:rPr>
                <w:sz w:val="14"/>
              </w:rPr>
              <w:t>El dashboard deberá identificar y mostrar los productos con mayor cantidad de consultas realizadas al asistente.</w:t>
            </w:r>
          </w:p>
        </w:tc>
        <w:tc>
          <w:tcPr>
            <w:tcW w:type="dxa" w:w="2863"/>
            <w:vAlign w:val="center"/>
          </w:tcPr>
          <w:p>
            <w:pPr>
              <w:spacing w:after="20" w:before="20"/>
            </w:pPr>
            <w:r>
              <w:rPr>
                <w:sz w:val="14"/>
              </w:rPr>
              <w:t>Dashboard: ST-04 + MF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20" w:before="20"/>
            </w:pPr>
            <w:r>
              <w:rPr>
                <w:sz w:val="14"/>
              </w:rPr>
              <w:t>RF-59</w:t>
            </w:r>
          </w:p>
        </w:tc>
        <w:tc>
          <w:tcPr>
            <w:tcW w:type="dxa" w:w="5868"/>
            <w:vAlign w:val="center"/>
          </w:tcPr>
          <w:p>
            <w:pPr>
              <w:spacing w:after="20" w:before="20"/>
            </w:pPr>
            <w:r>
              <w:rPr>
                <w:sz w:val="14"/>
              </w:rPr>
              <w:t>El dashboard deberá mostrar como producto más buscado aquel que tenga la mayor cantidad de consultas registradas.</w:t>
            </w:r>
          </w:p>
        </w:tc>
        <w:tc>
          <w:tcPr>
            <w:tcW w:type="dxa" w:w="2863"/>
            <w:vAlign w:val="center"/>
          </w:tcPr>
          <w:p>
            <w:pPr>
              <w:spacing w:after="20" w:before="20"/>
            </w:pPr>
            <w:r>
              <w:rPr>
                <w:sz w:val="14"/>
              </w:rPr>
              <w:t>Dashboard: ST-04 + MF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20" w:before="20"/>
            </w:pPr>
            <w:r>
              <w:rPr>
                <w:sz w:val="14"/>
              </w:rPr>
              <w:t>RF-60</w:t>
            </w:r>
          </w:p>
        </w:tc>
        <w:tc>
          <w:tcPr>
            <w:tcW w:type="dxa" w:w="5868"/>
            <w:vAlign w:val="center"/>
          </w:tcPr>
          <w:p>
            <w:pPr>
              <w:spacing w:after="20" w:before="20"/>
            </w:pPr>
            <w:r>
              <w:rPr>
                <w:sz w:val="14"/>
              </w:rPr>
              <w:t>El dashboard deberá mostrar la cantidad de alertas logísticas obtenida a partir de productos con stock crítico y productos próximos a vencer.</w:t>
            </w:r>
          </w:p>
        </w:tc>
        <w:tc>
          <w:tcPr>
            <w:tcW w:type="dxa" w:w="2863"/>
            <w:vAlign w:val="center"/>
          </w:tcPr>
          <w:p>
            <w:pPr>
              <w:spacing w:after="20" w:before="20"/>
            </w:pPr>
            <w:r>
              <w:rPr>
                <w:sz w:val="14"/>
              </w:rPr>
              <w:t>Dashboard: ST-04 + MF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20" w:before="20"/>
            </w:pPr>
            <w:r>
              <w:rPr>
                <w:sz w:val="14"/>
              </w:rPr>
              <w:t>RF-61</w:t>
            </w:r>
          </w:p>
        </w:tc>
        <w:tc>
          <w:tcPr>
            <w:tcW w:type="dxa" w:w="5868"/>
            <w:vAlign w:val="center"/>
          </w:tcPr>
          <w:p>
            <w:pPr>
              <w:spacing w:after="20" w:before="20"/>
            </w:pPr>
            <w:r>
              <w:rPr>
                <w:sz w:val="14"/>
              </w:rPr>
              <w:t>El dashboard deberá presentar una tabla con los productos que tengan stock crítico.</w:t>
            </w:r>
          </w:p>
        </w:tc>
        <w:tc>
          <w:tcPr>
            <w:tcW w:type="dxa" w:w="2863"/>
            <w:vAlign w:val="center"/>
          </w:tcPr>
          <w:p>
            <w:pPr>
              <w:spacing w:after="20" w:before="20"/>
            </w:pPr>
            <w:r>
              <w:rPr>
                <w:sz w:val="14"/>
              </w:rPr>
              <w:t>Dashboard: ST-04 + MF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20" w:before="20"/>
            </w:pPr>
            <w:r>
              <w:rPr>
                <w:sz w:val="14"/>
              </w:rPr>
              <w:t>RF-62</w:t>
            </w:r>
          </w:p>
        </w:tc>
        <w:tc>
          <w:tcPr>
            <w:tcW w:type="dxa" w:w="5868"/>
            <w:vAlign w:val="center"/>
          </w:tcPr>
          <w:p>
            <w:pPr>
              <w:spacing w:after="20" w:before="20"/>
            </w:pPr>
            <w:r>
              <w:rPr>
                <w:sz w:val="14"/>
              </w:rPr>
              <w:t>El dashboard deberá presentar una tabla con los productos próximos a vencer.</w:t>
            </w:r>
          </w:p>
        </w:tc>
        <w:tc>
          <w:tcPr>
            <w:tcW w:type="dxa" w:w="2863"/>
            <w:vAlign w:val="center"/>
          </w:tcPr>
          <w:p>
            <w:pPr>
              <w:spacing w:after="20" w:before="20"/>
            </w:pPr>
            <w:r>
              <w:rPr>
                <w:sz w:val="14"/>
              </w:rPr>
              <w:t>Dashboard: ST-04 + MF</w:t>
            </w:r>
          </w:p>
        </w:tc>
      </w:tr>
    </w:tbl>
    <w:p>
      <w:pPr>
        <w:pStyle w:val="Heading1"/>
      </w:pPr>
      <w:r>
        <w:t>6. Requisitos no funcionales del informe PC09</w:t>
      </w:r>
    </w:p>
    <w:p>
      <w:r>
        <w:t>Las comprobaciones RNF requieren inspección de arquitectura/código y, cuando corresponda, pruebas sobre el entorno de ejecución. No se equiparan automáticamente a casos funcionales aprobados.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964"/>
            <w:vAlign w:val="center"/>
            <w:shd w:fill="17365B"/>
          </w:tcPr>
          <w:p>
            <w:pPr>
              <w:spacing w:after="20" w:before="20"/>
            </w:pPr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type="dxa" w:w="5783"/>
            <w:vAlign w:val="center"/>
            <w:shd w:fill="17365B"/>
          </w:tcPr>
          <w:p>
            <w:pPr>
              <w:spacing w:after="20" w:before="20"/>
            </w:pPr>
            <w:r>
              <w:rPr>
                <w:b/>
                <w:color w:val="FFFFFF"/>
                <w:sz w:val="14"/>
              </w:rPr>
              <w:t>Criterio / proceso del informe PC09</w:t>
            </w:r>
          </w:p>
        </w:tc>
        <w:tc>
          <w:tcPr>
            <w:tcW w:type="dxa" w:w="2835"/>
            <w:vAlign w:val="center"/>
            <w:shd w:fill="17365B"/>
          </w:tcPr>
          <w:p>
            <w:pPr>
              <w:spacing w:after="20" w:before="20"/>
            </w:pPr>
            <w:r>
              <w:rPr>
                <w:b/>
                <w:color w:val="FFFFFF"/>
                <w:sz w:val="14"/>
              </w:rPr>
              <w:t>Subsistema / evidencia prevista</w:t>
            </w:r>
          </w:p>
        </w:tc>
      </w:tr>
      <w:tr>
        <w:tc>
          <w:tcPr>
            <w:tcW w:type="dxa" w:w="964"/>
            <w:vAlign w:val="center"/>
          </w:tcPr>
          <w:p>
            <w:pPr>
              <w:spacing w:after="20" w:before="20"/>
            </w:pPr>
            <w:r>
              <w:rPr>
                <w:sz w:val="14"/>
              </w:rPr>
              <w:t>RNF-01</w:t>
            </w:r>
          </w:p>
        </w:tc>
        <w:tc>
          <w:tcPr>
            <w:tcW w:type="dxa" w:w="5783"/>
            <w:vAlign w:val="center"/>
          </w:tcPr>
          <w:p>
            <w:pPr>
              <w:spacing w:after="20" w:before="20"/>
            </w:pPr>
            <w:r>
              <w:rPr>
                <w:sz w:val="14"/>
              </w:rPr>
              <w:t>El sistema deberá mantener una Arquitectura en Capas, separando presentación, aplicación, dominio e infraestructura.</w:t>
            </w:r>
          </w:p>
        </w:tc>
        <w:tc>
          <w:tcPr>
            <w:tcW w:type="dxa" w:w="2835"/>
            <w:vAlign w:val="center"/>
          </w:tcPr>
          <w:p>
            <w:pPr>
              <w:spacing w:after="20" w:before="20"/>
            </w:pPr>
            <w:r>
              <w:rPr>
                <w:sz w:val="14"/>
              </w:rPr>
              <w:t>Revisión técnica de código + instalación / entorno real</w:t>
            </w:r>
          </w:p>
        </w:tc>
      </w:tr>
      <w:tr>
        <w:tc>
          <w:tcPr>
            <w:tcW w:type="dxa" w:w="964"/>
            <w:vAlign w:val="center"/>
          </w:tcPr>
          <w:p>
            <w:pPr>
              <w:spacing w:after="20" w:before="20"/>
            </w:pPr>
            <w:r>
              <w:rPr>
                <w:sz w:val="14"/>
              </w:rPr>
              <w:t>RNF-02</w:t>
            </w:r>
          </w:p>
        </w:tc>
        <w:tc>
          <w:tcPr>
            <w:tcW w:type="dxa" w:w="5783"/>
            <w:vAlign w:val="center"/>
          </w:tcPr>
          <w:p>
            <w:pPr>
              <w:spacing w:after="20" w:before="20"/>
            </w:pPr>
            <w:r>
              <w:rPr>
                <w:sz w:val="14"/>
              </w:rPr>
              <w:t>La capa de presentación deberá encargarse de las rutas HTTP, plantillas HTML, estilos y comunicación con los servicios de aplicación.</w:t>
            </w:r>
          </w:p>
        </w:tc>
        <w:tc>
          <w:tcPr>
            <w:tcW w:type="dxa" w:w="2835"/>
            <w:vAlign w:val="center"/>
          </w:tcPr>
          <w:p>
            <w:pPr>
              <w:spacing w:after="20" w:before="20"/>
            </w:pPr>
            <w:r>
              <w:rPr>
                <w:sz w:val="14"/>
              </w:rPr>
              <w:t>Revisión técnica de código + instalación / entorno real</w:t>
            </w:r>
          </w:p>
        </w:tc>
      </w:tr>
      <w:tr>
        <w:tc>
          <w:tcPr>
            <w:tcW w:type="dxa" w:w="964"/>
            <w:vAlign w:val="center"/>
          </w:tcPr>
          <w:p>
            <w:pPr>
              <w:spacing w:after="20" w:before="20"/>
            </w:pPr>
            <w:r>
              <w:rPr>
                <w:sz w:val="14"/>
              </w:rPr>
              <w:t>RNF-03</w:t>
            </w:r>
          </w:p>
        </w:tc>
        <w:tc>
          <w:tcPr>
            <w:tcW w:type="dxa" w:w="5783"/>
            <w:vAlign w:val="center"/>
          </w:tcPr>
          <w:p>
            <w:pPr>
              <w:spacing w:after="20" w:before="20"/>
            </w:pPr>
            <w:r>
              <w:rPr>
                <w:sz w:val="14"/>
              </w:rPr>
              <w:t>La lógica de los casos de uso deberá mantenerse en servicios de aplicación y separada de las consultas SQL.</w:t>
            </w:r>
          </w:p>
        </w:tc>
        <w:tc>
          <w:tcPr>
            <w:tcW w:type="dxa" w:w="2835"/>
            <w:vAlign w:val="center"/>
          </w:tcPr>
          <w:p>
            <w:pPr>
              <w:spacing w:after="20" w:before="20"/>
            </w:pPr>
            <w:r>
              <w:rPr>
                <w:sz w:val="14"/>
              </w:rPr>
              <w:t>Revisión técnica de código + instalación / entorno real</w:t>
            </w:r>
          </w:p>
        </w:tc>
      </w:tr>
      <w:tr>
        <w:tc>
          <w:tcPr>
            <w:tcW w:type="dxa" w:w="964"/>
            <w:vAlign w:val="center"/>
          </w:tcPr>
          <w:p>
            <w:pPr>
              <w:spacing w:after="20" w:before="20"/>
            </w:pPr>
            <w:r>
              <w:rPr>
                <w:sz w:val="14"/>
              </w:rPr>
              <w:t>RNF-04</w:t>
            </w:r>
          </w:p>
        </w:tc>
        <w:tc>
          <w:tcPr>
            <w:tcW w:type="dxa" w:w="5783"/>
            <w:vAlign w:val="center"/>
          </w:tcPr>
          <w:p>
            <w:pPr>
              <w:spacing w:after="20" w:before="20"/>
            </w:pPr>
            <w:r>
              <w:rPr>
                <w:sz w:val="14"/>
              </w:rPr>
              <w:t>El acceso a MySQL deberá mantenerse encapsulado mediante el patrón Repository, utilizando los repositorios de productos, consultas e historial predictivo existentes.</w:t>
            </w:r>
          </w:p>
        </w:tc>
        <w:tc>
          <w:tcPr>
            <w:tcW w:type="dxa" w:w="2835"/>
            <w:vAlign w:val="center"/>
          </w:tcPr>
          <w:p>
            <w:pPr>
              <w:spacing w:after="20" w:before="20"/>
            </w:pPr>
            <w:r>
              <w:rPr>
                <w:sz w:val="14"/>
              </w:rPr>
              <w:t>Revisión técnica de código + instalación / entorno real</w:t>
            </w:r>
          </w:p>
        </w:tc>
      </w:tr>
      <w:tr>
        <w:tc>
          <w:tcPr>
            <w:tcW w:type="dxa" w:w="964"/>
            <w:vAlign w:val="center"/>
          </w:tcPr>
          <w:p>
            <w:pPr>
              <w:spacing w:after="20" w:before="20"/>
            </w:pPr>
            <w:r>
              <w:rPr>
                <w:sz w:val="14"/>
              </w:rPr>
              <w:t>RNF-05</w:t>
            </w:r>
          </w:p>
        </w:tc>
        <w:tc>
          <w:tcPr>
            <w:tcW w:type="dxa" w:w="5783"/>
            <w:vAlign w:val="center"/>
          </w:tcPr>
          <w:p>
            <w:pPr>
              <w:spacing w:after="20" w:before="20"/>
            </w:pPr>
            <w:r>
              <w:rPr>
                <w:sz w:val="14"/>
              </w:rPr>
              <w:t>Las dependencias de los servicios deberán gestionarse mediante inyección de dependencias utilizando el ServiceContainer del proyecto.</w:t>
            </w:r>
          </w:p>
        </w:tc>
        <w:tc>
          <w:tcPr>
            <w:tcW w:type="dxa" w:w="2835"/>
            <w:vAlign w:val="center"/>
          </w:tcPr>
          <w:p>
            <w:pPr>
              <w:spacing w:after="20" w:before="20"/>
            </w:pPr>
            <w:r>
              <w:rPr>
                <w:sz w:val="14"/>
              </w:rPr>
              <w:t>Revisión técnica de código + instalación / entorno real</w:t>
            </w:r>
          </w:p>
        </w:tc>
      </w:tr>
      <w:tr>
        <w:tc>
          <w:tcPr>
            <w:tcW w:type="dxa" w:w="964"/>
            <w:vAlign w:val="center"/>
          </w:tcPr>
          <w:p>
            <w:pPr>
              <w:spacing w:after="20" w:before="20"/>
            </w:pPr>
            <w:r>
              <w:rPr>
                <w:sz w:val="14"/>
              </w:rPr>
              <w:t>RNF-06</w:t>
            </w:r>
          </w:p>
        </w:tc>
        <w:tc>
          <w:tcPr>
            <w:tcW w:type="dxa" w:w="5783"/>
            <w:vAlign w:val="center"/>
          </w:tcPr>
          <w:p>
            <w:pPr>
              <w:spacing w:after="20" w:before="20"/>
            </w:pPr>
            <w:r>
              <w:rPr>
                <w:sz w:val="14"/>
              </w:rPr>
              <w:t>La ejecución de los diferentes algoritmos predictivos deberá mantenerse desacoplada mediante el patrón Strategy implementado en el sistema.</w:t>
            </w:r>
          </w:p>
        </w:tc>
        <w:tc>
          <w:tcPr>
            <w:tcW w:type="dxa" w:w="2835"/>
            <w:vAlign w:val="center"/>
          </w:tcPr>
          <w:p>
            <w:pPr>
              <w:spacing w:after="20" w:before="20"/>
            </w:pPr>
            <w:r>
              <w:rPr>
                <w:sz w:val="14"/>
              </w:rPr>
              <w:t>Revisión técnica de código + instalación / entorno real</w:t>
            </w:r>
          </w:p>
        </w:tc>
      </w:tr>
      <w:tr>
        <w:tc>
          <w:tcPr>
            <w:tcW w:type="dxa" w:w="964"/>
            <w:vAlign w:val="center"/>
          </w:tcPr>
          <w:p>
            <w:pPr>
              <w:spacing w:after="20" w:before="20"/>
            </w:pPr>
            <w:r>
              <w:rPr>
                <w:sz w:val="14"/>
              </w:rPr>
              <w:t>RNF-07</w:t>
            </w:r>
          </w:p>
        </w:tc>
        <w:tc>
          <w:tcPr>
            <w:tcW w:type="dxa" w:w="5783"/>
            <w:vAlign w:val="center"/>
          </w:tcPr>
          <w:p>
            <w:pPr>
              <w:spacing w:after="20" w:before="20"/>
            </w:pPr>
            <w:r>
              <w:rPr>
                <w:sz w:val="14"/>
              </w:rPr>
              <w:t>La notificación generada al registrar una evaluación deberá mantenerse desacoplada mediante el patrón Observer implementado en el proyecto.</w:t>
            </w:r>
          </w:p>
        </w:tc>
        <w:tc>
          <w:tcPr>
            <w:tcW w:type="dxa" w:w="2835"/>
            <w:vAlign w:val="center"/>
          </w:tcPr>
          <w:p>
            <w:pPr>
              <w:spacing w:after="20" w:before="20"/>
            </w:pPr>
            <w:r>
              <w:rPr>
                <w:sz w:val="14"/>
              </w:rPr>
              <w:t>Revisión técnica de código + instalación / entorno real</w:t>
            </w:r>
          </w:p>
        </w:tc>
      </w:tr>
      <w:tr>
        <w:tc>
          <w:tcPr>
            <w:tcW w:type="dxa" w:w="964"/>
            <w:vAlign w:val="center"/>
          </w:tcPr>
          <w:p>
            <w:pPr>
              <w:spacing w:after="20" w:before="20"/>
            </w:pPr>
            <w:r>
              <w:rPr>
                <w:sz w:val="14"/>
              </w:rPr>
              <w:t>RNF-08</w:t>
            </w:r>
          </w:p>
        </w:tc>
        <w:tc>
          <w:tcPr>
            <w:tcW w:type="dxa" w:w="5783"/>
            <w:vAlign w:val="center"/>
          </w:tcPr>
          <w:p>
            <w:pPr>
              <w:spacing w:after="20" w:before="20"/>
            </w:pPr>
            <w:r>
              <w:rPr>
                <w:sz w:val="14"/>
              </w:rPr>
              <w:t>Los procesos de entrenamiento y análisis de los modelos de Machine Learning deberán mantenerse separados del flujo de ejecución de la aplicación web.</w:t>
            </w:r>
          </w:p>
        </w:tc>
        <w:tc>
          <w:tcPr>
            <w:tcW w:type="dxa" w:w="2835"/>
            <w:vAlign w:val="center"/>
          </w:tcPr>
          <w:p>
            <w:pPr>
              <w:spacing w:after="20" w:before="20"/>
            </w:pPr>
            <w:r>
              <w:rPr>
                <w:sz w:val="14"/>
              </w:rPr>
              <w:t>Revisión técnica de código + instalación / entorno real</w:t>
            </w:r>
          </w:p>
        </w:tc>
      </w:tr>
      <w:tr>
        <w:tc>
          <w:tcPr>
            <w:tcW w:type="dxa" w:w="964"/>
            <w:vAlign w:val="center"/>
          </w:tcPr>
          <w:p>
            <w:pPr>
              <w:spacing w:after="20" w:before="20"/>
            </w:pPr>
            <w:r>
              <w:rPr>
                <w:sz w:val="14"/>
              </w:rPr>
              <w:t>RNF-09</w:t>
            </w:r>
          </w:p>
        </w:tc>
        <w:tc>
          <w:tcPr>
            <w:tcW w:type="dxa" w:w="5783"/>
            <w:vAlign w:val="center"/>
          </w:tcPr>
          <w:p>
            <w:pPr>
              <w:spacing w:after="20" w:before="20"/>
            </w:pPr>
            <w:r>
              <w:rPr>
                <w:sz w:val="14"/>
              </w:rPr>
              <w:t>La aplicación web no deberá entrenar nuevamente los modelos cada vez que el usuario realice una consulta; deberá utilizar los modelos previamente entrenados y almacenados.</w:t>
            </w:r>
          </w:p>
        </w:tc>
        <w:tc>
          <w:tcPr>
            <w:tcW w:type="dxa" w:w="2835"/>
            <w:vAlign w:val="center"/>
          </w:tcPr>
          <w:p>
            <w:pPr>
              <w:spacing w:after="20" w:before="20"/>
            </w:pPr>
            <w:r>
              <w:rPr>
                <w:sz w:val="14"/>
              </w:rPr>
              <w:t>Revisión técnica de código + instalación / entorno real</w:t>
            </w:r>
          </w:p>
        </w:tc>
      </w:tr>
      <w:tr>
        <w:tc>
          <w:tcPr>
            <w:tcW w:type="dxa" w:w="964"/>
            <w:vAlign w:val="center"/>
          </w:tcPr>
          <w:p>
            <w:pPr>
              <w:spacing w:after="20" w:before="20"/>
            </w:pPr>
            <w:r>
              <w:rPr>
                <w:sz w:val="14"/>
              </w:rPr>
              <w:t>RNF-10</w:t>
            </w:r>
          </w:p>
        </w:tc>
        <w:tc>
          <w:tcPr>
            <w:tcW w:type="dxa" w:w="5783"/>
            <w:vAlign w:val="center"/>
          </w:tcPr>
          <w:p>
            <w:pPr>
              <w:spacing w:after="20" w:before="20"/>
            </w:pPr>
            <w:r>
              <w:rPr>
                <w:sz w:val="14"/>
              </w:rPr>
              <w:t>La configuración de conexión a MySQL y la clave utilizada por las sesiones Flask deberán mantenerse centralizadas en el archivo de configuración y admitir valores obtenidos mediante variables de entorno.</w:t>
            </w:r>
          </w:p>
        </w:tc>
        <w:tc>
          <w:tcPr>
            <w:tcW w:type="dxa" w:w="2835"/>
            <w:vAlign w:val="center"/>
          </w:tcPr>
          <w:p>
            <w:pPr>
              <w:spacing w:after="20" w:before="20"/>
            </w:pPr>
            <w:r>
              <w:rPr>
                <w:sz w:val="14"/>
              </w:rPr>
              <w:t>Revisión técnica de código + instalación / entorno real</w:t>
            </w:r>
          </w:p>
        </w:tc>
      </w:tr>
      <w:tr>
        <w:tc>
          <w:tcPr>
            <w:tcW w:type="dxa" w:w="964"/>
            <w:vAlign w:val="center"/>
          </w:tcPr>
          <w:p>
            <w:pPr>
              <w:spacing w:after="20" w:before="20"/>
            </w:pPr>
            <w:r>
              <w:rPr>
                <w:sz w:val="14"/>
              </w:rPr>
              <w:t>RNF-11</w:t>
            </w:r>
          </w:p>
        </w:tc>
        <w:tc>
          <w:tcPr>
            <w:tcW w:type="dxa" w:w="5783"/>
            <w:vAlign w:val="center"/>
          </w:tcPr>
          <w:p>
            <w:pPr>
              <w:spacing w:after="20" w:before="20"/>
            </w:pPr>
            <w:r>
              <w:rPr>
                <w:sz w:val="14"/>
              </w:rPr>
              <w:t>El sistema deberá utilizar MySQL como fuente del catálogo e inventario actual utilizado durante la ejecución de las consultas y predicciones.</w:t>
            </w:r>
          </w:p>
        </w:tc>
        <w:tc>
          <w:tcPr>
            <w:tcW w:type="dxa" w:w="2835"/>
            <w:vAlign w:val="center"/>
          </w:tcPr>
          <w:p>
            <w:pPr>
              <w:spacing w:after="20" w:before="20"/>
            </w:pPr>
            <w:r>
              <w:rPr>
                <w:sz w:val="14"/>
              </w:rPr>
              <w:t>Revisión técnica de código + instalación / entorno real</w:t>
            </w:r>
          </w:p>
        </w:tc>
      </w:tr>
      <w:tr>
        <w:tc>
          <w:tcPr>
            <w:tcW w:type="dxa" w:w="964"/>
            <w:vAlign w:val="center"/>
          </w:tcPr>
          <w:p>
            <w:pPr>
              <w:spacing w:after="20" w:before="20"/>
            </w:pPr>
            <w:r>
              <w:rPr>
                <w:sz w:val="14"/>
              </w:rPr>
              <w:t>RNF-12</w:t>
            </w:r>
          </w:p>
        </w:tc>
        <w:tc>
          <w:tcPr>
            <w:tcW w:type="dxa" w:w="5783"/>
            <w:vAlign w:val="center"/>
          </w:tcPr>
          <w:p>
            <w:pPr>
              <w:spacing w:after="20" w:before="20"/>
            </w:pPr>
            <w:r>
              <w:rPr>
                <w:sz w:val="14"/>
              </w:rPr>
              <w:t>La interfaz web deberá ser adaptable a diferentes tamaños de pantalla mediante las reglas responsive existentes y el uso de viewport.</w:t>
            </w:r>
          </w:p>
        </w:tc>
        <w:tc>
          <w:tcPr>
            <w:tcW w:type="dxa" w:w="2835"/>
            <w:vAlign w:val="center"/>
          </w:tcPr>
          <w:p>
            <w:pPr>
              <w:spacing w:after="20" w:before="20"/>
            </w:pPr>
            <w:r>
              <w:rPr>
                <w:sz w:val="14"/>
              </w:rPr>
              <w:t>Revisión técnica de código + instalación / entorno real</w:t>
            </w:r>
          </w:p>
        </w:tc>
      </w:tr>
      <w:tr>
        <w:tc>
          <w:tcPr>
            <w:tcW w:type="dxa" w:w="964"/>
            <w:vAlign w:val="center"/>
          </w:tcPr>
          <w:p>
            <w:pPr>
              <w:spacing w:after="20" w:before="20"/>
            </w:pPr>
            <w:r>
              <w:rPr>
                <w:sz w:val="14"/>
              </w:rPr>
              <w:t>RNF-13</w:t>
            </w:r>
          </w:p>
        </w:tc>
        <w:tc>
          <w:tcPr>
            <w:tcW w:type="dxa" w:w="5783"/>
            <w:vAlign w:val="center"/>
          </w:tcPr>
          <w:p>
            <w:pPr>
              <w:spacing w:after="20" w:before="20"/>
            </w:pPr>
            <w:r>
              <w:rPr>
                <w:sz w:val="14"/>
              </w:rPr>
              <w:t>La aplicación deberá mantener su interfaz y procesamiento de consultas orientados al idioma español, incluyendo normalización de texto y procesamiento lingüístico utilizado por el asistente.</w:t>
            </w:r>
          </w:p>
        </w:tc>
        <w:tc>
          <w:tcPr>
            <w:tcW w:type="dxa" w:w="2835"/>
            <w:vAlign w:val="center"/>
          </w:tcPr>
          <w:p>
            <w:pPr>
              <w:spacing w:after="20" w:before="20"/>
            </w:pPr>
            <w:r>
              <w:rPr>
                <w:sz w:val="14"/>
              </w:rPr>
              <w:t>Revisión técnica de código + instalación / entorno real</w:t>
            </w:r>
          </w:p>
        </w:tc>
      </w:tr>
      <w:tr>
        <w:tc>
          <w:tcPr>
            <w:tcW w:type="dxa" w:w="964"/>
            <w:vAlign w:val="center"/>
          </w:tcPr>
          <w:p>
            <w:pPr>
              <w:spacing w:after="20" w:before="20"/>
            </w:pPr>
            <w:r>
              <w:rPr>
                <w:sz w:val="14"/>
              </w:rPr>
              <w:t>RNF-14</w:t>
            </w:r>
          </w:p>
        </w:tc>
        <w:tc>
          <w:tcPr>
            <w:tcW w:type="dxa" w:w="5783"/>
            <w:vAlign w:val="center"/>
          </w:tcPr>
          <w:p>
            <w:pPr>
              <w:spacing w:after="20" w:before="20"/>
            </w:pPr>
            <w:r>
              <w:rPr>
                <w:sz w:val="14"/>
              </w:rPr>
              <w:t>Las dependencias principales del proyecto deberán mantenerse controladas mediante el archivo requirements.txt, donde se especifican las versiones utilizadas de Flask, MySQL Connector, spaCy, scikit-learn, pandas, joblib y demás librerías del proyecto.</w:t>
            </w:r>
          </w:p>
        </w:tc>
        <w:tc>
          <w:tcPr>
            <w:tcW w:type="dxa" w:w="2835"/>
            <w:vAlign w:val="center"/>
          </w:tcPr>
          <w:p>
            <w:pPr>
              <w:spacing w:after="20" w:before="20"/>
            </w:pPr>
            <w:r>
              <w:rPr>
                <w:sz w:val="14"/>
              </w:rPr>
              <w:t>Revisión técnica de código + instalación / entorno real</w:t>
            </w:r>
          </w:p>
        </w:tc>
      </w:tr>
    </w:tbl>
    <w:p>
      <w:pPr>
        <w:pStyle w:val="Heading1"/>
      </w:pPr>
      <w:r>
        <w:t>7. Criterio de cálculo del cumplimiento</w:t>
      </w:r>
    </w:p>
    <w:p>
      <w:r>
        <w:t>Cumplimiento funcional (%) = (número de requisitos funcionales del alcance aprobado verificados satisfactoriamente / número total de requisitos funcionales del alcance aprobado) × 100. Si los 62 RF constituyen el alcance aprobado, el denominador será 62; si el docente aprueba un alcance distinto, primero debe documentarse la equivalencia. Actualmente el numerador no está acreditado y no se asigna porcentaje.</w:t>
      </w:r>
    </w:p>
    <w:p>
      <w:r>
        <w:t>Registrar por caso: ID, fecha/hora de ejecución, versión/commit, usuario que probó, entorno, entradas, esperado, resultado observado, captura, incidencia y estado. No es válido usar las 30 pruebas aprobadas como equivalente automático de «62/62 RF».</w:t>
      </w:r>
    </w:p>
    <w:p>
      <w:pPr>
        <w:pStyle w:val="Heading1"/>
      </w:pPr>
      <w:r>
        <w:t>8. Próximos pasos para completar T2</w:t>
      </w:r>
    </w:p>
    <w:p>
      <w:pPr>
        <w:pStyle w:val="ListBullet"/>
      </w:pPr>
      <w:r>
        <w:t>Ejecutar los 13 casos ST-01 a ST-13 con las dependencias instaladas y conservar la salida de Pytest.</w:t>
      </w:r>
    </w:p>
    <w:p>
      <w:pPr>
        <w:pStyle w:val="ListBullet"/>
      </w:pPr>
      <w:r>
        <w:t>Ejecutar MF-01 a MF-16 con MySQL de pruebas y capturas por subsistema, sin exponer credenciales.</w:t>
      </w:r>
    </w:p>
    <w:p>
      <w:pPr>
        <w:pStyle w:val="ListBullet"/>
      </w:pPr>
      <w:r>
        <w:t>Rellenar el resultado de cada requisito RF-01 a RF-62; vincular incidencias y correcciones verificadas.</w:t>
      </w:r>
    </w:p>
    <w:p>
      <w:pPr>
        <w:pStyle w:val="ListBullet"/>
      </w:pPr>
      <w:r>
        <w:t>Documentar el cumplimiento de los requisitos no funcionales y las limitaciones de seguridad/productividad.</w:t>
      </w:r>
    </w:p>
    <w:p>
      <w:pPr>
        <w:pStyle w:val="ListBullet"/>
      </w:pPr>
      <w:r>
        <w:t>Mantener pendiente la aceptación del jefe de almacén y el PRE/POS hasta su aplicación real.</w:t>
      </w:r>
    </w:p>
    <w:sectPr w:rsidR="00FC693F" w:rsidRPr="0006063C" w:rsidSect="00034616">
      <w:footerReference w:type="default" r:id="rId9"/>
      <w:pgSz w:w="11906" w:h="16838"/>
      <w:pgMar w:top="935" w:right="1049" w:bottom="822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VetAssistant IA · T2 · Evidencia técnica de verificación – No constituye acta de aceptación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color w:val="313F4A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62F4E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62F4E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62F4E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