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PRIVADA DEL NORTE</w:t>
      </w:r>
    </w:p>
    <w:p>
      <w:pPr>
        <w:jc w:val="center"/>
      </w:pPr>
      <w:r>
        <w:t>INGENIERÍA DE SISTEMAS COMPUTACIONALES</w:t>
      </w:r>
    </w:p>
    <w:p>
      <w:pPr>
        <w:pStyle w:val="Title"/>
        <w:jc w:val="center"/>
      </w:pPr>
      <w:r>
        <w:t>INFORME COMPLEMENTARIO DE AVANCE FUNCIONAL</w:t>
      </w:r>
    </w:p>
    <w:p>
      <w:pPr>
        <w:jc w:val="center"/>
      </w:pPr>
      <w:r>
        <w:rPr>
          <w:b/>
          <w:sz w:val="24"/>
        </w:rPr>
        <w:t>Evidencia técnica para el requisito de funcionalidad mínima del 85 %</w:t>
      </w:r>
    </w:p>
    <w:p>
      <w:r>
        <w:t>Proyecto: Sistema predictivo de riesgo de quiebre de stock mediante Machine Learning para empresa veterinaria.</w:t>
      </w:r>
    </w:p>
    <w:p>
      <w:r>
        <w:t>Producto software: VetAssistant IA  |  Documento base: Capstone_Project_Informe_PC08.docx (92 páginas).</w:t>
      </w:r>
    </w:p>
    <w:p>
      <w:r>
        <w:t>Fecha de actualización: 18 de octubre de 2026. Este anexo incorpora actividades implementadas sobre el ZIP original, manteniendo la estructura de 87 Story Points del Product Backlog.</w:t>
      </w:r>
    </w:p>
    <w:p>
      <w:pPr>
        <w:pStyle w:val="Heading1"/>
      </w:pPr>
      <w:r>
        <w:t>1. Objetivo y criterio de cálculo</w:t>
      </w:r>
    </w:p>
    <w:p>
      <w:r>
        <w:t>Demostrar el incremento técnico del software respecto de la entrega PC08 mediante cambios reales en el repositorio, pruebas reproducibles y trazabilidad contra el Product Backlog. No se reemplazan los resultados del modelo ni se fabrican mediciones con usuarios.</w:t>
      </w:r>
    </w:p>
    <w:p>
      <w:r>
        <w:t>Línea base PC08: 63 SP acreditados sobre 87 SP (72.4 %). Para esta actualización se mantiene el denominador de 87 SP y se añaden únicamente actividades con implementación verificable.</w:t>
      </w:r>
    </w:p>
    <w:p>
      <w:r>
        <w:br w:type="page"/>
      </w:r>
    </w:p>
    <w:p>
      <w:pPr>
        <w:pStyle w:val="Heading1"/>
      </w:pPr>
      <w:r>
        <w:t>2. Recalculo trazable del avance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2948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Componente del backlog</w:t>
            </w:r>
          </w:p>
        </w:tc>
        <w:tc>
          <w:tcPr>
            <w:tcW w:type="dxa" w:w="1020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SP previos</w:t>
            </w:r>
          </w:p>
        </w:tc>
        <w:tc>
          <w:tcPr>
            <w:tcW w:type="dxa" w:w="1247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SP nuevos</w:t>
            </w:r>
          </w:p>
        </w:tc>
        <w:tc>
          <w:tcPr>
            <w:tcW w:type="dxa" w:w="3969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Soporte verificable</w:t>
            </w:r>
          </w:p>
        </w:tc>
      </w:tr>
      <w:tr>
        <w:tc>
          <w:tcPr>
            <w:tcW w:type="dxa" w:w="294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PB05–PB12: funcionalidad predictiva ya existente</w:t>
            </w:r>
          </w:p>
        </w:tc>
        <w:tc>
          <w:tcPr>
            <w:tcW w:type="dxa" w:w="1020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1247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969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Modelo, dashboard, API REST, alertas e historial.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PB04: implementación efectiva del modelo de datos</w:t>
            </w:r>
          </w:p>
        </w:tc>
        <w:tc>
          <w:tcPr>
            <w:tcW w:type="dxa" w:w="10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DDL, validador, carga controlada y agregación de lotes; pruebas.</w:t>
            </w:r>
          </w:p>
        </w:tc>
      </w:tr>
      <w:tr>
        <w:tc>
          <w:tcPr>
            <w:tcW w:type="dxa" w:w="294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PB13: pruebas QA automatizadas</w:t>
            </w:r>
          </w:p>
        </w:tc>
        <w:tc>
          <w:tcPr>
            <w:tcW w:type="dxa" w:w="1020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26 pruebas: servicios, rutas, seguridad, esquema e inferencia.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PB13: vigilancia de calidad y variación de datos</w:t>
            </w:r>
          </w:p>
        </w:tc>
        <w:tc>
          <w:tcPr>
            <w:tcW w:type="dxa" w:w="10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Servicio de auditoría; vista web y endpoint de calidad.</w:t>
            </w:r>
          </w:p>
        </w:tc>
      </w:tr>
      <w:tr>
        <w:tc>
          <w:tcPr>
            <w:tcW w:type="dxa" w:w="294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PB13: seguridad base configurable</w:t>
            </w:r>
          </w:p>
        </w:tc>
        <w:tc>
          <w:tcPr>
            <w:tcW w:type="dxa" w:w="1020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Login de producción, CSRF, cabeceras y requerimiento TLS opcional.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PB13: UAT real y comprobación productiva</w:t>
            </w:r>
          </w:p>
        </w:tc>
        <w:tc>
          <w:tcPr>
            <w:tcW w:type="dxa" w:w="10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 (2 pendientes)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Requiere usuarios, MySQL real y servidor HTTPS.</w:t>
            </w:r>
          </w:p>
        </w:tc>
      </w:tr>
      <w:tr>
        <w:tc>
          <w:tcPr>
            <w:tcW w:type="dxa" w:w="294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PB01–PB03: análisis y diseño excluidos</w:t>
            </w:r>
          </w:p>
        </w:tc>
        <w:tc>
          <w:tcPr>
            <w:tcW w:type="dxa" w:w="1020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47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969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se suman al numerador como funcionalidad.</w:t>
            </w:r>
          </w:p>
        </w:tc>
      </w:tr>
    </w:tbl>
    <w:p>
      <w:pPr>
        <w:spacing w:after="0"/>
      </w:pPr>
    </w:p>
    <w:p>
      <w:r>
        <w:t>Cálculo: (63 + 5 + 3 + 2 + 1) ÷ 87 × 100 = 85.057 %, equivalente a 85.1 % con un decimal. La meta técnica propuesta supera el mínimo exigido del 85 % en 0.1 puntos porcentuales.</w:t>
      </w:r>
    </w:p>
    <w:p>
      <w:pPr>
        <w:pStyle w:val="SmallNote"/>
      </w:pPr>
      <w:r>
        <w:t>Observación metodológica: los 6 puntos ejecutados de PB13 corresponden a un desglose interno de su estimación original de 8 SP; quedan 2 SP de UAT/despliegue sin acreditar. El docente deberá validar la aceptación de esta distribución.</w:t>
      </w:r>
    </w:p>
    <w:p>
      <w:pPr>
        <w:pStyle w:val="Heading1"/>
      </w:pPr>
      <w:r>
        <w:t>3. Funcionalidades implementadas</w:t>
      </w:r>
    </w:p>
    <w:p>
      <w:pPr>
        <w:pStyle w:val="ListBullet"/>
      </w:pPr>
      <w:r>
        <w:t>PB04 – Esquema MySQL: scripts/database/schema.sql e init_schema.py; verificación de columnas, carga desde inventario_actual.csv solo en tablas vacías y prevención de datos de vencimiento inventados.</w:t>
      </w:r>
    </w:p>
    <w:p>
      <w:pPr>
        <w:pStyle w:val="ListBullet"/>
      </w:pPr>
      <w:r>
        <w:t>PB04 – Unificación multi-lote: el repositorio agrupa filas por producto_id y suma stock para evitar duplicados operativos al predecir.</w:t>
      </w:r>
    </w:p>
    <w:p>
      <w:pPr>
        <w:pStyle w:val="ListBullet"/>
      </w:pPr>
      <w:r>
        <w:t>PB13 – Control de calidad: /calidad-datos y /api/calidad-datos exponen cobertura de productos, valores inválidos, frescura de variables y un PSI descriptivo del stock frente al escenario de referencia.</w:t>
      </w:r>
    </w:p>
    <w:p>
      <w:pPr>
        <w:pStyle w:val="ListBullet"/>
      </w:pPr>
      <w:r>
        <w:t>PB13 – Seguridad: entorno productivo obliga credenciales configuradas; integra sesiones, protección CSRF y cabeceras, con soporte configurable para HTTPS detrás de un proxy.</w:t>
      </w:r>
    </w:p>
    <w:p>
      <w:pPr>
        <w:pStyle w:val="ListBullet"/>
      </w:pPr>
      <w:r>
        <w:t>PB13 – Pruebas: carpeta tests/ y evidencias de ejecución; se verifica el modelo serializado usando el CSV de inventario sin reentrenamiento.</w:t>
      </w:r>
    </w:p>
    <w:p>
      <w:pPr>
        <w:pStyle w:val="Heading1"/>
      </w:pPr>
      <w:r>
        <w:t>4. Resultados verificables de la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835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2608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742"/>
            <w:vAlign w:val="center"/>
            <w:shd w:fill="145763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2835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Pruebas unitarias e integración simulada</w:t>
            </w:r>
          </w:p>
        </w:tc>
        <w:tc>
          <w:tcPr>
            <w:tcW w:type="dxa" w:w="260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26/26 aprobadas</w:t>
            </w:r>
          </w:p>
        </w:tc>
        <w:tc>
          <w:tcPr>
            <w:tcW w:type="dxa" w:w="3742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Ejecución automatizada local; MySQL simulada.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Productos evaluados desde CSV adjunto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Inventario CSV incluido en el ZIP.</w:t>
            </w:r>
          </w:p>
        </w:tc>
      </w:tr>
      <w:tr>
        <w:tc>
          <w:tcPr>
            <w:tcW w:type="dxa" w:w="2835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Modelo guardado</w:t>
            </w:r>
          </w:p>
        </w:tc>
        <w:tc>
          <w:tcPr>
            <w:tcW w:type="dxa" w:w="260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Recall 81.48 %; F1 79.18 %</w:t>
            </w:r>
          </w:p>
        </w:tc>
        <w:tc>
          <w:tcPr>
            <w:tcW w:type="dxa" w:w="3742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Métricas del artefacto existente, no reentrenadas.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Control de datos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REVISAR; 38 días desde corte</w:t>
            </w:r>
          </w:p>
        </w:tc>
        <w:tc>
          <w:tcPr>
            <w:tcW w:type="dxa" w:w="374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Corte: 10/09/2026; ejecución: 18/10/2026.</w:t>
            </w:r>
          </w:p>
        </w:tc>
      </w:tr>
      <w:tr>
        <w:tc>
          <w:tcPr>
            <w:tcW w:type="dxa" w:w="2835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Riesgos con inventario CSV</w:t>
            </w:r>
          </w:p>
        </w:tc>
        <w:tc>
          <w:tcPr>
            <w:tcW w:type="dxa" w:w="2608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ALTO 309, MEDIO 70, BAJO 121</w:t>
            </w:r>
          </w:p>
        </w:tc>
        <w:tc>
          <w:tcPr>
            <w:tcW w:type="dxa" w:w="3742"/>
            <w:vAlign w:val="center"/>
            <w:shd w:fill="F1F6F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se equiparan al escenario MySQL del informe PC08.</w:t>
            </w:r>
          </w:p>
        </w:tc>
      </w:tr>
    </w:tbl>
    <w:p>
      <w:pPr>
        <w:spacing w:after="0"/>
      </w:pPr>
    </w:p>
    <w:p>
      <w:r>
        <w:t>Salida de prueba automatizada: 26 passed in 7.98s. El resultado se reproduce mediante «python -m pytest -q tests». El registro completo queda en evidencias/pruebas_automatizadas.txt dentro del proyecto ZIP.</w:t>
      </w:r>
    </w:p>
    <w:p>
      <w:pPr>
        <w:pStyle w:val="Heading1"/>
      </w:pPr>
      <w:r>
        <w:t>5. Limitaciones y actividades pendientes</w:t>
      </w:r>
    </w:p>
    <w:p>
      <w:pPr>
        <w:pStyle w:val="ListBullet"/>
      </w:pPr>
      <w:r>
        <w:t>La MySQL de la empresa no está disponible en este entorno: los scripts SQL se han probado con dobles de prueba, no sobre el servidor operativo del proyecto.</w:t>
      </w:r>
    </w:p>
    <w:p>
      <w:pPr>
        <w:pStyle w:val="ListBullet"/>
      </w:pPr>
      <w:r>
        <w:t>Faltan actas de UAT con usuarios, validaciones reales PRE/POS y verificación del despliegue HTTPS con certificados e infraestructura administrada.</w:t>
      </w:r>
    </w:p>
    <w:p>
      <w:pPr>
        <w:pStyle w:val="ListBullet"/>
      </w:pPr>
      <w:r>
        <w:t>Existe una diferencia entre 1,039,500 filas del CSV histórico y 1,021,500 filas modeladas; se mantiene expresamente sin modificar el modelo ni sus métricas.</w:t>
      </w:r>
    </w:p>
    <w:p>
      <w:pPr>
        <w:pStyle w:val="ListBullet"/>
      </w:pPr>
      <w:r>
        <w:t>Los datos del CSV offline producen 309/70/121 productos por nivel, mientras la versión PC08 mostraba 95/44/361 con otro escenario. Corresponde conciliar inventario real, fecha y fuentes antes de sustituir resultados.</w:t>
      </w:r>
    </w:p>
    <w:p>
      <w:pPr>
        <w:pStyle w:val="ListBullet"/>
      </w:pPr>
      <w:r>
        <w:t>El PSI describe variación de stock respecto del conjunto de referencia; no demuestra precisión del modelo en producción ni que haya disminuido la tasa real de quiebres.</w:t>
      </w:r>
    </w:p>
    <w:p>
      <w:pPr>
        <w:pStyle w:val="Heading1"/>
      </w:pPr>
      <w:r>
        <w:t>6. Conclusión para la sustentación</w:t>
      </w:r>
    </w:p>
    <w:p>
      <w:r>
        <w:t>Con la misma base de 87 Story Points de PC08, la versión actual aporta implementación verificable adicional de base de datos, 26 pruebas automatizadas, monitoreo de calidad de datos y seguridad configurable. El avance funcional técnico propuesto asciende a 74/87 SP = 85.1 %, por encima de la meta del 85 %.</w:t>
      </w:r>
    </w:p>
    <w:p>
      <w:r>
        <w:t>El cálculo es una acreditación técnica propuesta, no una declaración de producción terminada. Se mantienen sin acreditar dos puntos de aceptación real de usuarios y despliegue, cuya ejecución corresponde a las siguientes actividades del curso.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46" w:bottom="1304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VetAssistant IA  |  Actualización funcional de la entrega PC08  |  18/10/2026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FACULTAD DE INGENIERÍA  ·  CAPSTONE PROJECT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2B36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495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49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030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7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