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Lavandería Taulat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hyperlink w:anchor="gjdgxs">
        <w:r w:rsidDel="00000000" w:rsidR="00000000" w:rsidRPr="00000000">
          <w:rPr>
            <w:color w:val="000000"/>
            <w:rtl w:val="0"/>
          </w:rPr>
          <w:t xml:space="preserve">Inicio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00"/>
            <w:rtl w:val="0"/>
          </w:rPr>
          <w:t xml:space="preserve"> Contáctanos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00"/>
            <w:rtl w:val="0"/>
          </w:rPr>
          <w:t xml:space="preserve"> Servicios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00"/>
            <w:rtl w:val="0"/>
          </w:rPr>
          <w:t xml:space="preserve"> ¿Quiénes somos?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Lavandería Taulat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Dosis" w:cs="Dosis" w:eastAsia="Dosis" w:hAnsi="Dosis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