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2655"/>
        <w:gridCol w:w="6915"/>
        <w:tblGridChange w:id="0">
          <w:tblGrid>
            <w:gridCol w:w="2655"/>
            <w:gridCol w:w="69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Objectius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què és el “perfil professional del cicle”.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les “ocupacions/feines” que es poden exercir amb la titulació del cicle.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la “competència general del títol”.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Tenir clar quines són “les competències professionals, personals i socials” i les diferències entre professionals i les personals /socials.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Relacionar les competències del perfil amb els “moduls professionals” del cicle.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les “capacitats clau” i relacionar-les amb situacions pròpies de l’àmbit professional.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Omple les següents taules amb la informació que t’ha facilitat el tutor/a i el que trobaràs en l’enllaç a l’xtec que correspon al teu cicle formatiu. (curriculum xtec → orientacions). Mira el Decret i el Real Decret a on està la informació.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2655"/>
        <w:gridCol w:w="6915"/>
        <w:tblGridChange w:id="0">
          <w:tblGrid>
            <w:gridCol w:w="2655"/>
            <w:gridCol w:w="69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Identificació del títol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Sistemes Microinformàtics i Xarxes (SMX)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Família Professional: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Informàtica i comunicacions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Durada: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2.000 h.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Competència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competència general d’aquest títol consisteix a instal·lar, configurar i mantenir sistemes microinformàtics, aïllats o en xarxa, així com xarxes locals en petits entorns, assegurant-ne la funcionalitat i aplicant els protocols de qualitat, seguretat i respecte al medi ambient establerts.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 dins l’article del decret que parla de les capacitats clau i explica què vol dir aquest concepte. Enumera les capacitats clau que surtin en el decret i posa un exemple concret de com a mínim a 3 d’elles.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Capacitats clau</w:t>
            </w:r>
          </w:p>
        </w:tc>
      </w:tr>
      <w:tr>
        <w:trPr>
          <w:cantSplit w:val="0"/>
          <w:trHeight w:val="5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Són les capacitats transversals que afecten diferents llocs de treball i que són transferibles a noves situacions de treball. Entre aquestes capacitats destaquen les d’autonomia, d’innovació, d’organització del treball, de responsabilitat, de relació interpersonal, de treball en equip i de resolució de problemes.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L’equip docent ha de potenciar l’adquisició de les competències professionals, personals i socials i de les capacitats clau a partir de les activitats programades per desplegar el currículum d’aquest cicle formatiu.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Omple la següent taula amb la relació dels mòduls professionals del cicle. Indica el número de mòdul, nom del mòdul i les hores total del mòdul (no cal posar les UFs de cada Mòdul)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8130"/>
        <w:gridCol w:w="1500"/>
        <w:tblGridChange w:id="0">
          <w:tblGrid>
            <w:gridCol w:w="813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Mòduls Professionals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Hores de durada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MP1. Muntatge i manteniment d’equips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MP2. Sistemes operatius monolloc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MP3. Aplicacions ofimàtiques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MP4. Sistemes operatius en xarxa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MP5. Xarxes locals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MP6. Seguretat informàtica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MP7. Serveis de xarxa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MP8. Aplicacions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MP9. Formació i orientació laboral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MP10. Empresa i iniciativa emprenedora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MP11. Anglès tècnic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MP12. Síntesi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297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MP13. Formació en centres de treball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383</w:t>
            </w:r>
          </w:p>
        </w:tc>
      </w:tr>
    </w:tbl>
    <w:p w:rsidR="00000000" w:rsidDel="00000000" w:rsidP="00000000" w:rsidRDefault="00000000" w:rsidRPr="00000000" w14:paraId="00000050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SORTIDES LABORALS</w:t>
      </w:r>
    </w:p>
    <w:p w:rsidR="00000000" w:rsidDel="00000000" w:rsidP="00000000" w:rsidRDefault="00000000" w:rsidRPr="00000000" w14:paraId="00000054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Amb el títol que obtindràs, quina feina podràs fer (ocupacions o llocs de treball)? (mín. 3 exemples)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Tècnic instal·lador-reparador d'equips informàtics.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Tècnic de suport informàtic.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Tècnic de xarxes de dades.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Reparador de perifèrics de sistemes microinformàtics.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Comercial de microinformàtica.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Operador de teleassistència.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Operador de sistemes.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Concreta com a mínim 3 exemples d’empreses referents a les 3 ocupacions o llocs de treball citats anteriorment.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Tècnic de xarxes de dades.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Vodafone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Movistar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  Tècnic de suport informàtic.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6E">
            <w:pPr>
              <w:ind w:left="0" w:firstLine="0"/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Tècnic instal·lador-reparador d'equips informàtics.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MediaMarkt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color w:val="33333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CashConverters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Digues quines característiques personals (competències) calen per dur a terme aquestes feines: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Competències personals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la seva carrera professional, analitzant les oportunitats d’ocupació, autoocupació i aprenentatge.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Resoldre problemes i prendre decisions individuals seguint les normes i procediments establerts definits dintre de l’àmbit de la seva competència.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Digues quines característiques professionals (competències) calen per dur a terme aquestes feines:</w:t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Competències professionals</w:t>
            </w:r>
          </w:p>
        </w:tc>
      </w:tr>
      <w:tr>
        <w:trPr>
          <w:cantSplit w:val="0"/>
          <w:trHeight w:val="5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Muntar i configurar ordinadors i perifèrics, assegurant-ne el funcionament en condicions de qualitat i seguretat.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documentació tècnica i administrativa del sistema, complint les normes i reglamentació del sector, per al seu manteniment i l’assistència al client.</w:t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i gestionar una petita empresa, realitzant un estudi de viabilitat de productes, planificació de la producció i comercialització.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Adaptar-se a diferents llocs de treball i noves situacions laborals originats per canvis tecnològics i organitzatius en els processos productius.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Sawasdee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ab/>
      <w:t xml:space="preserve">Pàgina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" w:before="57" w:line="240" w:lineRule="auto"/>
      <w:ind w:left="0" w:right="0" w:firstLine="0"/>
      <w:jc w:val="left"/>
      <w:rPr>
        <w:rFonts w:ascii="Sawasdee" w:cs="Sawasdee" w:eastAsia="Sawasdee" w:hAnsi="Sawasde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24.0" w:type="dxa"/>
      <w:jc w:val="left"/>
      <w:tblInd w:w="0.0" w:type="dxa"/>
      <w:tblLayout w:type="fixed"/>
      <w:tblLook w:val="0400"/>
    </w:tblPr>
    <w:tblGrid>
      <w:gridCol w:w="3849"/>
      <w:gridCol w:w="3375"/>
      <w:gridCol w:w="2400"/>
      <w:tblGridChange w:id="0">
        <w:tblGrid>
          <w:gridCol w:w="3849"/>
          <w:gridCol w:w="3375"/>
          <w:gridCol w:w="2400"/>
        </w:tblGrid>
      </w:tblGridChange>
    </w:tblGrid>
    <w:tr>
      <w:trPr>
        <w:cantSplit w:val="0"/>
        <w:trHeight w:val="585" w:hRule="atLeast"/>
        <w:tblHeader w:val="0"/>
      </w:trPr>
      <w:tc>
        <w:tcPr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</w:tcPr>
        <w:p w:rsidR="00000000" w:rsidDel="00000000" w:rsidP="00000000" w:rsidRDefault="00000000" w:rsidRPr="00000000" w14:paraId="00000092">
          <w:pPr>
            <w:widowControl w:val="1"/>
            <w:ind w:left="634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Generalitat de Catalunya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</wp:posOffset>
                </wp:positionH>
                <wp:positionV relativeFrom="paragraph">
                  <wp:posOffset>0</wp:posOffset>
                </wp:positionV>
                <wp:extent cx="359410" cy="41148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3">
          <w:pPr>
            <w:widowControl w:val="1"/>
            <w:ind w:left="634" w:firstLine="0"/>
            <w:jc w:val="both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Departament d’Educació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1"/>
            <w:spacing w:after="119" w:lineRule="auto"/>
            <w:ind w:left="634" w:firstLine="0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Institut Sa Palomera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95">
          <w:pPr>
            <w:widowControl w:val="1"/>
            <w:jc w:val="center"/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mc:AlternateContent>
              <mc:Choice Requires="wpg">
                <w:drawing>
                  <wp:inline distB="0" distT="0" distL="114300" distR="114300">
                    <wp:extent cx="640397" cy="599937"/>
                    <wp:effectExtent b="0" l="0" r="0" t="0"/>
                    <wp:docPr id="4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cap="flat" cmpd="sng" w="25400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1B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114300" distR="114300">
                    <wp:extent cx="640397" cy="599937"/>
                    <wp:effectExtent b="0" l="0" r="0" t="0"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0397" cy="5999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1"/>
            <w:jc w:val="center"/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PERFIL PROFESSIONAL </w:t>
          </w:r>
        </w:p>
        <w:p w:rsidR="00000000" w:rsidDel="00000000" w:rsidP="00000000" w:rsidRDefault="00000000" w:rsidRPr="00000000" w14:paraId="00000097">
          <w:pPr>
            <w:widowControl w:val="1"/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DEL TÍTOL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808080" w:space="0" w:sz="6" w:val="single"/>
          </w:tcBorders>
          <w:tcMar>
            <w:top w:w="57.0" w:type="dxa"/>
            <w:left w:w="57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98">
          <w:pPr>
            <w:widowControl w:val="1"/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114300" distR="114300">
                <wp:extent cx="1192465" cy="384428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35" w:hRule="atLeast"/>
        <w:tblHeader w:val="0"/>
      </w:trPr>
      <w:tc>
        <w:tcPr>
          <w:tcBorders>
            <w:top w:color="000000" w:space="0" w:sz="0" w:val="nil"/>
            <w:left w:color="808080" w:space="0" w:sz="6" w:val="single"/>
            <w:bottom w:color="808080" w:space="0" w:sz="6" w:val="single"/>
            <w:right w:color="000000" w:space="0" w:sz="0" w:val="nil"/>
          </w:tcBorders>
          <w:shd w:fill="6d9eeb" w:val="clear"/>
          <w:tcMar>
            <w:top w:w="0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99">
          <w:pPr>
            <w:widowControl w:val="1"/>
            <w:spacing w:after="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FASE 1</w:t>
          </w:r>
        </w:p>
        <w:p w:rsidR="00000000" w:rsidDel="00000000" w:rsidP="00000000" w:rsidRDefault="00000000" w:rsidRPr="00000000" w14:paraId="0000009A">
          <w:pPr>
            <w:widowControl w:val="1"/>
            <w:spacing w:after="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ÀMBITS DE CONEIXEMENT DEL </w:t>
          </w:r>
        </w:p>
        <w:p w:rsidR="00000000" w:rsidDel="00000000" w:rsidP="00000000" w:rsidRDefault="00000000" w:rsidRPr="00000000" w14:paraId="0000009B">
          <w:pPr>
            <w:widowControl w:val="1"/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CICLE FORMATIU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808080" w:space="0" w:sz="6" w:val="single"/>
            <w:bottom w:color="808080" w:space="0" w:sz="6" w:val="single"/>
            <w:right w:color="808080" w:space="0" w:sz="6" w:val="single"/>
          </w:tcBorders>
          <w:tcMar>
            <w:top w:w="0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9D">
          <w:pPr>
            <w:widowControl w:val="1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INFORME PERSONAL D’ORIENTACIÓ </w:t>
          </w:r>
        </w:p>
        <w:p w:rsidR="00000000" w:rsidDel="00000000" w:rsidP="00000000" w:rsidRDefault="00000000" w:rsidRPr="00000000" w14:paraId="0000009E">
          <w:pPr>
            <w:widowControl w:val="1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PROFESSIONAL (IPOP)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Gf8YTthMEcwwtCnM1AYRux+nQ==">AMUW2mXCbpepypwBW6jbWgUbLZM2oSfnyabRB2mOcOQjvgqLwBGhnXiYceVSt6RWFFCfnox3B3buEyULezIYsrhKTPl2/YzGCHWORwJrS861Jb/0TWaHuUXo07IUng1VfO8rgcWt6geNVJQ3xm8R4iMQYzPDD4Lg0HBIGgALbWSAA8SjlUGfIRY=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