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Working Article Structure</w:t>
      </w:r>
    </w:p>
    <w:p>
      <w:pPr>
        <w:jc w:val="center"/>
      </w:pPr>
      <w:r>
        <w:rPr>
          <w:rFonts w:ascii="Arial" w:hAnsi="Arial"/>
          <w:b/>
          <w:i w:val="0"/>
          <w:sz w:val="24"/>
        </w:rPr>
        <w:t>Knowledge-Based Systems target manuscript</w:t>
      </w:r>
    </w:p>
    <w:p/>
    <w:p>
      <w:pPr>
        <w:jc w:val="center"/>
      </w:pPr>
      <w:r>
        <w:rPr>
          <w:rFonts w:ascii="Arial" w:hAnsi="Arial"/>
          <w:b/>
          <w:i w:val="0"/>
          <w:sz w:val="21"/>
        </w:rPr>
        <w:t>KBS_ARTICLE_WORKING_STRUCTURE_V01</w:t>
      </w:r>
    </w:p>
    <w:p>
      <w:pPr>
        <w:jc w:val="center"/>
      </w:pPr>
      <w:r>
        <w:rPr>
          <w:rFonts w:ascii="Arial" w:hAnsi="Arial"/>
          <w:b w:val="0"/>
          <w:i/>
          <w:sz w:val="21"/>
        </w:rPr>
        <w:t>Cumulative editable base for subsequent manuscript versions</w:t>
      </w:r>
    </w:p>
    <w:p/>
    <w:tbl>
      <w:tblPr>
        <w:tblStyle w:val="TableGrid"/>
        <w:tblW w:type="auto" w:w="0"/>
        <w:jc w:val="center"/>
        <w:tblLook w:firstColumn="1" w:firstRow="1" w:lastColumn="0" w:lastRow="0" w:noHBand="0" w:noVBand="1" w:val="04A0"/>
      </w:tblPr>
      <w:tblGrid>
        <w:gridCol w:w="4703"/>
        <w:gridCol w:w="4703"/>
      </w:tblGrid>
      <w:tr>
        <w:tc>
          <w:tcPr>
            <w:tcW w:type="dxa" w:w="4703"/>
            <w:vAlign w:val="center"/>
            <w:shd w:fill="F2F2F2"/>
            <w:shd w:fill="F2F2F2"/>
          </w:tcPr>
          <w:p>
            <w:r>
              <w:rPr>
                <w:rFonts w:ascii="Arial" w:hAnsi="Arial"/>
                <w:b/>
                <w:sz w:val="19"/>
              </w:rPr>
              <w:t>Target journal</w:t>
            </w:r>
          </w:p>
        </w:tc>
        <w:tc>
          <w:tcPr>
            <w:tcW w:type="dxa" w:w="4703"/>
            <w:vAlign w:val="center"/>
          </w:tcPr>
          <w:p>
            <w:r>
              <w:rPr>
                <w:rFonts w:ascii="Arial" w:hAnsi="Arial"/>
                <w:sz w:val="19"/>
              </w:rPr>
              <w:t>Knowledge-Based Systems</w:t>
            </w:r>
          </w:p>
        </w:tc>
      </w:tr>
      <w:tr>
        <w:tc>
          <w:tcPr>
            <w:tcW w:type="dxa" w:w="4703"/>
            <w:vAlign w:val="center"/>
            <w:shd w:fill="F2F2F2"/>
            <w:shd w:fill="F2F2F2"/>
          </w:tcPr>
          <w:p>
            <w:r>
              <w:rPr>
                <w:rFonts w:ascii="Arial" w:hAnsi="Arial"/>
                <w:b/>
                <w:sz w:val="19"/>
              </w:rPr>
              <w:t>Article type</w:t>
            </w:r>
          </w:p>
        </w:tc>
        <w:tc>
          <w:tcPr>
            <w:tcW w:type="dxa" w:w="4703"/>
            <w:vAlign w:val="center"/>
          </w:tcPr>
          <w:p>
            <w:r>
              <w:rPr>
                <w:rFonts w:ascii="Arial" w:hAnsi="Arial"/>
                <w:sz w:val="19"/>
              </w:rPr>
              <w:t>Research article</w:t>
            </w:r>
          </w:p>
        </w:tc>
      </w:tr>
      <w:tr>
        <w:tc>
          <w:tcPr>
            <w:tcW w:type="dxa" w:w="4703"/>
            <w:vAlign w:val="center"/>
            <w:shd w:fill="F2F2F2"/>
            <w:shd w:fill="F2F2F2"/>
          </w:tcPr>
          <w:p>
            <w:r>
              <w:rPr>
                <w:rFonts w:ascii="Arial" w:hAnsi="Arial"/>
                <w:b/>
                <w:sz w:val="19"/>
              </w:rPr>
              <w:t>Editorial basis</w:t>
            </w:r>
          </w:p>
        </w:tc>
        <w:tc>
          <w:tcPr>
            <w:tcW w:type="dxa" w:w="4703"/>
            <w:vAlign w:val="center"/>
          </w:tcPr>
          <w:p>
            <w:r>
              <w:rPr>
                <w:rFonts w:ascii="Arial" w:hAnsi="Arial"/>
                <w:sz w:val="19"/>
              </w:rPr>
              <w:t>KBS empirical writing guide based on 34 recent Open Access articles</w:t>
            </w:r>
          </w:p>
        </w:tc>
      </w:tr>
      <w:tr>
        <w:tc>
          <w:tcPr>
            <w:tcW w:type="dxa" w:w="4703"/>
            <w:vAlign w:val="center"/>
            <w:shd w:fill="F2F2F2"/>
            <w:shd w:fill="F2F2F2"/>
          </w:tcPr>
          <w:p>
            <w:r>
              <w:rPr>
                <w:rFonts w:ascii="Arial" w:hAnsi="Arial"/>
                <w:b/>
                <w:sz w:val="19"/>
              </w:rPr>
              <w:t>Current purpose</w:t>
            </w:r>
          </w:p>
        </w:tc>
        <w:tc>
          <w:tcPr>
            <w:tcW w:type="dxa" w:w="4703"/>
            <w:vAlign w:val="center"/>
          </w:tcPr>
          <w:p>
            <w:r>
              <w:rPr>
                <w:rFonts w:ascii="Arial" w:hAnsi="Arial"/>
                <w:sz w:val="19"/>
              </w:rPr>
              <w:t>Freeze and edit the complete article structure before further section drafting</w:t>
            </w:r>
          </w:p>
        </w:tc>
      </w:tr>
      <w:tr>
        <w:tc>
          <w:tcPr>
            <w:tcW w:type="dxa" w:w="4703"/>
            <w:vAlign w:val="center"/>
            <w:shd w:fill="F2F2F2"/>
            <w:shd w:fill="F2F2F2"/>
          </w:tcPr>
          <w:p>
            <w:r>
              <w:rPr>
                <w:rFonts w:ascii="Arial" w:hAnsi="Arial"/>
                <w:b/>
                <w:sz w:val="19"/>
              </w:rPr>
              <w:t>Scientific prose status</w:t>
            </w:r>
          </w:p>
        </w:tc>
        <w:tc>
          <w:tcPr>
            <w:tcW w:type="dxa" w:w="4703"/>
            <w:vAlign w:val="center"/>
          </w:tcPr>
          <w:p>
            <w:r>
              <w:rPr>
                <w:rFonts w:ascii="Arial" w:hAnsi="Arial"/>
                <w:sz w:val="19"/>
              </w:rPr>
              <w:t>No manuscript prose is approved by this structure file</w:t>
            </w:r>
          </w:p>
        </w:tc>
      </w:tr>
      <w:tr>
        <w:tc>
          <w:tcPr>
            <w:tcW w:type="dxa" w:w="4703"/>
            <w:vAlign w:val="center"/>
            <w:shd w:fill="F2F2F2"/>
            <w:shd w:fill="F2F2F2"/>
          </w:tcPr>
          <w:p>
            <w:r>
              <w:rPr>
                <w:rFonts w:ascii="Arial" w:hAnsi="Arial"/>
                <w:b/>
                <w:sz w:val="19"/>
              </w:rPr>
              <w:t>Version policy</w:t>
            </w:r>
          </w:p>
        </w:tc>
        <w:tc>
          <w:tcPr>
            <w:tcW w:type="dxa" w:w="4703"/>
            <w:vAlign w:val="center"/>
          </w:tcPr>
          <w:p>
            <w:r>
              <w:rPr>
                <w:rFonts w:ascii="Arial" w:hAnsi="Arial"/>
                <w:sz w:val="19"/>
              </w:rPr>
              <w:t>Future deliveries must preserve and progressively complete this cumulative structure</w:t>
            </w:r>
          </w:p>
        </w:tc>
      </w:tr>
    </w:tbl>
    <w:p/>
    <w:p>
      <w:pPr>
        <w:pStyle w:val="DraftingNote"/>
      </w:pPr>
      <w:r>
        <w:t>Editorial control: this file is a structural working base, not a completed manuscript. Gray italic notes are drafting instructions and must be removed from the submission version.</w:t>
      </w:r>
    </w:p>
    <w:p>
      <w:pPr>
        <w:pStyle w:val="DraftingNote"/>
      </w:pPr>
      <w:r>
        <w:t>Key structural principle: the reader first encounters the scientific problem and positioning, then the general decision-support architecture, and only afterwards the specific experimental instantiation. The experimental testbed must not define the conceptual scope of the architecture.</w:t>
      </w:r>
    </w:p>
    <w:p>
      <w:r>
        <w:br w:type="page"/>
      </w:r>
    </w:p>
    <w:p>
      <w:pPr>
        <w:pStyle w:val="Heading1"/>
      </w:pPr>
      <w:r>
        <w:t>Structure at a glance</w:t>
      </w:r>
    </w:p>
    <w:tbl>
      <w:tblPr>
        <w:tblStyle w:val="TableGrid"/>
        <w:tblW w:type="auto" w:w="0"/>
        <w:jc w:val="center"/>
        <w:tblLook w:firstColumn="1" w:firstRow="1" w:lastColumn="0" w:lastRow="0" w:noHBand="0" w:noVBand="1" w:val="04A0"/>
      </w:tblPr>
      <w:tblGrid>
        <w:gridCol w:w="4703"/>
        <w:gridCol w:w="4703"/>
      </w:tblGrid>
      <w:tr>
        <w:tc>
          <w:tcPr>
            <w:tcW w:type="dxa" w:w="4703"/>
            <w:shd w:fill="EDEDED"/>
          </w:tcPr>
          <w:p>
            <w:r>
              <w:rPr>
                <w:rFonts w:ascii="Arial" w:hAnsi="Arial"/>
                <w:b/>
                <w:sz w:val="19"/>
              </w:rPr>
              <w:t>Section</w:t>
            </w:r>
          </w:p>
        </w:tc>
        <w:tc>
          <w:tcPr>
            <w:tcW w:type="dxa" w:w="4703"/>
            <w:shd w:fill="EDEDED"/>
          </w:tcPr>
          <w:p>
            <w:r>
              <w:rPr>
                <w:rFonts w:ascii="Arial" w:hAnsi="Arial"/>
                <w:b/>
                <w:sz w:val="19"/>
              </w:rPr>
              <w:t>Primary function</w:t>
            </w:r>
          </w:p>
        </w:tc>
      </w:tr>
      <w:tr>
        <w:tc>
          <w:tcPr>
            <w:tcW w:type="dxa" w:w="4703"/>
          </w:tcPr>
          <w:p>
            <w:r>
              <w:rPr>
                <w:rFonts w:ascii="Arial" w:hAnsi="Arial"/>
                <w:sz w:val="18"/>
              </w:rPr>
              <w:t>Front matter</w:t>
            </w:r>
          </w:p>
        </w:tc>
        <w:tc>
          <w:tcPr>
            <w:tcW w:type="dxa" w:w="4703"/>
          </w:tcPr>
          <w:p>
            <w:r>
              <w:rPr>
                <w:rFonts w:ascii="Arial" w:hAnsi="Arial"/>
                <w:sz w:val="18"/>
              </w:rPr>
              <w:t>Title; Abstract; Keywords</w:t>
            </w:r>
          </w:p>
        </w:tc>
      </w:tr>
      <w:tr>
        <w:tc>
          <w:tcPr>
            <w:tcW w:type="dxa" w:w="4703"/>
          </w:tcPr>
          <w:p>
            <w:r>
              <w:rPr>
                <w:rFonts w:ascii="Arial" w:hAnsi="Arial"/>
                <w:sz w:val="18"/>
              </w:rPr>
              <w:t>1. Introduction</w:t>
            </w:r>
          </w:p>
        </w:tc>
        <w:tc>
          <w:tcPr>
            <w:tcW w:type="dxa" w:w="4703"/>
          </w:tcPr>
          <w:p>
            <w:r>
              <w:rPr>
                <w:rFonts w:ascii="Arial" w:hAnsi="Arial"/>
                <w:sz w:val="18"/>
              </w:rPr>
              <w:t>Problem → limitation → proposal → contribution → evaluation context → RQs → roadmap</w:t>
            </w:r>
          </w:p>
        </w:tc>
      </w:tr>
      <w:tr>
        <w:tc>
          <w:tcPr>
            <w:tcW w:type="dxa" w:w="4703"/>
          </w:tcPr>
          <w:p>
            <w:r>
              <w:rPr>
                <w:rFonts w:ascii="Arial" w:hAnsi="Arial"/>
                <w:sz w:val="18"/>
              </w:rPr>
              <w:t>2. Related work</w:t>
            </w:r>
          </w:p>
        </w:tc>
        <w:tc>
          <w:tcPr>
            <w:tcW w:type="dxa" w:w="4703"/>
          </w:tcPr>
          <w:p>
            <w:r>
              <w:rPr>
                <w:rFonts w:ascii="Arial" w:hAnsi="Arial"/>
                <w:sz w:val="18"/>
              </w:rPr>
              <w:t>Prior approaches organized by function, ending in explicit positioning</w:t>
            </w:r>
          </w:p>
        </w:tc>
      </w:tr>
      <w:tr>
        <w:tc>
          <w:tcPr>
            <w:tcW w:type="dxa" w:w="4703"/>
          </w:tcPr>
          <w:p>
            <w:r>
              <w:rPr>
                <w:rFonts w:ascii="Arial" w:hAnsi="Arial"/>
                <w:sz w:val="18"/>
              </w:rPr>
              <w:t>3. Decision-support architecture</w:t>
            </w:r>
          </w:p>
        </w:tc>
        <w:tc>
          <w:tcPr>
            <w:tcW w:type="dxa" w:w="4703"/>
          </w:tcPr>
          <w:p>
            <w:r>
              <w:rPr>
                <w:rFonts w:ascii="Arial" w:hAnsi="Arial"/>
                <w:sz w:val="18"/>
              </w:rPr>
              <w:t>General architecture and information flow, without opening from the experimental testbed</w:t>
            </w:r>
          </w:p>
        </w:tc>
      </w:tr>
      <w:tr>
        <w:tc>
          <w:tcPr>
            <w:tcW w:type="dxa" w:w="4703"/>
          </w:tcPr>
          <w:p>
            <w:r>
              <w:rPr>
                <w:rFonts w:ascii="Arial" w:hAnsi="Arial"/>
                <w:sz w:val="18"/>
              </w:rPr>
              <w:t>4. Experimental design</w:t>
            </w:r>
          </w:p>
        </w:tc>
        <w:tc>
          <w:tcPr>
            <w:tcW w:type="dxa" w:w="4703"/>
          </w:tcPr>
          <w:p>
            <w:r>
              <w:rPr>
                <w:rFonts w:ascii="Arial" w:hAnsi="Arial"/>
                <w:sz w:val="18"/>
              </w:rPr>
              <w:t>Specific empirical instantiation, datasets, corpus, partitioning, configuration, evaluation and reproducibility</w:t>
            </w:r>
          </w:p>
        </w:tc>
      </w:tr>
      <w:tr>
        <w:tc>
          <w:tcPr>
            <w:tcW w:type="dxa" w:w="4703"/>
          </w:tcPr>
          <w:p>
            <w:r>
              <w:rPr>
                <w:rFonts w:ascii="Arial" w:hAnsi="Arial"/>
                <w:sz w:val="18"/>
              </w:rPr>
              <w:t>5. Results</w:t>
            </w:r>
          </w:p>
        </w:tc>
        <w:tc>
          <w:tcPr>
            <w:tcW w:type="dxa" w:w="4703"/>
          </w:tcPr>
          <w:p>
            <w:r>
              <w:rPr>
                <w:rFonts w:ascii="Arial" w:hAnsi="Arial"/>
                <w:sz w:val="18"/>
              </w:rPr>
              <w:t>Results organized by function and research question</w:t>
            </w:r>
          </w:p>
        </w:tc>
      </w:tr>
      <w:tr>
        <w:tc>
          <w:tcPr>
            <w:tcW w:type="dxa" w:w="4703"/>
          </w:tcPr>
          <w:p>
            <w:r>
              <w:rPr>
                <w:rFonts w:ascii="Arial" w:hAnsi="Arial"/>
                <w:sz w:val="18"/>
              </w:rPr>
              <w:t>6. Discussion</w:t>
            </w:r>
          </w:p>
        </w:tc>
        <w:tc>
          <w:tcPr>
            <w:tcW w:type="dxa" w:w="4703"/>
          </w:tcPr>
          <w:p>
            <w:r>
              <w:rPr>
                <w:rFonts w:ascii="Arial" w:hAnsi="Arial"/>
                <w:sz w:val="18"/>
              </w:rPr>
              <w:t>Interpretation, comparison, implications, transfer conditions and limitations</w:t>
            </w:r>
          </w:p>
        </w:tc>
      </w:tr>
      <w:tr>
        <w:tc>
          <w:tcPr>
            <w:tcW w:type="dxa" w:w="4703"/>
          </w:tcPr>
          <w:p>
            <w:r>
              <w:rPr>
                <w:rFonts w:ascii="Arial" w:hAnsi="Arial"/>
                <w:sz w:val="18"/>
              </w:rPr>
              <w:t>7. Conclusion</w:t>
            </w:r>
          </w:p>
        </w:tc>
        <w:tc>
          <w:tcPr>
            <w:tcW w:type="dxa" w:w="4703"/>
          </w:tcPr>
          <w:p>
            <w:r>
              <w:rPr>
                <w:rFonts w:ascii="Arial" w:hAnsi="Arial"/>
                <w:sz w:val="18"/>
              </w:rPr>
              <w:t>Contribution, evidence, scope and implication</w:t>
            </w:r>
          </w:p>
        </w:tc>
      </w:tr>
      <w:tr>
        <w:tc>
          <w:tcPr>
            <w:tcW w:type="dxa" w:w="4703"/>
          </w:tcPr>
          <w:p>
            <w:r>
              <w:rPr>
                <w:rFonts w:ascii="Arial" w:hAnsi="Arial"/>
                <w:sz w:val="18"/>
              </w:rPr>
              <w:t>End matter</w:t>
            </w:r>
          </w:p>
        </w:tc>
        <w:tc>
          <w:tcPr>
            <w:tcW w:type="dxa" w:w="4703"/>
          </w:tcPr>
          <w:p>
            <w:r>
              <w:rPr>
                <w:rFonts w:ascii="Arial" w:hAnsi="Arial"/>
                <w:sz w:val="18"/>
              </w:rPr>
              <w:t>Data availability; reproducibility resources; CRediT; funding; competing interests; acknowledgements; references; supplementary material if needed</w:t>
            </w:r>
          </w:p>
        </w:tc>
      </w:tr>
    </w:tbl>
    <w:p>
      <w:r>
        <w:br w:type="page"/>
      </w:r>
    </w:p>
    <w:p>
      <w:pPr>
        <w:pStyle w:val="Heading1"/>
      </w:pPr>
      <w:r>
        <w:t>PART I — English manuscript master</w:t>
      </w:r>
    </w:p>
    <w:p>
      <w:pPr>
        <w:pStyle w:val="DraftingNote"/>
      </w:pPr>
      <w:r>
        <w:t>The English part is the publication-facing master. Drafting notes below define the intended function of each section; they are not manuscript prose.</w:t>
      </w:r>
    </w:p>
    <w:p>
      <w:pPr>
        <w:pStyle w:val="Heading2"/>
      </w:pPr>
      <w:r>
        <w:t>Title</w:t>
      </w:r>
    </w:p>
    <w:p>
      <w:pPr>
        <w:pStyle w:val="DraftingNote"/>
      </w:pPr>
      <w:r>
        <w:t>Define at the end. It should foreground the scientific/architectural contribution; the customs domain may appear as an application or testbed only if it improves precision.</w:t>
      </w:r>
    </w:p>
    <w:p>
      <w:pPr>
        <w:pStyle w:val="Placeholder"/>
      </w:pPr>
      <w:r>
        <w:t>[Final title to be written after the manuscript is complete.]</w:t>
      </w:r>
    </w:p>
    <w:p>
      <w:pPr>
        <w:pStyle w:val="Heading2"/>
      </w:pPr>
      <w:r>
        <w:t>Abstract</w:t>
      </w:r>
    </w:p>
    <w:p>
      <w:pPr>
        <w:pStyle w:val="DraftingNote"/>
      </w:pPr>
      <w:r>
        <w:t>Recommended rhetorical order: concrete problem → limitation → proposed architecture → evaluation → main findings → bounded implication. Target approximately 200–250 words unless final content requires otherwise.</w:t>
      </w:r>
    </w:p>
    <w:p>
      <w:pPr>
        <w:pStyle w:val="Placeholder"/>
      </w:pPr>
      <w:r>
        <w:t>[Section text to be drafted in a later approved version.]</w:t>
      </w:r>
    </w:p>
    <w:p>
      <w:pPr>
        <w:pStyle w:val="Heading2"/>
      </w:pPr>
      <w:r>
        <w:t>Keywords</w:t>
      </w:r>
    </w:p>
    <w:p>
      <w:pPr>
        <w:pStyle w:val="DraftingNote"/>
      </w:pPr>
      <w:r>
        <w:t>Select after the final title and abstract. Keywords should represent both the contribution and the application domain without reducing the work to the testbed.</w:t>
      </w:r>
    </w:p>
    <w:p>
      <w:pPr>
        <w:pStyle w:val="Placeholder"/>
      </w:pPr>
      <w:r>
        <w:t>[5–7 final keywords.]</w:t>
      </w:r>
    </w:p>
    <w:p>
      <w:pPr>
        <w:pStyle w:val="Heading1"/>
      </w:pPr>
      <w:r>
        <w:t>1. Introduction</w:t>
      </w:r>
    </w:p>
    <w:p>
      <w:pPr>
        <w:pStyle w:val="DraftingNote"/>
      </w:pPr>
      <w:r>
        <w:t>Prefer a continuous narrative unless length later justifies visible subsections. The Introduction must establish the problem and contribution before the reader reaches the architecture and experimental design.</w:t>
      </w:r>
    </w:p>
    <w:p>
      <w:pPr>
        <w:pStyle w:val="ListBullet"/>
        <w:spacing w:after="40"/>
      </w:pPr>
      <w:r>
        <w:t>Opening: practical and scientific problem in decision support for tariff/classification tasks.</w:t>
      </w:r>
    </w:p>
    <w:p>
      <w:pPr>
        <w:pStyle w:val="ListBullet"/>
        <w:spacing w:after="40"/>
      </w:pPr>
      <w:r>
        <w:t>Prior approaches: concise synthesis of how candidate generation, documentary evidence and explanation are currently handled.</w:t>
      </w:r>
    </w:p>
    <w:p>
      <w:pPr>
        <w:pStyle w:val="ListBullet"/>
        <w:spacing w:after="40"/>
      </w:pPr>
      <w:r>
        <w:t>Technical limitation: identify the precise separation/traceability problem supported by literature.</w:t>
      </w:r>
    </w:p>
    <w:p>
      <w:pPr>
        <w:pStyle w:val="ListBullet"/>
        <w:spacing w:after="40"/>
      </w:pPr>
      <w:r>
        <w:t>Why the limitation matters: explain the consequence for evaluation, traceability and auditable decision support.</w:t>
      </w:r>
    </w:p>
    <w:p>
      <w:pPr>
        <w:pStyle w:val="ListBullet"/>
        <w:spacing w:after="40"/>
      </w:pPr>
      <w:r>
        <w:t>Proposal: introduce the architecture at a high level without detailing the experimental testbed.</w:t>
      </w:r>
    </w:p>
    <w:p>
      <w:pPr>
        <w:pStyle w:val="ListBullet"/>
        <w:spacing w:after="40"/>
      </w:pPr>
      <w:r>
        <w:t>Contributions: state a short set of distinguishable, evidence-bounded contributions.</w:t>
      </w:r>
    </w:p>
    <w:p>
      <w:pPr>
        <w:pStyle w:val="ListBullet"/>
        <w:spacing w:after="40"/>
      </w:pPr>
      <w:r>
        <w:t>Evaluation context: only after the proposal is clear, introduce the offline customs-classification testbed used for empirical evaluation.</w:t>
      </w:r>
    </w:p>
    <w:p>
      <w:pPr>
        <w:pStyle w:val="ListBullet"/>
        <w:spacing w:after="40"/>
      </w:pPr>
      <w:r>
        <w:t>Research Questions: present the final publishable RQs.</w:t>
      </w:r>
    </w:p>
    <w:p>
      <w:pPr>
        <w:pStyle w:val="ListBullet"/>
        <w:spacing w:after="40"/>
      </w:pPr>
      <w:r>
        <w:t>Roadmap: brief organization paragraph.</w:t>
      </w:r>
    </w:p>
    <w:p>
      <w:pPr>
        <w:pStyle w:val="Placeholder"/>
      </w:pPr>
      <w:r>
        <w:t>[Section text to be drafted in a later approved version.]</w:t>
      </w:r>
    </w:p>
    <w:p>
      <w:pPr>
        <w:pStyle w:val="Heading1"/>
      </w:pPr>
      <w:r>
        <w:t>2. Related work</w:t>
      </w:r>
    </w:p>
    <w:p>
      <w:pPr>
        <w:pStyle w:val="DraftingNote"/>
      </w:pPr>
      <w:r>
        <w:t>Organize by technical function/problem family rather than author-by-author chronology. Each subsection should end with a synthesis relevant to the positioning of this study.</w:t>
      </w:r>
    </w:p>
    <w:p>
      <w:pPr>
        <w:pStyle w:val="Heading2"/>
      </w:pPr>
      <w:r>
        <w:t>2.1. Automated tariff classification and candidate retrieval</w:t>
      </w:r>
    </w:p>
    <w:p>
      <w:pPr/>
      <w:r>
        <w:t xml:space="preserve">Automated tariff coding has most often been framed as a text-to-code prediction problem: a model receives a product or declaration description and returns one or more HS labels. Early work treated this as supervised text categorization, with models trained on historical declarations and evaluated at a defined level of the tariff hierarchy. Ding et al. used a Background Net classifier to map goods-declaration text to HS categories, illustrating a conventional direct-classification formulation </w:t>
      </w:r>
      <w:commentRangeStart w:id="0"/>
      <w:r>
        <w:t>(Ding et al., 2015)</w:t>
      </w:r>
      <w:commentRangeEnd w:id="0"/>
      <w:r>
        <w:rPr>
          <w:rStyle w:val="CommentReference"/>
        </w:rPr>
        <w:commentReference w:id="0"/>
      </w:r>
      <w:r>
        <w:t xml:space="preserve">. CNN-based work later showed that short descriptions could be classified separately at HS2 and HS4, while also exposing the increased class cardinality at finer levels </w:t>
      </w:r>
      <w:commentRangeStart w:id="1"/>
      <w:r>
        <w:t>(Luppes, 2019)</w:t>
      </w:r>
      <w:commentRangeEnd w:id="1"/>
      <w:r>
        <w:rPr>
          <w:rStyle w:val="CommentReference"/>
        </w:rPr>
        <w:commentReference w:id="1"/>
      </w:r>
      <w:r>
        <w:t xml:space="preserve">. At larger scale, Ruder compared conventional machine-learning and neural classifiers on more than one million cargo descriptions spanning thousands of HS6 classes </w:t>
      </w:r>
      <w:commentRangeStart w:id="2"/>
      <w:r>
        <w:t>(Ruder, 2020)</w:t>
      </w:r>
      <w:commentRangeEnd w:id="2"/>
      <w:r>
        <w:rPr>
          <w:rStyle w:val="CommentReference"/>
        </w:rPr>
        <w:commentReference w:id="2"/>
      </w:r>
      <w:r>
        <w:t>. These studies share a supervised prediction objective, but their target levels, label spaces, datasets, and evaluation measures differ; reported percentages therefore should not be read as directly comparable measures of tariff-classification performance.</w:t>
      </w:r>
    </w:p>
    <w:p>
      <w:pPr/>
      <w:r>
        <w:t xml:space="preserve">Subsequent work has changed the representation of trade text without necessarily changing that prediction objective. Anggoro et al., for example, fine-tuned Sentence-BERT with Multiple Negative Ranking loss to obtain transaction embeddings and then used those fixed-length representations as inputs to SVM and Random Forest classifiers for HS-code prediction </w:t>
      </w:r>
      <w:commentRangeStart w:id="3"/>
      <w:r>
        <w:t>(Anggoro et al., 2025)</w:t>
      </w:r>
      <w:commentRangeEnd w:id="3"/>
      <w:r>
        <w:rPr>
          <w:rStyle w:val="CommentReference"/>
        </w:rPr>
        <w:commentReference w:id="3"/>
      </w:r>
      <w:r>
        <w:t xml:space="preserve">. Other approaches exploit the hierarchy more explicitly. Lee et al. first predict a four-digit heading, retrieve relevant sentences from the HS manual, and then predict the six-digit subheading from the product description together with the retrieved sentences </w:t>
      </w:r>
      <w:commentRangeStart w:id="4"/>
      <w:r>
        <w:t>(Lee et al., 2021)</w:t>
      </w:r>
      <w:commentRangeEnd w:id="4"/>
      <w:r>
        <w:rPr>
          <w:rStyle w:val="CommentReference"/>
        </w:rPr>
        <w:commentReference w:id="4"/>
      </w:r>
      <w:r>
        <w:t>. This staged design differs from treating HS2, HS4, or HS6 as independent flat classification targets because information produced between levels can participate in the later decision.</w:t>
      </w:r>
    </w:p>
    <w:p>
      <w:pPr/>
      <w:r>
        <w:t xml:space="preserve">A second family formulates the problem as retrieval or ranking rather than as a single-label decision. Stassin et al. compared supervised neural models with semantic-similarity methods over HS6, HS8, and HS10 and evaluated whether relevant codes appeared near the top of a ranked output </w:t>
      </w:r>
      <w:commentRangeStart w:id="5"/>
      <w:r>
        <w:t>(Stassin et al., 2023)</w:t>
      </w:r>
      <w:commentRangeEnd w:id="5"/>
      <w:r>
        <w:rPr>
          <w:rStyle w:val="CommentReference"/>
        </w:rPr>
        <w:commentReference w:id="5"/>
      </w:r>
      <w:r>
        <w:t xml:space="preserve">. Pain likewise used semantic textual similarity to generate ranked commodity recommendations and evaluated whether the expected commodity code appeared among the top-k suggestions </w:t>
      </w:r>
      <w:commentRangeStart w:id="6"/>
      <w:r>
        <w:t>(Pain, 2021)</w:t>
      </w:r>
      <w:commentRangeEnd w:id="6"/>
      <w:r>
        <w:rPr>
          <w:rStyle w:val="CommentReference"/>
        </w:rPr>
        <w:commentReference w:id="6"/>
      </w:r>
      <w:r>
        <w:t>. In this formulation, the model's immediate output is a candidate list that can support a subsequent human or automated decision. This distinction is operationally important: Top-k retrieval measures the presence and ordering of candidates, whereas classification accuracy evaluates a selected label. The two objectives can coexist in tariff-assistance systems, but their metrics and denominators should not be treated as interchangeable.</w:t>
      </w:r>
    </w:p>
    <w:p>
      <w:pPr/>
      <w:r>
        <w:t xml:space="preserve">A third task begins from a code that has already been assigned and asks whether that assignment is coherent or plausible. Spichakova and Haav combine textual similarity with similarity derived from the HS taxonomy to assess assigned-code correctness and to provide alternative predictions or recommendations </w:t>
      </w:r>
      <w:commentRangeStart w:id="7"/>
      <w:r>
        <w:t>(Spichakova &amp; Haav, 2020)</w:t>
      </w:r>
      <w:commentRangeEnd w:id="7"/>
      <w:r>
        <w:rPr>
          <w:rStyle w:val="CommentReference"/>
        </w:rPr>
        <w:commentReference w:id="7"/>
      </w:r>
      <w:r>
        <w:t>. Such validation or correction is not equivalent to generating candidates from an uncoded description, because the existing code is part of the object being assessed and the evaluation depends on assumptions about the historical labels used as reference.</w:t>
      </w:r>
    </w:p>
    <w:p>
      <w:pPr/>
      <w:r>
        <w:t>Taken together, this literature spans direct classification, staged hierarchical prediction, candidate retrieval/ranking, and post-assignment validation. The boundaries between these tasks matter because the same technologies—embeddings, neural encoders, similarity functions, or historical records—can support different outputs and evaluation criteria. They also clarify the point at which external documentary knowledge enters a system: in some designs it participates in the classification decision itself, while in others retrieval is used to expose supporting material around candidate codes. That functional distinction motivates the next subsection on knowledge-enhanced retrieval and regulatory reasoning.</w:t>
      </w:r>
    </w:p>
    <w:p>
      <w:pPr>
        <w:pStyle w:val="Heading2"/>
      </w:pPr>
      <w:r>
        <w:t>2.2. Knowledge-enhanced retrieval and regulatory reasoning</w:t>
      </w:r>
    </w:p>
    <w:p>
      <w:pPr>
        <w:pStyle w:val="DraftingNote"/>
      </w:pPr>
      <w:r>
        <w:t>RAG, retrieval over documents, structured knowledge, agents and regulatory/legal reasoning. Focus on the function of external knowledge.</w:t>
      </w:r>
    </w:p>
    <w:p>
      <w:pPr>
        <w:pStyle w:val="Placeholder"/>
      </w:pPr>
      <w:r>
        <w:t>[Section text to be drafted in a later approved version.]</w:t>
      </w:r>
    </w:p>
    <w:p>
      <w:pPr>
        <w:pStyle w:val="Heading2"/>
      </w:pPr>
      <w:r>
        <w:t>2.3. LLMs for classification, reasoning, and explanation</w:t>
      </w:r>
    </w:p>
    <w:p>
      <w:pPr>
        <w:pStyle w:val="DraftingNote"/>
      </w:pPr>
      <w:r>
        <w:t>Distinguish LLMs used to classify, rerank, reason over rules, or generate explanations. This distinction prepares the positioning of the downstream explanation-only role.</w:t>
      </w:r>
    </w:p>
    <w:p>
      <w:pPr>
        <w:pStyle w:val="Placeholder"/>
      </w:pPr>
      <w:r>
        <w:t>[Section text to be drafted in a later approved version.]</w:t>
      </w:r>
    </w:p>
    <w:p>
      <w:pPr>
        <w:pStyle w:val="Heading2"/>
      </w:pPr>
      <w:r>
        <w:t>2.4. Evidence grounding, explainability, and auditability</w:t>
      </w:r>
    </w:p>
    <w:p>
      <w:pPr>
        <w:pStyle w:val="DraftingNote"/>
      </w:pPr>
      <w:r>
        <w:t>Grounding, source support, provenance, traceability and auditability; preserve the boundary between explanatory support and legal correctness.</w:t>
      </w:r>
    </w:p>
    <w:p>
      <w:pPr>
        <w:pStyle w:val="Placeholder"/>
      </w:pPr>
      <w:r>
        <w:t>[Section text to be drafted in a later approved version.]</w:t>
      </w:r>
    </w:p>
    <w:p>
      <w:pPr>
        <w:pStyle w:val="Heading2"/>
      </w:pPr>
      <w:r>
        <w:t>2.5. Reproducibility and evaluation in knowledge-based decision support</w:t>
      </w:r>
    </w:p>
    <w:p>
      <w:pPr>
        <w:pStyle w:val="DraftingNote"/>
      </w:pPr>
      <w:r>
        <w:t>Dataset provenance, partitioning, dependence, component-level evaluation, reproducibility and public artifacts when relevant.</w:t>
      </w:r>
    </w:p>
    <w:p>
      <w:pPr>
        <w:pStyle w:val="Placeholder"/>
      </w:pPr>
      <w:r>
        <w:t>[Section text to be drafted in a later approved version.]</w:t>
      </w:r>
    </w:p>
    <w:p>
      <w:pPr>
        <w:pStyle w:val="Heading2"/>
      </w:pPr>
      <w:r>
        <w:t>2.6. Positioning of this study</w:t>
      </w:r>
    </w:p>
    <w:p>
      <w:pPr>
        <w:pStyle w:val="DraftingNote"/>
      </w:pPr>
      <w:r>
        <w:t>Short comparative synthesis. It may include a compact literature-positioning table if the evidence base supports each comparison. Do not convert absence within the reviewed scope into universal novelty.</w:t>
      </w:r>
    </w:p>
    <w:p>
      <w:pPr>
        <w:pStyle w:val="Placeholder"/>
      </w:pPr>
      <w:r>
        <w:t>[Section text to be drafted in a later approved version.]</w:t>
      </w:r>
    </w:p>
    <w:p>
      <w:pPr>
        <w:pStyle w:val="Heading1"/>
      </w:pPr>
      <w:r>
        <w:t>3. Decision-support architecture</w:t>
      </w:r>
    </w:p>
    <w:p>
      <w:pPr>
        <w:pStyle w:val="DraftingNote"/>
      </w:pPr>
      <w:r>
        <w:t>Describe the general architecture before the empirical instantiation. Do not open this section by defining NANDINA, Chapter 87, the Peruvian corpus, H100, or the experimental sample.</w:t>
      </w:r>
    </w:p>
    <w:p>
      <w:pPr>
        <w:pStyle w:val="Heading2"/>
      </w:pPr>
      <w:r>
        <w:t>3.1. Overview and information flow</w:t>
      </w:r>
    </w:p>
    <w:p>
      <w:pPr>
        <w:pStyle w:val="DraftingNote"/>
      </w:pPr>
      <w:r>
        <w:t>Introduce the end-to-end information flow and the architecture figure. Explain what enters, what each stage does, what remains fixed, and what is produced.</w:t>
      </w:r>
    </w:p>
    <w:p>
      <w:pPr>
        <w:pStyle w:val="Placeholder"/>
      </w:pPr>
      <w:r>
        <w:t>[Figure 1 placeholder — overall architecture and information flow.]</w:t>
      </w:r>
    </w:p>
    <w:p>
      <w:pPr>
        <w:pStyle w:val="Placeholder"/>
      </w:pPr>
      <w:r>
        <w:t>[Section text to be drafted in a later approved version.]</w:t>
      </w:r>
    </w:p>
    <w:p>
      <w:pPr>
        <w:pStyle w:val="Heading2"/>
      </w:pPr>
      <w:r>
        <w:t>3.2. Query representation and normalization</w:t>
      </w:r>
    </w:p>
    <w:p>
      <w:pPr>
        <w:pStyle w:val="DraftingNote"/>
      </w:pPr>
      <w:r>
        <w:t>Define the input representation and normalization steps at the architecture level, independently of a particular experimental dataset.</w:t>
      </w:r>
    </w:p>
    <w:p>
      <w:pPr>
        <w:pStyle w:val="Placeholder"/>
      </w:pPr>
      <w:r>
        <w:t>[Section text to be drafted in a later approved version.]</w:t>
      </w:r>
    </w:p>
    <w:p>
      <w:pPr>
        <w:pStyle w:val="Heading2"/>
      </w:pPr>
      <w:r>
        <w:t>3.3. Historical candidate retrieval and ranking</w:t>
      </w:r>
    </w:p>
    <w:p>
      <w:pPr>
        <w:pStyle w:val="DraftingNote"/>
      </w:pPr>
      <w:r>
        <w:t>Explain retrieval from a labeled historical collection, scoring/ranking logic, Top-k output, and the role of historical precedents.</w:t>
      </w:r>
    </w:p>
    <w:p>
      <w:pPr>
        <w:pStyle w:val="Placeholder"/>
      </w:pPr>
      <w:r>
        <w:t>[Section text to be drafted in a later approved version.]</w:t>
      </w:r>
    </w:p>
    <w:p>
      <w:pPr>
        <w:pStyle w:val="Heading2"/>
      </w:pPr>
      <w:r>
        <w:t>3.4. Fixed candidate set</w:t>
      </w:r>
    </w:p>
    <w:p>
      <w:pPr>
        <w:pStyle w:val="DraftingNote"/>
      </w:pPr>
      <w:r>
        <w:t>Explain how the ranked output is reduced to the candidate set passed downstream and what 'fixed' means operationally. Avoid long governance-style lists of prohibitions.</w:t>
      </w:r>
    </w:p>
    <w:p>
      <w:pPr>
        <w:pStyle w:val="Placeholder"/>
      </w:pPr>
      <w:r>
        <w:t>[Section text to be drafted in a later approved version.]</w:t>
      </w:r>
    </w:p>
    <w:p>
      <w:pPr>
        <w:pStyle w:val="Heading2"/>
      </w:pPr>
      <w:r>
        <w:t>3.5. Candidate-specific documentary retrieval</w:t>
      </w:r>
    </w:p>
    <w:p>
      <w:pPr>
        <w:pStyle w:val="DraftingNote"/>
      </w:pPr>
      <w:r>
        <w:t>Explain how documentary evidence is retrieved for the already fixed candidates and why this stage does not participate in candidate selection or reranking.</w:t>
      </w:r>
    </w:p>
    <w:p>
      <w:pPr>
        <w:pStyle w:val="Placeholder"/>
      </w:pPr>
      <w:r>
        <w:t>[Section text to be drafted in a later approved version.]</w:t>
      </w:r>
    </w:p>
    <w:p>
      <w:pPr>
        <w:pStyle w:val="Heading2"/>
      </w:pPr>
      <w:r>
        <w:t>3.6. Evidence-context construction and controlled explanation</w:t>
      </w:r>
    </w:p>
    <w:p>
      <w:pPr>
        <w:pStyle w:val="DraftingNote"/>
      </w:pPr>
      <w:r>
        <w:t>Describe the context assembled from query, candidates and retrieved evidence; then explain the local LLM input/output and the traceability retained for the explanation.</w:t>
      </w:r>
    </w:p>
    <w:p>
      <w:pPr>
        <w:pStyle w:val="Placeholder"/>
      </w:pPr>
      <w:r>
        <w:t>[Section text to be drafted in a later approved version.]</w:t>
      </w:r>
    </w:p>
    <w:p>
      <w:pPr>
        <w:pStyle w:val="Heading2"/>
      </w:pPr>
      <w:r>
        <w:t>3.7. Configurability and interface requirements</w:t>
      </w:r>
    </w:p>
    <w:p>
      <w:pPr>
        <w:pStyle w:val="DraftingNote"/>
      </w:pPr>
      <w:r>
        <w:t>State what resources may be replaced in a new instantiation—labeled historical bank, target class universe, compatible documentary corpus—and the interface/precondition requirements. Explicitly separate configurability/replicability from empirical performance transfer.</w:t>
      </w:r>
    </w:p>
    <w:p>
      <w:pPr>
        <w:pStyle w:val="Placeholder"/>
      </w:pPr>
      <w:r>
        <w:t>[Section text to be drafted in a later approved version.]</w:t>
      </w:r>
    </w:p>
    <w:p>
      <w:pPr>
        <w:pStyle w:val="Heading1"/>
      </w:pPr>
      <w:r>
        <w:t>4. Experimental design</w:t>
      </w:r>
    </w:p>
    <w:p>
      <w:pPr>
        <w:pStyle w:val="DraftingNote"/>
      </w:pPr>
      <w:r>
        <w:t>Only here should the manuscript move from the general architecture to the specific empirical instantiation used to evaluate it.</w:t>
      </w:r>
    </w:p>
    <w:p>
      <w:pPr>
        <w:pStyle w:val="Heading2"/>
      </w:pPr>
      <w:r>
        <w:t>4.1. Evaluation setting</w:t>
      </w:r>
    </w:p>
    <w:p>
      <w:pPr>
        <w:pStyle w:val="DraftingNote"/>
      </w:pPr>
      <w:r>
        <w:t>Introduce the offline evaluation setting and the regulatory/classification testbed. This is the appropriate place to delimit NANDINA, the selected class/chapter and the non-binding decision-support scope.</w:t>
      </w:r>
    </w:p>
    <w:p>
      <w:pPr>
        <w:pStyle w:val="Placeholder"/>
      </w:pPr>
      <w:r>
        <w:t>[Section text to be drafted in a later approved version.]</w:t>
      </w:r>
    </w:p>
    <w:p>
      <w:pPr>
        <w:pStyle w:val="Heading2"/>
      </w:pPr>
      <w:r>
        <w:t>4.2. Historical data</w:t>
      </w:r>
    </w:p>
    <w:p>
      <w:pPr>
        <w:pStyle w:val="Heading3"/>
      </w:pPr>
      <w:r>
        <w:t>4.2.1. Data source and selection</w:t>
      </w:r>
    </w:p>
    <w:p>
      <w:pPr>
        <w:pStyle w:val="DraftingNote"/>
      </w:pPr>
      <w:r>
        <w:t>Document provenance and selection rules for the historical records used in the experiment.</w:t>
      </w:r>
    </w:p>
    <w:p>
      <w:pPr>
        <w:pStyle w:val="Placeholder"/>
      </w:pPr>
      <w:r>
        <w:t>[Section text to be drafted in a later approved version.]</w:t>
      </w:r>
    </w:p>
    <w:p>
      <w:pPr>
        <w:pStyle w:val="Heading3"/>
      </w:pPr>
      <w:r>
        <w:t>4.2.2. Target class space</w:t>
      </w:r>
    </w:p>
    <w:p>
      <w:pPr>
        <w:pStyle w:val="DraftingNote"/>
      </w:pPr>
      <w:r>
        <w:t>Define the class/code universe actually represented in the evaluation.</w:t>
      </w:r>
    </w:p>
    <w:p>
      <w:pPr>
        <w:pStyle w:val="Placeholder"/>
      </w:pPr>
      <w:r>
        <w:t>[Section text to be drafted in a later approved version.]</w:t>
      </w:r>
    </w:p>
    <w:p>
      <w:pPr>
        <w:pStyle w:val="Heading3"/>
      </w:pPr>
      <w:r>
        <w:t>4.2.3. Preparation and curation</w:t>
      </w:r>
    </w:p>
    <w:p>
      <w:pPr>
        <w:pStyle w:val="DraftingNote"/>
      </w:pPr>
      <w:r>
        <w:t>Describe cleaning, normalization, inclusion/exclusion and curation procedures.</w:t>
      </w:r>
    </w:p>
    <w:p>
      <w:pPr>
        <w:pStyle w:val="Placeholder"/>
      </w:pPr>
      <w:r>
        <w:t>[Section text to be drafted in a later approved version.]</w:t>
      </w:r>
    </w:p>
    <w:p>
      <w:pPr>
        <w:pStyle w:val="Heading3"/>
      </w:pPr>
      <w:r>
        <w:t>4.2.4. Versioned datasets used in the experiment</w:t>
      </w:r>
    </w:p>
    <w:p>
      <w:pPr>
        <w:pStyle w:val="DraftingNote"/>
      </w:pPr>
      <w:r>
        <w:t>Identify the frozen/versioned historical, development and evaluation datasets used, including hashes or repository references where appropriate.</w:t>
      </w:r>
    </w:p>
    <w:p>
      <w:pPr>
        <w:pStyle w:val="Placeholder"/>
      </w:pPr>
      <w:r>
        <w:t>[Section text to be drafted in a later approved version.]</w:t>
      </w:r>
    </w:p>
    <w:p>
      <w:pPr>
        <w:pStyle w:val="Heading2"/>
      </w:pPr>
      <w:r>
        <w:t>4.3. Documentary corpus</w:t>
      </w:r>
    </w:p>
    <w:p>
      <w:pPr>
        <w:pStyle w:val="Heading3"/>
      </w:pPr>
      <w:r>
        <w:t>4.3.1. Source documents and scope</w:t>
      </w:r>
    </w:p>
    <w:p>
      <w:pPr>
        <w:pStyle w:val="DraftingNote"/>
      </w:pPr>
      <w:r>
        <w:t>Identify the documentary/normative sources that provide evidence to the downstream retrieval stage.</w:t>
      </w:r>
    </w:p>
    <w:p>
      <w:pPr>
        <w:pStyle w:val="Placeholder"/>
      </w:pPr>
      <w:r>
        <w:t>[Section text to be drafted in a later approved version.]</w:t>
      </w:r>
    </w:p>
    <w:p>
      <w:pPr>
        <w:pStyle w:val="Heading3"/>
      </w:pPr>
      <w:r>
        <w:t>4.3.2. Corpus preparation</w:t>
      </w:r>
    </w:p>
    <w:p>
      <w:pPr>
        <w:pStyle w:val="DraftingNote"/>
      </w:pPr>
      <w:r>
        <w:t>Explain extraction, cleaning, segmentation/chunking and representation.</w:t>
      </w:r>
    </w:p>
    <w:p>
      <w:pPr>
        <w:pStyle w:val="Placeholder"/>
      </w:pPr>
      <w:r>
        <w:t>[Section text to be drafted in a later approved version.]</w:t>
      </w:r>
    </w:p>
    <w:p>
      <w:pPr>
        <w:pStyle w:val="Heading3"/>
      </w:pPr>
      <w:r>
        <w:t>4.3.3. Versioning and temporal validity</w:t>
      </w:r>
    </w:p>
    <w:p>
      <w:pPr>
        <w:pStyle w:val="DraftingNote"/>
      </w:pPr>
      <w:r>
        <w:t>Record the version/date boundary used for the experiment and how normative drift is controlled or bounded.</w:t>
      </w:r>
    </w:p>
    <w:p>
      <w:pPr>
        <w:pStyle w:val="Placeholder"/>
      </w:pPr>
      <w:r>
        <w:t>[Section text to be drafted in a later approved version.]</w:t>
      </w:r>
    </w:p>
    <w:p>
      <w:pPr>
        <w:pStyle w:val="Heading3"/>
      </w:pPr>
      <w:r>
        <w:t>4.3.4. Retrieval index</w:t>
      </w:r>
    </w:p>
    <w:p>
      <w:pPr>
        <w:pStyle w:val="DraftingNote"/>
      </w:pPr>
      <w:r>
        <w:t>Describe how the corpus is indexed and queried for candidate-specific evidence.</w:t>
      </w:r>
    </w:p>
    <w:p>
      <w:pPr>
        <w:pStyle w:val="Placeholder"/>
      </w:pPr>
      <w:r>
        <w:t>[Section text to be drafted in a later approved version.]</w:t>
      </w:r>
    </w:p>
    <w:p>
      <w:pPr>
        <w:pStyle w:val="Heading2"/>
      </w:pPr>
      <w:r>
        <w:t>4.4. Partitioning and dependence control</w:t>
      </w:r>
    </w:p>
    <w:p>
      <w:pPr>
        <w:pStyle w:val="DraftingNote"/>
      </w:pPr>
      <w:r>
        <w:t>Describe series-level observation, DAM-level grouping where dependence exists, split construction, leakage controls, duplicates and near-duplicate diagnostics.</w:t>
      </w:r>
    </w:p>
    <w:p>
      <w:pPr>
        <w:pStyle w:val="Placeholder"/>
      </w:pPr>
      <w:r>
        <w:t>[Section text to be drafted in a later approved version.]</w:t>
      </w:r>
    </w:p>
    <w:p>
      <w:pPr>
        <w:pStyle w:val="Heading2"/>
      </w:pPr>
      <w:r>
        <w:t>4.5. System configuration</w:t>
      </w:r>
    </w:p>
    <w:p>
      <w:pPr>
        <w:pStyle w:val="DraftingNote"/>
      </w:pPr>
      <w:r>
        <w:t>Report retrieval parameters, Top-k/Top-3 configuration, documentary retrieval configuration, local LLM and inference settings, plus software/hardware details that materially affect reproducibility.</w:t>
      </w:r>
    </w:p>
    <w:p>
      <w:pPr>
        <w:pStyle w:val="Placeholder"/>
      </w:pPr>
      <w:r>
        <w:t>[Section text to be drafted in a later approved version.]</w:t>
      </w:r>
    </w:p>
    <w:p>
      <w:pPr>
        <w:pStyle w:val="Heading2"/>
      </w:pPr>
      <w:r>
        <w:t>4.6. Evaluation framework and research-question mapping</w:t>
      </w:r>
    </w:p>
    <w:p>
      <w:pPr>
        <w:pStyle w:val="DraftingNote"/>
      </w:pPr>
      <w:r>
        <w:t>Map each RQ to system function, output, metric and permitted interpretation. This is the main safeguard against conflating candidate retrieval, documentary association and explanation quality.</w:t>
      </w:r>
    </w:p>
    <w:p>
      <w:pPr>
        <w:pStyle w:val="Placeholder"/>
      </w:pPr>
      <w:r>
        <w:t>[Table placeholder — RQ → function → output → metric → permitted interpretation.]</w:t>
      </w:r>
    </w:p>
    <w:p>
      <w:pPr>
        <w:pStyle w:val="Placeholder"/>
      </w:pPr>
      <w:r>
        <w:t>[Section text to be drafted in a later approved version.]</w:t>
      </w:r>
    </w:p>
    <w:p>
      <w:pPr>
        <w:pStyle w:val="Heading2"/>
      </w:pPr>
      <w:r>
        <w:t>4.7. Candidate-retrieval evaluation</w:t>
      </w:r>
    </w:p>
    <w:p>
      <w:pPr>
        <w:pStyle w:val="DraftingNote"/>
      </w:pPr>
      <w:r>
        <w:t>Define Top-k/MRR and any other authorized retrieval metrics; specify the evaluation unit and comparison logic.</w:t>
      </w:r>
    </w:p>
    <w:p>
      <w:pPr>
        <w:pStyle w:val="Placeholder"/>
      </w:pPr>
      <w:r>
        <w:t>[Section text to be drafted in a later approved version.]</w:t>
      </w:r>
    </w:p>
    <w:p>
      <w:pPr>
        <w:pStyle w:val="Heading2"/>
      </w:pPr>
      <w:r>
        <w:t>4.8. Documentary-evidence evaluation</w:t>
      </w:r>
    </w:p>
    <w:p>
      <w:pPr>
        <w:pStyle w:val="DraftingNote"/>
      </w:pPr>
      <w:r>
        <w:t>Define coverage/association/traceability criteria without treating documentary association as substantive legal correctness.</w:t>
      </w:r>
    </w:p>
    <w:p>
      <w:pPr>
        <w:pStyle w:val="Placeholder"/>
      </w:pPr>
      <w:r>
        <w:t>[Section text to be drafted in a later approved version.]</w:t>
      </w:r>
    </w:p>
    <w:p>
      <w:pPr>
        <w:pStyle w:val="Heading2"/>
      </w:pPr>
      <w:r>
        <w:t>4.9. Controlled-explanation evaluation</w:t>
      </w:r>
    </w:p>
    <w:p>
      <w:pPr>
        <w:pStyle w:val="DraftingNote"/>
      </w:pPr>
      <w:r>
        <w:t>Describe the approved explanation/auditability rubric, dimensions, scoring procedure and known limits.</w:t>
      </w:r>
    </w:p>
    <w:p>
      <w:pPr>
        <w:pStyle w:val="Placeholder"/>
      </w:pPr>
      <w:r>
        <w:t>[Section text to be drafted in a later approved version.]</w:t>
      </w:r>
    </w:p>
    <w:p>
      <w:pPr>
        <w:pStyle w:val="Heading2"/>
      </w:pPr>
      <w:r>
        <w:t>4.10. Statistical analysis</w:t>
      </w:r>
    </w:p>
    <w:p>
      <w:pPr>
        <w:pStyle w:val="DraftingNote"/>
      </w:pPr>
      <w:r>
        <w:t>Insert only the inferential design and tests that are finally authorized by the experimental master plan. Do not anticipate pending Group 3 conclusions.</w:t>
      </w:r>
    </w:p>
    <w:p>
      <w:pPr>
        <w:pStyle w:val="Placeholder"/>
      </w:pPr>
      <w:r>
        <w:t>[Section text to be drafted in a later approved version.]</w:t>
      </w:r>
    </w:p>
    <w:p>
      <w:pPr>
        <w:pStyle w:val="Heading2"/>
      </w:pPr>
      <w:r>
        <w:t>4.11. Reproducibility resources</w:t>
      </w:r>
    </w:p>
    <w:p>
      <w:pPr>
        <w:pStyle w:val="DraftingNote"/>
      </w:pPr>
      <w:r>
        <w:t>Identify the public reproducibility repository and what it contains: versioned data that can be redistributed, configurations, scripts, manifests, hashes, instructions and declared non-redistributable or unrecoverable items.</w:t>
      </w:r>
    </w:p>
    <w:p>
      <w:pPr>
        <w:pStyle w:val="Placeholder"/>
      </w:pPr>
      <w:r>
        <w:t>[Section text to be drafted in a later approved version.]</w:t>
      </w:r>
    </w:p>
    <w:p>
      <w:pPr>
        <w:pStyle w:val="Heading1"/>
      </w:pPr>
      <w:r>
        <w:t>5. Results</w:t>
      </w:r>
    </w:p>
    <w:p>
      <w:pPr>
        <w:pStyle w:val="DraftingNote"/>
      </w:pPr>
      <w:r>
        <w:t>Organize results by function/RQ, not by internal experiment codes or execution chronology.</w:t>
      </w:r>
    </w:p>
    <w:p>
      <w:pPr>
        <w:pStyle w:val="Heading2"/>
      </w:pPr>
      <w:r>
        <w:t>5.1. Data and partition checks</w:t>
      </w:r>
    </w:p>
    <w:p>
      <w:pPr>
        <w:pStyle w:val="DraftingNote"/>
      </w:pPr>
      <w:r>
        <w:t>Report the controls that establish the validity of the benchmark and partitions used for analysis.</w:t>
      </w:r>
    </w:p>
    <w:p>
      <w:pPr>
        <w:pStyle w:val="Placeholder"/>
      </w:pPr>
      <w:r>
        <w:t>[Section text to be drafted in a later approved version.]</w:t>
      </w:r>
    </w:p>
    <w:p>
      <w:pPr>
        <w:pStyle w:val="Heading2"/>
      </w:pPr>
      <w:r>
        <w:t>5.2. Candidate retrieval performance</w:t>
      </w:r>
    </w:p>
    <w:p>
      <w:pPr>
        <w:pStyle w:val="DraftingNote"/>
      </w:pPr>
      <w:r>
        <w:t>Primary RQ1 evidence: report authorized retrieval metrics and comparisons. Do not label this as overall system accuracy.</w:t>
      </w:r>
    </w:p>
    <w:p>
      <w:pPr>
        <w:pStyle w:val="Placeholder"/>
      </w:pPr>
      <w:r>
        <w:t>[Section text to be drafted in a later approved version.]</w:t>
      </w:r>
    </w:p>
    <w:p>
      <w:pPr>
        <w:pStyle w:val="Heading2"/>
      </w:pPr>
      <w:r>
        <w:t>5.3. Documentary evidence retrieval</w:t>
      </w:r>
    </w:p>
    <w:p>
      <w:pPr>
        <w:pStyle w:val="DraftingNote"/>
      </w:pPr>
      <w:r>
        <w:t>Primary RQ2 evidence: report coverage, association, traceability and preservation of candidate ranking as supported by the final evidence.</w:t>
      </w:r>
    </w:p>
    <w:p>
      <w:pPr>
        <w:pStyle w:val="Placeholder"/>
      </w:pPr>
      <w:r>
        <w:t>[Section text to be drafted in a later approved version.]</w:t>
      </w:r>
    </w:p>
    <w:p>
      <w:pPr>
        <w:pStyle w:val="Heading2"/>
      </w:pPr>
      <w:r>
        <w:t>5.4. Controlled explanation quality</w:t>
      </w:r>
    </w:p>
    <w:p>
      <w:pPr>
        <w:pStyle w:val="DraftingNote"/>
      </w:pPr>
      <w:r>
        <w:t>Primary RQ3 evidence: report the approved explanation/auditability evaluation and its limits.</w:t>
      </w:r>
    </w:p>
    <w:p>
      <w:pPr>
        <w:pStyle w:val="Placeholder"/>
      </w:pPr>
      <w:r>
        <w:t>[Section text to be drafted in a later approved version.]</w:t>
      </w:r>
    </w:p>
    <w:p>
      <w:pPr>
        <w:pStyle w:val="Heading2"/>
      </w:pPr>
      <w:r>
        <w:t>5.5. Sensitivity and robustness analyses</w:t>
      </w:r>
    </w:p>
    <w:p>
      <w:pPr>
        <w:pStyle w:val="DraftingNote"/>
      </w:pPr>
      <w:r>
        <w:t>Include only sensitivity analyses that survive final experimental reconciliation. Internal experiment IDs should be translated into scientific headings.</w:t>
      </w:r>
    </w:p>
    <w:p>
      <w:pPr>
        <w:pStyle w:val="Placeholder"/>
      </w:pPr>
      <w:r>
        <w:t>[Section text to be drafted in a later approved version.]</w:t>
      </w:r>
    </w:p>
    <w:p>
      <w:pPr>
        <w:pStyle w:val="Heading2"/>
      </w:pPr>
      <w:r>
        <w:t>5.6. Inferential results</w:t>
      </w:r>
    </w:p>
    <w:p>
      <w:pPr>
        <w:pStyle w:val="DraftingNote"/>
      </w:pPr>
      <w:r>
        <w:t>Primary RQ4 evidence. Populate only after the relevant Group 3 analyses are closed and authorized for article use.</w:t>
      </w:r>
    </w:p>
    <w:p>
      <w:pPr>
        <w:pStyle w:val="Placeholder"/>
      </w:pPr>
      <w:r>
        <w:t>[Section text to be drafted in a later approved version.]</w:t>
      </w:r>
    </w:p>
    <w:p>
      <w:pPr>
        <w:pStyle w:val="Heading2"/>
      </w:pPr>
      <w:r>
        <w:t>5.7. Summary by research question</w:t>
      </w:r>
    </w:p>
    <w:p>
      <w:pPr>
        <w:pStyle w:val="DraftingNote"/>
      </w:pPr>
      <w:r>
        <w:t>Optional compact synthesis if it improves readability. Use evidence, main finding and permitted interpretation; omit if redundant with the preceding subsections.</w:t>
      </w:r>
    </w:p>
    <w:p>
      <w:pPr>
        <w:pStyle w:val="Placeholder"/>
      </w:pPr>
      <w:r>
        <w:t>[Section text to be drafted in a later approved version.]</w:t>
      </w:r>
    </w:p>
    <w:p>
      <w:pPr>
        <w:pStyle w:val="Heading1"/>
      </w:pPr>
      <w:r>
        <w:t>6. Discussion</w:t>
      </w:r>
    </w:p>
    <w:p>
      <w:pPr>
        <w:pStyle w:val="DraftingNote"/>
      </w:pPr>
      <w:r>
        <w:t>Interpret results rather than repeat them. Keep limitations close to the claims they qualify and consolidate them in the final subsection.</w:t>
      </w:r>
    </w:p>
    <w:p>
      <w:pPr>
        <w:pStyle w:val="Heading2"/>
      </w:pPr>
      <w:r>
        <w:t>6.1. Separating candidate ranking from documentary evidence</w:t>
      </w:r>
    </w:p>
    <w:p>
      <w:pPr>
        <w:pStyle w:val="Placeholder"/>
      </w:pPr>
      <w:r>
        <w:t>[Section text to be drafted in a later approved version.]</w:t>
      </w:r>
    </w:p>
    <w:p>
      <w:pPr>
        <w:pStyle w:val="Heading2"/>
      </w:pPr>
      <w:r>
        <w:t>6.2. Controlled use of the LLM for explanation</w:t>
      </w:r>
    </w:p>
    <w:p>
      <w:pPr>
        <w:pStyle w:val="Placeholder"/>
      </w:pPr>
      <w:r>
        <w:t>[Section text to be drafted in a later approved version.]</w:t>
      </w:r>
    </w:p>
    <w:p>
      <w:pPr>
        <w:pStyle w:val="Heading2"/>
      </w:pPr>
      <w:r>
        <w:t>6.3. Comparison with prior work</w:t>
      </w:r>
    </w:p>
    <w:p>
      <w:pPr>
        <w:pStyle w:val="Placeholder"/>
      </w:pPr>
      <w:r>
        <w:t>[Section text to be drafted in a later approved version.]</w:t>
      </w:r>
    </w:p>
    <w:p>
      <w:pPr>
        <w:pStyle w:val="Heading2"/>
      </w:pPr>
      <w:r>
        <w:t>6.4. Implications for auditable decision support</w:t>
      </w:r>
    </w:p>
    <w:p>
      <w:pPr>
        <w:pStyle w:val="Placeholder"/>
      </w:pPr>
      <w:r>
        <w:t>[Section text to be drafted in a later approved version.]</w:t>
      </w:r>
    </w:p>
    <w:p>
      <w:pPr>
        <w:pStyle w:val="Heading2"/>
      </w:pPr>
      <w:r>
        <w:t>6.5. Configurability and transfer conditions</w:t>
      </w:r>
    </w:p>
    <w:p>
      <w:pPr>
        <w:pStyle w:val="DraftingNote"/>
      </w:pPr>
      <w:r>
        <w:t>Explain what may be reconfigured and under which preconditions, while preserving the distinction between architecture configurability and empirical generalization.</w:t>
      </w:r>
    </w:p>
    <w:p>
      <w:pPr>
        <w:pStyle w:val="Placeholder"/>
      </w:pPr>
      <w:r>
        <w:t>[Section text to be drafted in a later approved version.]</w:t>
      </w:r>
    </w:p>
    <w:p>
      <w:pPr>
        <w:pStyle w:val="Heading2"/>
      </w:pPr>
      <w:r>
        <w:t>6.6. Limitations</w:t>
      </w:r>
    </w:p>
    <w:p>
      <w:pPr>
        <w:pStyle w:val="DraftingNote"/>
      </w:pPr>
      <w:r>
        <w:t>Consolidate benchmark/data limits, documentary-corpus and normative-drift limits, explanation-evaluation limits, legal-validity boundaries, external validity and reproducibility constraints.</w:t>
      </w:r>
    </w:p>
    <w:p>
      <w:pPr>
        <w:pStyle w:val="Placeholder"/>
      </w:pPr>
      <w:r>
        <w:t>[Section text to be drafted in a later approved version.]</w:t>
      </w:r>
    </w:p>
    <w:p>
      <w:pPr>
        <w:pStyle w:val="Heading1"/>
      </w:pPr>
      <w:r>
        <w:t>7. Conclusion</w:t>
      </w:r>
    </w:p>
    <w:p>
      <w:pPr>
        <w:pStyle w:val="DraftingNote"/>
      </w:pPr>
      <w:r>
        <w:t>Close on contribution → main evidence → scope → implication. Do not introduce new results or new claims of external generalization.</w:t>
      </w:r>
    </w:p>
    <w:p>
      <w:pPr>
        <w:pStyle w:val="Placeholder"/>
      </w:pPr>
      <w:r>
        <w:t>[Section text to be drafted in a later approved version.]</w:t>
      </w:r>
    </w:p>
    <w:p>
      <w:pPr>
        <w:pStyle w:val="Heading1"/>
      </w:pPr>
      <w:r>
        <w:t>Data availability</w:t>
      </w:r>
    </w:p>
    <w:p>
      <w:pPr>
        <w:pStyle w:val="DraftingNote"/>
      </w:pPr>
      <w:r>
        <w:t>Formal availability statement; should point to the public reproducibility resources and clearly distinguish public, restricted and non-redistributable materials.</w:t>
      </w:r>
    </w:p>
    <w:p>
      <w:pPr>
        <w:pStyle w:val="Placeholder"/>
      </w:pPr>
      <w:r>
        <w:t>[Section text to be drafted in a later approved version.]</w:t>
      </w:r>
    </w:p>
    <w:p>
      <w:pPr>
        <w:pStyle w:val="Heading1"/>
      </w:pPr>
      <w:r>
        <w:t>Code and reproducibility resources</w:t>
      </w:r>
    </w:p>
    <w:p>
      <w:pPr>
        <w:pStyle w:val="DraftingNote"/>
      </w:pPr>
      <w:r>
        <w:t>Use as a separate statement only if retained in the final KBS submission format; otherwise integrate with Data availability.</w:t>
      </w:r>
    </w:p>
    <w:p>
      <w:pPr>
        <w:pStyle w:val="Placeholder"/>
      </w:pPr>
      <w:r>
        <w:t>[Section text to be drafted in a later approved version.]</w:t>
      </w:r>
    </w:p>
    <w:p>
      <w:pPr>
        <w:pStyle w:val="Heading1"/>
      </w:pPr>
      <w:r>
        <w:t>CRediT authorship contribution statement</w:t>
      </w:r>
    </w:p>
    <w:p>
      <w:pPr>
        <w:pStyle w:val="Placeholder"/>
      </w:pPr>
      <w:r>
        <w:t>[Section text to be drafted in a later approved version.]</w:t>
      </w:r>
    </w:p>
    <w:p>
      <w:pPr>
        <w:pStyle w:val="Heading1"/>
      </w:pPr>
      <w:r>
        <w:t>Funding</w:t>
      </w:r>
    </w:p>
    <w:p>
      <w:pPr>
        <w:pStyle w:val="Placeholder"/>
      </w:pPr>
      <w:r>
        <w:t>[Section text to be drafted in a later approved version.]</w:t>
      </w:r>
    </w:p>
    <w:p>
      <w:pPr>
        <w:pStyle w:val="Heading1"/>
      </w:pPr>
      <w:r>
        <w:t>Declaration of competing interest</w:t>
      </w:r>
    </w:p>
    <w:p>
      <w:pPr>
        <w:pStyle w:val="Placeholder"/>
      </w:pPr>
      <w:r>
        <w:t>[Section text to be drafted in a later approved version.]</w:t>
      </w:r>
    </w:p>
    <w:p>
      <w:pPr>
        <w:pStyle w:val="Heading1"/>
      </w:pPr>
      <w:r>
        <w:t>Acknowledgements</w:t>
      </w:r>
    </w:p>
    <w:p>
      <w:pPr>
        <w:pStyle w:val="Placeholder"/>
      </w:pPr>
      <w:r>
        <w:t>[Include only if applicable.]</w:t>
      </w:r>
    </w:p>
    <w:p>
      <w:pPr>
        <w:pStyle w:val="Heading1"/>
      </w:pPr>
      <w:r>
        <w:t>References</w:t>
      </w:r>
    </w:p>
    <w:p>
      <w:pPr>
        <w:pStyle w:val="Placeholder"/>
      </w:pPr>
      <w:r>
        <w:t>[Final reference list managed at submission stage according to the current KBS requirements.]</w:t>
      </w:r>
    </w:p>
    <w:p>
      <w:pPr>
        <w:pStyle w:val="Heading1"/>
      </w:pPr>
      <w:r>
        <w:t>Supplementary material</w:t>
      </w:r>
    </w:p>
    <w:p>
      <w:pPr>
        <w:pStyle w:val="DraftingNote"/>
      </w:pPr>
      <w:r>
        <w:t>Include only if needed for extensive rubrics, configurations, tables or supporting artifacts that should not remain in the main text.</w:t>
      </w:r>
    </w:p>
    <w:p>
      <w:pPr>
        <w:pStyle w:val="Placeholder"/>
      </w:pPr>
      <w:r>
        <w:t>[Optional.]</w:t>
      </w:r>
    </w:p>
    <w:p>
      <w:r>
        <w:br w:type="page"/>
      </w:r>
    </w:p>
    <w:p>
      <w:pPr>
        <w:pStyle w:val="Heading1"/>
      </w:pPr>
      <w:r>
        <w:t>PART II — Spanish semantic-control mirror</w:t>
      </w:r>
    </w:p>
    <w:p>
      <w:pPr>
        <w:pStyle w:val="DraftingNote"/>
      </w:pPr>
      <w:r>
        <w:t>Esta parte replica la estructura de la Parte I para control semántico interno. No sustituye al manuscrito inglés de publicación.</w:t>
      </w:r>
    </w:p>
    <w:p>
      <w:pPr>
        <w:pStyle w:val="Heading2"/>
      </w:pPr>
      <w:r>
        <w:t>Título</w:t>
      </w:r>
    </w:p>
    <w:p>
      <w:pPr>
        <w:pStyle w:val="DraftingNote"/>
      </w:pPr>
      <w:r>
        <w:t>Se definirá al final. Debe priorizar la contribución científica/arquitectónica; el dominio aduanero puede aparecer como aplicación o testbed solo si mejora la precisión.</w:t>
      </w:r>
    </w:p>
    <w:p>
      <w:pPr>
        <w:pStyle w:val="Placeholder"/>
      </w:pPr>
      <w:r>
        <w:t>[Título final por redactar cuando el manuscrito esté completo.]</w:t>
      </w:r>
    </w:p>
    <w:p>
      <w:pPr>
        <w:pStyle w:val="Heading2"/>
      </w:pPr>
      <w:r>
        <w:t>Resumen</w:t>
      </w:r>
    </w:p>
    <w:p>
      <w:pPr>
        <w:pStyle w:val="DraftingNote"/>
      </w:pPr>
      <w:r>
        <w:t>Secuencia recomendada: problema concreto → limitación → arquitectura propuesta → evaluación → hallazgos principales → implicación delimitada.</w:t>
      </w:r>
    </w:p>
    <w:p>
      <w:pPr>
        <w:pStyle w:val="Placeholder"/>
      </w:pPr>
      <w:r>
        <w:t>[Section text to be drafted in a later approved version.]</w:t>
      </w:r>
    </w:p>
    <w:p>
      <w:pPr>
        <w:pStyle w:val="Heading2"/>
      </w:pPr>
      <w:r>
        <w:t>Palabras clave</w:t>
      </w:r>
    </w:p>
    <w:p>
      <w:pPr>
        <w:pStyle w:val="Placeholder"/>
      </w:pPr>
      <w:r>
        <w:t>[5–7 palabras clave finales.]</w:t>
      </w:r>
    </w:p>
    <w:p>
      <w:pPr>
        <w:pStyle w:val="Heading1"/>
      </w:pPr>
      <w:r>
        <w:t>1. Introducción</w:t>
      </w:r>
    </w:p>
    <w:p>
      <w:pPr>
        <w:pStyle w:val="DraftingNote"/>
      </w:pPr>
      <w:r>
        <w:t>Narrativa continua: problema → enfoques previos → limitación técnica → importancia → propuesta → contribuciones → contexto de evaluación → preguntas de investigación → organización del artículo.</w:t>
      </w:r>
    </w:p>
    <w:p>
      <w:pPr>
        <w:pStyle w:val="Placeholder"/>
      </w:pPr>
      <w:r>
        <w:t>[Section text to be drafted in a later approved version.]</w:t>
      </w:r>
    </w:p>
    <w:p>
      <w:pPr>
        <w:pStyle w:val="Heading1"/>
      </w:pPr>
      <w:r>
        <w:t>2. Trabajos relacionados</w:t>
      </w:r>
    </w:p>
    <w:p>
      <w:pPr>
        <w:pStyle w:val="DraftingNote"/>
      </w:pPr>
      <w:r>
        <w:t>Organizar por función técnica y cerrar cada subsección con una síntesis útil para el posicionamiento.</w:t>
      </w:r>
    </w:p>
    <w:p>
      <w:pPr>
        <w:pStyle w:val="Placeholder"/>
      </w:pPr>
      <w:r>
        <w:t>[Section text to be drafted in a later approved version.]</w:t>
      </w:r>
    </w:p>
    <w:p>
      <w:pPr>
        <w:pStyle w:val="Heading2"/>
      </w:pPr>
      <w:r>
        <w:t>2.1. Clasificación arancelaria automatizada y recuperación de candidatos</w:t>
      </w:r>
    </w:p>
    <w:p>
      <w:pPr/>
      <w:r>
        <w:t>La clasificación arancelaria automatizada se ha formulado con frecuencia como un problema de predicción de texto a código: un modelo recibe la descripción de un producto o una declaración y devuelve una o más etiquetas HS. Los primeros trabajos abordaron esta tarea como categorización supervisada de texto, con modelos entrenados sobre declaraciones históricas y evaluados en un nivel definido de la jerarquía arancelaria. Ding et al. emplearon un clasificador Background Net para asignar el texto de declaraciones de mercancías a categorías HS, lo que ejemplifica una formulación convencional de clasificación directa (Ding et al., 2015). Trabajos posteriores con CNN mostraron que las descripciones cortas podían clasificarse por separado en HS2 y HS4, y también hicieron visible el aumento de cardinalidad de clases en niveles más finos (Luppes, 2019). A mayor escala, Ruder comparó clasificadores de aprendizaje automático convencional y redes neuronales sobre más de un millón de descripciones de carga distribuidas entre miles de clases HS6 (Ruder, 2020). Estos estudios comparten un objetivo de predicción supervisada, pero difieren en nivel objetivo, espacio de etiquetas, datasets y medidas de evaluación; por ello, sus porcentajes reportados no deben interpretarse como medidas directamente comparables del desempeño de clasificación arancelaria.</w:t>
      </w:r>
    </w:p>
    <w:p>
      <w:pPr/>
      <w:r>
        <w:t>Trabajos posteriores han modificado la representación del texto comercial sin cambiar necesariamente ese objetivo de predicción. Anggoro et al., por ejemplo, ajustaron Sentence-BERT con Multiple Negative Ranking loss para obtener embeddings de transacciones y utilizaron después esas representaciones de longitud fija como entradas de clasificadores SVM y Random Forest para predecir códigos HS (Anggoro et al., 2025). Otros enfoques explotan de manera más explícita la jerarquía. Lee et al. predicen primero un heading de cuatro dígitos, recuperan oraciones pertinentes del manual HS y posteriormente predicen la subpartida de seis dígitos a partir de la descripción del producto junto con las oraciones recuperadas (Lee et al., 2021). Este diseño por etapas difiere de tratar HS2, HS4 o HS6 como objetivos planos independientes, porque la información producida entre niveles puede participar en la decisión posterior.</w:t>
      </w:r>
    </w:p>
    <w:p>
      <w:pPr/>
      <w:r>
        <w:t>Una segunda familia formula el problema como recuperación o ranking, en lugar de una decisión de etiqueta única. Stassin et al. compararon modelos neuronales supervisados con métodos de similitud semántica en HS6, HS8 y HS10 y evaluaron si los códigos pertinentes aparecían en las primeras posiciones de una salida ordenada (Stassin et al., 2023). Pain también empleó similitud textual semántica para generar recomendaciones ordenadas de mercancías y evaluó si el código esperado aparecía entre las sugerencias Top-k (Pain, 2021). En esta formulación, la salida inmediata del modelo es una lista de candidatos que puede apoyar una decisión humana o automatizada posterior. Esta distinción es importante en términos operativos: las métricas Top-k de recuperación evalúan la presencia y el orden de candidatos, mientras que la accuracy de clasificación evalúa una etiqueta seleccionada. Ambos objetivos pueden coexistir en sistemas de asistencia arancelaria, pero sus métricas y denominadores no deben tratarse como intercambiables.</w:t>
      </w:r>
    </w:p>
    <w:p>
      <w:pPr/>
      <w:r>
        <w:t>Una tercera tarea parte de un código ya asignado y pregunta si esa asignación es coherente o plausible. Spichakova y Haav combinan similitud textual con similitud derivada de la taxonomía HS para evaluar la corrección del código asignado y proporcionar predicciones o recomendaciones alternativas (Spichakova &amp; Haav, 2020). Esta validación o corrección no equivale a generar candidatos desde una descripción sin código, porque el código existente forma parte del objeto evaluado y la evaluación depende de supuestos sobre las etiquetas históricas utilizadas como referencia.</w:t>
      </w:r>
    </w:p>
    <w:p>
      <w:pPr/>
      <w:r>
        <w:t>En conjunto, esta literatura abarca clasificación directa, predicción jerárquica por etapas, recuperación/ranking de candidatos y validación posterior a la asignación. Las fronteras entre estas tareas son relevantes porque las mismas tecnologías —embeddings, codificadores neuronales, funciones de similitud o registros históricos— pueden sostener salidas y criterios de evaluación diferentes. También permiten precisar el punto en que el conocimiento documental externo entra al sistema: en algunos diseños participa en la propia decisión de clasificación, mientras que en otros la recuperación se utiliza para exponer material de respaldo alrededor de códigos candidatos. Esta diferencia funcional prepara la siguiente subsección sobre recuperación enriquecida con conocimiento y razonamiento regulatorio.</w:t>
      </w:r>
    </w:p>
    <w:p>
      <w:pPr>
        <w:pStyle w:val="Heading2"/>
      </w:pPr>
      <w:r>
        <w:t>2.2. Recuperación enriquecida con conocimiento y razonamiento regulatorio</w:t>
      </w:r>
    </w:p>
    <w:p>
      <w:pPr>
        <w:pStyle w:val="Placeholder"/>
      </w:pPr>
      <w:r>
        <w:t>[Section text to be drafted in a later approved version.]</w:t>
      </w:r>
    </w:p>
    <w:p>
      <w:pPr>
        <w:pStyle w:val="Heading2"/>
      </w:pPr>
      <w:r>
        <w:t>2.3. LLM para clasificación, razonamiento y explicación</w:t>
      </w:r>
    </w:p>
    <w:p>
      <w:pPr>
        <w:pStyle w:val="Placeholder"/>
      </w:pPr>
      <w:r>
        <w:t>[Section text to be drafted in a later approved version.]</w:t>
      </w:r>
    </w:p>
    <w:p>
      <w:pPr>
        <w:pStyle w:val="Heading2"/>
      </w:pPr>
      <w:r>
        <w:t>2.4. Fundamentación en evidencia, explicabilidad y auditabilidad</w:t>
      </w:r>
    </w:p>
    <w:p>
      <w:pPr>
        <w:pStyle w:val="Placeholder"/>
      </w:pPr>
      <w:r>
        <w:t>[Section text to be drafted in a later approved version.]</w:t>
      </w:r>
    </w:p>
    <w:p>
      <w:pPr>
        <w:pStyle w:val="Heading2"/>
      </w:pPr>
      <w:r>
        <w:t>2.5. Reproducibilidad y evaluación en apoyo a decisiones basado en conocimiento</w:t>
      </w:r>
    </w:p>
    <w:p>
      <w:pPr>
        <w:pStyle w:val="Placeholder"/>
      </w:pPr>
      <w:r>
        <w:t>[Section text to be drafted in a later approved version.]</w:t>
      </w:r>
    </w:p>
    <w:p>
      <w:pPr>
        <w:pStyle w:val="Heading2"/>
      </w:pPr>
      <w:r>
        <w:t>2.6. Posicionamiento del estudio</w:t>
      </w:r>
    </w:p>
    <w:p>
      <w:pPr>
        <w:pStyle w:val="DraftingNote"/>
      </w:pPr>
      <w:r>
        <w:t>Síntesis comparativa; no convertir ausencia dentro del alcance revisado en novelty universal.</w:t>
      </w:r>
    </w:p>
    <w:p>
      <w:pPr>
        <w:pStyle w:val="Placeholder"/>
      </w:pPr>
      <w:r>
        <w:t>[Section text to be drafted in a later approved version.]</w:t>
      </w:r>
    </w:p>
    <w:p>
      <w:pPr>
        <w:pStyle w:val="Heading1"/>
      </w:pPr>
      <w:r>
        <w:t>3. Arquitectura de apoyo a decisiones</w:t>
      </w:r>
    </w:p>
    <w:p>
      <w:pPr>
        <w:pStyle w:val="DraftingNote"/>
      </w:pPr>
      <w:r>
        <w:t>Describir primero la arquitectura general. No abrir esta sección con NANDINA, Capítulo 87, corpus peruano, H100 ni tamaños del experimento.</w:t>
      </w:r>
    </w:p>
    <w:p>
      <w:pPr>
        <w:pStyle w:val="Placeholder"/>
      </w:pPr>
      <w:r>
        <w:t>[Section text to be drafted in a later approved version.]</w:t>
      </w:r>
    </w:p>
    <w:p>
      <w:pPr>
        <w:pStyle w:val="Heading2"/>
      </w:pPr>
      <w:r>
        <w:t>3.1. Vista general y flujo de información</w:t>
      </w:r>
    </w:p>
    <w:p>
      <w:pPr>
        <w:pStyle w:val="DraftingNote"/>
      </w:pPr>
      <w:r>
        <w:t>Explicar el flujo extremo a extremo y ubicar la figura de arquitectura.</w:t>
      </w:r>
    </w:p>
    <w:p>
      <w:pPr>
        <w:pStyle w:val="Placeholder"/>
      </w:pPr>
      <w:r>
        <w:t>[Section text to be drafted in a later approved version.]</w:t>
      </w:r>
    </w:p>
    <w:p>
      <w:pPr>
        <w:pStyle w:val="Heading2"/>
      </w:pPr>
      <w:r>
        <w:t>3.2. Representación y normalización de la consulta</w:t>
      </w:r>
    </w:p>
    <w:p>
      <w:pPr>
        <w:pStyle w:val="Placeholder"/>
      </w:pPr>
      <w:r>
        <w:t>[Section text to be drafted in a later approved version.]</w:t>
      </w:r>
    </w:p>
    <w:p>
      <w:pPr>
        <w:pStyle w:val="Heading2"/>
      </w:pPr>
      <w:r>
        <w:t>3.3. Recuperación histórica y ranking de candidatos</w:t>
      </w:r>
    </w:p>
    <w:p>
      <w:pPr>
        <w:pStyle w:val="Placeholder"/>
      </w:pPr>
      <w:r>
        <w:t>[Section text to be drafted in a later approved version.]</w:t>
      </w:r>
    </w:p>
    <w:p>
      <w:pPr>
        <w:pStyle w:val="Heading2"/>
      </w:pPr>
      <w:r>
        <w:t>3.4. Conjunto fijo de candidatos</w:t>
      </w:r>
    </w:p>
    <w:p>
      <w:pPr>
        <w:pStyle w:val="Placeholder"/>
      </w:pPr>
      <w:r>
        <w:t>[Section text to be drafted in a later approved version.]</w:t>
      </w:r>
    </w:p>
    <w:p>
      <w:pPr>
        <w:pStyle w:val="Heading2"/>
      </w:pPr>
      <w:r>
        <w:t>3.5. Recuperación documental específica por candidato</w:t>
      </w:r>
    </w:p>
    <w:p>
      <w:pPr>
        <w:pStyle w:val="Placeholder"/>
      </w:pPr>
      <w:r>
        <w:t>[Section text to be drafted in a later approved version.]</w:t>
      </w:r>
    </w:p>
    <w:p>
      <w:pPr>
        <w:pStyle w:val="Heading2"/>
      </w:pPr>
      <w:r>
        <w:t>3.6. Construcción de contexto y explicación controlada</w:t>
      </w:r>
    </w:p>
    <w:p>
      <w:pPr>
        <w:pStyle w:val="Placeholder"/>
      </w:pPr>
      <w:r>
        <w:t>[Section text to be drafted in a later approved version.]</w:t>
      </w:r>
    </w:p>
    <w:p>
      <w:pPr>
        <w:pStyle w:val="Heading2"/>
      </w:pPr>
      <w:r>
        <w:t>3.7. Configurabilidad y requisitos de interfaz</w:t>
      </w:r>
    </w:p>
    <w:p>
      <w:pPr>
        <w:pStyle w:val="DraftingNote"/>
      </w:pPr>
      <w:r>
        <w:t>Separar expresamente configurabilidad/replicabilidad de transferencia empírica de desempeño.</w:t>
      </w:r>
    </w:p>
    <w:p>
      <w:pPr>
        <w:pStyle w:val="Placeholder"/>
      </w:pPr>
      <w:r>
        <w:t>[Section text to be drafted in a later approved version.]</w:t>
      </w:r>
    </w:p>
    <w:p>
      <w:pPr>
        <w:pStyle w:val="Heading1"/>
      </w:pPr>
      <w:r>
        <w:t>4. Diseño experimental</w:t>
      </w:r>
    </w:p>
    <w:p>
      <w:pPr>
        <w:pStyle w:val="DraftingNote"/>
      </w:pPr>
      <w:r>
        <w:t>A partir de aquí se introduce la instanciación empírica concreta.</w:t>
      </w:r>
    </w:p>
    <w:p>
      <w:pPr>
        <w:pStyle w:val="Placeholder"/>
      </w:pPr>
      <w:r>
        <w:t>[Section text to be drafted in a later approved version.]</w:t>
      </w:r>
    </w:p>
    <w:p>
      <w:pPr>
        <w:pStyle w:val="Heading2"/>
      </w:pPr>
      <w:r>
        <w:t>4.1. Entorno de evaluación</w:t>
      </w:r>
    </w:p>
    <w:p>
      <w:pPr>
        <w:pStyle w:val="DraftingNote"/>
      </w:pPr>
      <w:r>
        <w:t>Aquí se delimita el testbed regulatorio, el alcance offline y el apoyo a decisiones no vinculante.</w:t>
      </w:r>
    </w:p>
    <w:p>
      <w:pPr>
        <w:pStyle w:val="Placeholder"/>
      </w:pPr>
      <w:r>
        <w:t>[Section text to be drafted in a later approved version.]</w:t>
      </w:r>
    </w:p>
    <w:p>
      <w:pPr>
        <w:pStyle w:val="Heading2"/>
      </w:pPr>
      <w:r>
        <w:t>4.2. Datos históricos</w:t>
      </w:r>
    </w:p>
    <w:p>
      <w:pPr>
        <w:pStyle w:val="Placeholder"/>
      </w:pPr>
      <w:r>
        <w:t>[Section text to be drafted in a later approved version.]</w:t>
      </w:r>
    </w:p>
    <w:p>
      <w:pPr>
        <w:pStyle w:val="Heading3"/>
      </w:pPr>
      <w:r>
        <w:t>4.2.1. Fuente y selección de datos</w:t>
      </w:r>
    </w:p>
    <w:p>
      <w:pPr>
        <w:pStyle w:val="Placeholder"/>
      </w:pPr>
      <w:r>
        <w:t>[Section text to be drafted in a later approved version.]</w:t>
      </w:r>
    </w:p>
    <w:p>
      <w:pPr>
        <w:pStyle w:val="Heading3"/>
      </w:pPr>
      <w:r>
        <w:t>4.2.2. Espacio de clases objetivo</w:t>
      </w:r>
    </w:p>
    <w:p>
      <w:pPr>
        <w:pStyle w:val="Placeholder"/>
      </w:pPr>
      <w:r>
        <w:t>[Section text to be drafted in a later approved version.]</w:t>
      </w:r>
    </w:p>
    <w:p>
      <w:pPr>
        <w:pStyle w:val="Heading3"/>
      </w:pPr>
      <w:r>
        <w:t>4.2.3. Preparación y curación</w:t>
      </w:r>
    </w:p>
    <w:p>
      <w:pPr>
        <w:pStyle w:val="Placeholder"/>
      </w:pPr>
      <w:r>
        <w:t>[Section text to be drafted in a later approved version.]</w:t>
      </w:r>
    </w:p>
    <w:p>
      <w:pPr>
        <w:pStyle w:val="Heading3"/>
      </w:pPr>
      <w:r>
        <w:t>4.2.4. Datasets versionados utilizados en el experimento</w:t>
      </w:r>
    </w:p>
    <w:p>
      <w:pPr>
        <w:pStyle w:val="Placeholder"/>
      </w:pPr>
      <w:r>
        <w:t>[Section text to be drafted in a later approved version.]</w:t>
      </w:r>
    </w:p>
    <w:p>
      <w:pPr>
        <w:pStyle w:val="Heading2"/>
      </w:pPr>
      <w:r>
        <w:t>4.3. Corpus documental</w:t>
      </w:r>
    </w:p>
    <w:p>
      <w:pPr>
        <w:pStyle w:val="Placeholder"/>
      </w:pPr>
      <w:r>
        <w:t>[Section text to be drafted in a later approved version.]</w:t>
      </w:r>
    </w:p>
    <w:p>
      <w:pPr>
        <w:pStyle w:val="Heading3"/>
      </w:pPr>
      <w:r>
        <w:t>4.3.1. Documentos fuente y alcance</w:t>
      </w:r>
    </w:p>
    <w:p>
      <w:pPr>
        <w:pStyle w:val="Placeholder"/>
      </w:pPr>
      <w:r>
        <w:t>[Section text to be drafted in a later approved version.]</w:t>
      </w:r>
    </w:p>
    <w:p>
      <w:pPr>
        <w:pStyle w:val="Heading3"/>
      </w:pPr>
      <w:r>
        <w:t>4.3.2. Preparación del corpus</w:t>
      </w:r>
    </w:p>
    <w:p>
      <w:pPr>
        <w:pStyle w:val="Placeholder"/>
      </w:pPr>
      <w:r>
        <w:t>[Section text to be drafted in a later approved version.]</w:t>
      </w:r>
    </w:p>
    <w:p>
      <w:pPr>
        <w:pStyle w:val="Heading3"/>
      </w:pPr>
      <w:r>
        <w:t>4.3.3. Versionado y validez temporal</w:t>
      </w:r>
    </w:p>
    <w:p>
      <w:pPr>
        <w:pStyle w:val="Placeholder"/>
      </w:pPr>
      <w:r>
        <w:t>[Section text to be drafted in a later approved version.]</w:t>
      </w:r>
    </w:p>
    <w:p>
      <w:pPr>
        <w:pStyle w:val="Heading3"/>
      </w:pPr>
      <w:r>
        <w:t>4.3.4. Índice de recuperación</w:t>
      </w:r>
    </w:p>
    <w:p>
      <w:pPr>
        <w:pStyle w:val="Placeholder"/>
      </w:pPr>
      <w:r>
        <w:t>[Section text to be drafted in a later approved version.]</w:t>
      </w:r>
    </w:p>
    <w:p>
      <w:pPr>
        <w:pStyle w:val="Heading2"/>
      </w:pPr>
      <w:r>
        <w:t>4.4. Particionamiento y control de dependencia</w:t>
      </w:r>
    </w:p>
    <w:p>
      <w:pPr>
        <w:pStyle w:val="DraftingNote"/>
      </w:pPr>
      <w:r>
        <w:t>Serie como unidad de observación; DAM como agrupamiento cuando exista dependencia; controles de leakage, duplicados y near-duplicates.</w:t>
      </w:r>
    </w:p>
    <w:p>
      <w:pPr>
        <w:pStyle w:val="Placeholder"/>
      </w:pPr>
      <w:r>
        <w:t>[Section text to be drafted in a later approved version.]</w:t>
      </w:r>
    </w:p>
    <w:p>
      <w:pPr>
        <w:pStyle w:val="Heading2"/>
      </w:pPr>
      <w:r>
        <w:t>4.5. Configuración del sistema</w:t>
      </w:r>
    </w:p>
    <w:p>
      <w:pPr>
        <w:pStyle w:val="Placeholder"/>
      </w:pPr>
      <w:r>
        <w:t>[Section text to be drafted in a later approved version.]</w:t>
      </w:r>
    </w:p>
    <w:p>
      <w:pPr>
        <w:pStyle w:val="Heading2"/>
      </w:pPr>
      <w:r>
        <w:t>4.6. Marco de evaluación y correspondencia con las preguntas de investigación</w:t>
      </w:r>
    </w:p>
    <w:p>
      <w:pPr>
        <w:pStyle w:val="DraftingNote"/>
      </w:pPr>
      <w:r>
        <w:t>Mapear RQ → función → output → métrica → interpretación permitida.</w:t>
      </w:r>
    </w:p>
    <w:p>
      <w:pPr>
        <w:pStyle w:val="Placeholder"/>
      </w:pPr>
      <w:r>
        <w:t>[Section text to be drafted in a later approved version.]</w:t>
      </w:r>
    </w:p>
    <w:p>
      <w:pPr>
        <w:pStyle w:val="Heading2"/>
      </w:pPr>
      <w:r>
        <w:t>4.7. Evaluación de recuperación de candidatos</w:t>
      </w:r>
    </w:p>
    <w:p>
      <w:pPr>
        <w:pStyle w:val="Placeholder"/>
      </w:pPr>
      <w:r>
        <w:t>[Section text to be drafted in a later approved version.]</w:t>
      </w:r>
    </w:p>
    <w:p>
      <w:pPr>
        <w:pStyle w:val="Heading2"/>
      </w:pPr>
      <w:r>
        <w:t>4.8. Evaluación de recuperación de evidencia documental</w:t>
      </w:r>
    </w:p>
    <w:p>
      <w:pPr>
        <w:pStyle w:val="Placeholder"/>
      </w:pPr>
      <w:r>
        <w:t>[Section text to be drafted in a later approved version.]</w:t>
      </w:r>
    </w:p>
    <w:p>
      <w:pPr>
        <w:pStyle w:val="Heading2"/>
      </w:pPr>
      <w:r>
        <w:t>4.9. Evaluación de explicaciones controladas</w:t>
      </w:r>
    </w:p>
    <w:p>
      <w:pPr>
        <w:pStyle w:val="Placeholder"/>
      </w:pPr>
      <w:r>
        <w:t>[Section text to be drafted in a later approved version.]</w:t>
      </w:r>
    </w:p>
    <w:p>
      <w:pPr>
        <w:pStyle w:val="Heading2"/>
      </w:pPr>
      <w:r>
        <w:t>4.10. Análisis estadístico</w:t>
      </w:r>
    </w:p>
    <w:p>
      <w:pPr>
        <w:pStyle w:val="DraftingNote"/>
      </w:pPr>
      <w:r>
        <w:t>Incorporar solo análisis cerrados y autorizados por el Plan Maestro experimental.</w:t>
      </w:r>
    </w:p>
    <w:p>
      <w:pPr>
        <w:pStyle w:val="Placeholder"/>
      </w:pPr>
      <w:r>
        <w:t>[Section text to be drafted in a later approved version.]</w:t>
      </w:r>
    </w:p>
    <w:p>
      <w:pPr>
        <w:pStyle w:val="Heading2"/>
      </w:pPr>
      <w:r>
        <w:t>4.11. Recursos de reproducibilidad</w:t>
      </w:r>
    </w:p>
    <w:p>
      <w:pPr>
        <w:pStyle w:val="DraftingNote"/>
      </w:pPr>
      <w:r>
        <w:t>Identificar explícitamente el repositorio público y el alcance de sus artefactos.</w:t>
      </w:r>
    </w:p>
    <w:p>
      <w:pPr>
        <w:pStyle w:val="Placeholder"/>
      </w:pPr>
      <w:r>
        <w:t>[Section text to be drafted in a later approved version.]</w:t>
      </w:r>
    </w:p>
    <w:p>
      <w:pPr>
        <w:pStyle w:val="Heading1"/>
      </w:pPr>
      <w:r>
        <w:t>5. Resultados</w:t>
      </w:r>
    </w:p>
    <w:p>
      <w:pPr>
        <w:pStyle w:val="DraftingNote"/>
      </w:pPr>
      <w:r>
        <w:t>Organizar por función/RQ, no por códigos internos de experimentos.</w:t>
      </w:r>
    </w:p>
    <w:p>
      <w:pPr>
        <w:pStyle w:val="Placeholder"/>
      </w:pPr>
      <w:r>
        <w:t>[Section text to be drafted in a later approved version.]</w:t>
      </w:r>
    </w:p>
    <w:p>
      <w:pPr>
        <w:pStyle w:val="Heading2"/>
      </w:pPr>
      <w:r>
        <w:t>5.1. Controles de datos y particiones</w:t>
      </w:r>
    </w:p>
    <w:p>
      <w:pPr>
        <w:pStyle w:val="Placeholder"/>
      </w:pPr>
      <w:r>
        <w:t>[Section text to be drafted in a later approved version.]</w:t>
      </w:r>
    </w:p>
    <w:p>
      <w:pPr>
        <w:pStyle w:val="Heading2"/>
      </w:pPr>
      <w:r>
        <w:t>5.2. Desempeño de recuperación de candidatos</w:t>
      </w:r>
    </w:p>
    <w:p>
      <w:pPr>
        <w:pStyle w:val="DraftingNote"/>
      </w:pPr>
      <w:r>
        <w:t>No denominarlo accuracy global del sistema.</w:t>
      </w:r>
    </w:p>
    <w:p>
      <w:pPr>
        <w:pStyle w:val="Placeholder"/>
      </w:pPr>
      <w:r>
        <w:t>[Section text to be drafted in a later approved version.]</w:t>
      </w:r>
    </w:p>
    <w:p>
      <w:pPr>
        <w:pStyle w:val="Heading2"/>
      </w:pPr>
      <w:r>
        <w:t>5.3. Recuperación de evidencia documental</w:t>
      </w:r>
    </w:p>
    <w:p>
      <w:pPr>
        <w:pStyle w:val="Placeholder"/>
      </w:pPr>
      <w:r>
        <w:t>[Section text to be drafted in a later approved version.]</w:t>
      </w:r>
    </w:p>
    <w:p>
      <w:pPr>
        <w:pStyle w:val="Heading2"/>
      </w:pPr>
      <w:r>
        <w:t>5.4. Calidad de la explicación controlada</w:t>
      </w:r>
    </w:p>
    <w:p>
      <w:pPr>
        <w:pStyle w:val="Placeholder"/>
      </w:pPr>
      <w:r>
        <w:t>[Section text to be drafted in a later approved version.]</w:t>
      </w:r>
    </w:p>
    <w:p>
      <w:pPr>
        <w:pStyle w:val="Heading2"/>
      </w:pPr>
      <w:r>
        <w:t>5.5. Análisis de sensibilidad y robustez</w:t>
      </w:r>
    </w:p>
    <w:p>
      <w:pPr>
        <w:pStyle w:val="Placeholder"/>
      </w:pPr>
      <w:r>
        <w:t>[Section text to be drafted in a later approved version.]</w:t>
      </w:r>
    </w:p>
    <w:p>
      <w:pPr>
        <w:pStyle w:val="Heading2"/>
      </w:pPr>
      <w:r>
        <w:t>5.6. Resultados inferenciales</w:t>
      </w:r>
    </w:p>
    <w:p>
      <w:pPr>
        <w:pStyle w:val="DraftingNote"/>
      </w:pPr>
      <w:r>
        <w:t>Completar solo cuando los análisis pertinentes de Grupo 3 estén cerrados y autorizados.</w:t>
      </w:r>
    </w:p>
    <w:p>
      <w:pPr>
        <w:pStyle w:val="Placeholder"/>
      </w:pPr>
      <w:r>
        <w:t>[Section text to be drafted in a later approved version.]</w:t>
      </w:r>
    </w:p>
    <w:p>
      <w:pPr>
        <w:pStyle w:val="Heading2"/>
      </w:pPr>
      <w:r>
        <w:t>5.7. Síntesis por pregunta de investigación</w:t>
      </w:r>
    </w:p>
    <w:p>
      <w:pPr>
        <w:pStyle w:val="DraftingNote"/>
      </w:pPr>
      <w:r>
        <w:t>Opcional; conservar solo si mejora la lectura.</w:t>
      </w:r>
    </w:p>
    <w:p>
      <w:pPr>
        <w:pStyle w:val="Placeholder"/>
      </w:pPr>
      <w:r>
        <w:t>[Section text to be drafted in a later approved version.]</w:t>
      </w:r>
    </w:p>
    <w:p>
      <w:pPr>
        <w:pStyle w:val="Heading1"/>
      </w:pPr>
      <w:r>
        <w:t>6. Discusión</w:t>
      </w:r>
    </w:p>
    <w:p>
      <w:pPr>
        <w:pStyle w:val="DraftingNote"/>
      </w:pPr>
      <w:r>
        <w:t>Interpretar, comparar y delimitar; no repetir Resultados.</w:t>
      </w:r>
    </w:p>
    <w:p>
      <w:pPr>
        <w:pStyle w:val="Placeholder"/>
      </w:pPr>
      <w:r>
        <w:t>[Section text to be drafted in a later approved version.]</w:t>
      </w:r>
    </w:p>
    <w:p>
      <w:pPr>
        <w:pStyle w:val="Heading2"/>
      </w:pPr>
      <w:r>
        <w:t>6.1. Separación entre ranking de candidatos y evidencia documental</w:t>
      </w:r>
    </w:p>
    <w:p>
      <w:pPr>
        <w:pStyle w:val="Placeholder"/>
      </w:pPr>
      <w:r>
        <w:t>[Section text to be drafted in a later approved version.]</w:t>
      </w:r>
    </w:p>
    <w:p>
      <w:pPr>
        <w:pStyle w:val="Heading2"/>
      </w:pPr>
      <w:r>
        <w:t>6.2. Uso controlado del LLM para explicación</w:t>
      </w:r>
    </w:p>
    <w:p>
      <w:pPr>
        <w:pStyle w:val="Placeholder"/>
      </w:pPr>
      <w:r>
        <w:t>[Section text to be drafted in a later approved version.]</w:t>
      </w:r>
    </w:p>
    <w:p>
      <w:pPr>
        <w:pStyle w:val="Heading2"/>
      </w:pPr>
      <w:r>
        <w:t>6.3. Comparación con trabajos previos</w:t>
      </w:r>
    </w:p>
    <w:p>
      <w:pPr>
        <w:pStyle w:val="Placeholder"/>
      </w:pPr>
      <w:r>
        <w:t>[Section text to be drafted in a later approved version.]</w:t>
      </w:r>
    </w:p>
    <w:p>
      <w:pPr>
        <w:pStyle w:val="Heading2"/>
      </w:pPr>
      <w:r>
        <w:t>6.4. Implicaciones para apoyo a decisiones auditable</w:t>
      </w:r>
    </w:p>
    <w:p>
      <w:pPr>
        <w:pStyle w:val="Placeholder"/>
      </w:pPr>
      <w:r>
        <w:t>[Section text to be drafted in a later approved version.]</w:t>
      </w:r>
    </w:p>
    <w:p>
      <w:pPr>
        <w:pStyle w:val="Heading2"/>
      </w:pPr>
      <w:r>
        <w:t>6.5. Configurabilidad y condiciones de transferencia</w:t>
      </w:r>
    </w:p>
    <w:p>
      <w:pPr>
        <w:pStyle w:val="Placeholder"/>
      </w:pPr>
      <w:r>
        <w:t>[Section text to be drafted in a later approved version.]</w:t>
      </w:r>
    </w:p>
    <w:p>
      <w:pPr>
        <w:pStyle w:val="Heading2"/>
      </w:pPr>
      <w:r>
        <w:t>6.6. Limitaciones</w:t>
      </w:r>
    </w:p>
    <w:p>
      <w:pPr>
        <w:pStyle w:val="DraftingNote"/>
      </w:pPr>
      <w:r>
        <w:t>Consolidar límites de datos, corpus, drift normativo, evaluación de explicaciones, validez jurídica, validez externa y reproducibilidad.</w:t>
      </w:r>
    </w:p>
    <w:p>
      <w:pPr>
        <w:pStyle w:val="Placeholder"/>
      </w:pPr>
      <w:r>
        <w:t>[Section text to be drafted in a later approved version.]</w:t>
      </w:r>
    </w:p>
    <w:p>
      <w:pPr>
        <w:pStyle w:val="Heading1"/>
      </w:pPr>
      <w:r>
        <w:t>7. Conclusión</w:t>
      </w:r>
    </w:p>
    <w:p>
      <w:pPr>
        <w:pStyle w:val="DraftingNote"/>
      </w:pPr>
      <w:r>
        <w:t>Cerrar con aporte → evidencia principal → alcance → implicación.</w:t>
      </w:r>
    </w:p>
    <w:p>
      <w:pPr>
        <w:pStyle w:val="Placeholder"/>
      </w:pPr>
      <w:r>
        <w:t>[Section text to be drafted in a later approved version.]</w:t>
      </w:r>
    </w:p>
    <w:p>
      <w:pPr>
        <w:pStyle w:val="Heading1"/>
      </w:pPr>
      <w:r>
        <w:t>Disponibilidad de datos</w:t>
      </w:r>
    </w:p>
    <w:p>
      <w:pPr>
        <w:pStyle w:val="Placeholder"/>
      </w:pPr>
      <w:r>
        <w:t>[Section text to be drafted in a later approved version.]</w:t>
      </w:r>
    </w:p>
    <w:p>
      <w:pPr>
        <w:pStyle w:val="Heading1"/>
      </w:pPr>
      <w:r>
        <w:t>Código y recursos de reproducibilidad</w:t>
      </w:r>
    </w:p>
    <w:p>
      <w:pPr>
        <w:pStyle w:val="Placeholder"/>
      </w:pPr>
      <w:r>
        <w:t>[Section text to be drafted in a later approved version.]</w:t>
      </w:r>
    </w:p>
    <w:p>
      <w:pPr>
        <w:pStyle w:val="Heading1"/>
      </w:pPr>
      <w:r>
        <w:t>Declaración CRediT de contribución de autoría</w:t>
      </w:r>
    </w:p>
    <w:p>
      <w:pPr>
        <w:pStyle w:val="Placeholder"/>
      </w:pPr>
      <w:r>
        <w:t>[Section text to be drafted in a later approved version.]</w:t>
      </w:r>
    </w:p>
    <w:p>
      <w:pPr>
        <w:pStyle w:val="Heading1"/>
      </w:pPr>
      <w:r>
        <w:t>Financiamiento</w:t>
      </w:r>
    </w:p>
    <w:p>
      <w:pPr>
        <w:pStyle w:val="Placeholder"/>
      </w:pPr>
      <w:r>
        <w:t>[Section text to be drafted in a later approved version.]</w:t>
      </w:r>
    </w:p>
    <w:p>
      <w:pPr>
        <w:pStyle w:val="Heading1"/>
      </w:pPr>
      <w:r>
        <w:t>Declaración de conflictos de interés</w:t>
      </w:r>
    </w:p>
    <w:p>
      <w:pPr>
        <w:pStyle w:val="Placeholder"/>
      </w:pPr>
      <w:r>
        <w:t>[Section text to be drafted in a later approved version.]</w:t>
      </w:r>
    </w:p>
    <w:p>
      <w:pPr>
        <w:pStyle w:val="Heading1"/>
      </w:pPr>
      <w:r>
        <w:t>Agradecimientos</w:t>
      </w:r>
    </w:p>
    <w:p>
      <w:pPr>
        <w:pStyle w:val="Placeholder"/>
      </w:pPr>
      <w:r>
        <w:t>[Section text to be drafted in a later approved version.]</w:t>
      </w:r>
    </w:p>
    <w:p>
      <w:pPr>
        <w:pStyle w:val="Heading1"/>
      </w:pPr>
      <w:r>
        <w:t>Referencias</w:t>
      </w:r>
    </w:p>
    <w:p>
      <w:pPr>
        <w:pStyle w:val="Placeholder"/>
      </w:pPr>
      <w:r>
        <w:t>[Section text to be drafted in a later approved version.]</w:t>
      </w:r>
    </w:p>
    <w:p>
      <w:pPr>
        <w:pStyle w:val="Heading1"/>
      </w:pPr>
      <w:r>
        <w:t>Material suplementario</w:t>
      </w:r>
    </w:p>
    <w:p>
      <w:pPr>
        <w:pStyle w:val="DraftingNote"/>
      </w:pPr>
      <w:r>
        <w:t>Opcional.</w:t>
      </w:r>
    </w:p>
    <w:p>
      <w:pPr>
        <w:pStyle w:val="Placeholder"/>
      </w:pPr>
      <w:r>
        <w:t>[Section text to be drafted in a later approved version.]</w:t>
      </w:r>
    </w:p>
    <w:sectPr w:rsidR="00FC693F" w:rsidRPr="0006063C" w:rsidSect="00034616">
      <w:footerReference w:type="default" r:id="rId9"/>
      <w:pgSz w:w="12240" w:h="15840"/>
      <w:pgMar w:top="1304" w:right="1417" w:bottom="1304" w:left="1417"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IA de Redacción" w:initials="IA" w:date="2026-09-20T02:19:15Z">
    <w:p>
      <w:pPr>
        <w:pStyle w:val="CommentText"/>
      </w:pPr>
      <w:r>
        <w:rPr>
          <w:rStyle w:val="CommentReference"/>
        </w:rPr>
        <w:annotationRef/>
      </w:r>
      <w:r>
        <w:t>Fuente / revista: Procedia Computer Science 60 (2015), 1462–1471 — “Auto-Categorization of HS Code Using Background Net Approach”.</w:t>
      </w:r>
    </w:p>
    <w:p>
      <w:pPr>
        <w:pStyle w:val="CommentText"/>
      </w:pPr>
      <w:r>
        <w:t>Autor(es): Liya Ding; ZhenZhen Fan; DongLiang Chen.</w:t>
      </w:r>
    </w:p>
    <w:p>
      <w:pPr>
        <w:pStyle w:val="CommentText"/>
      </w:pPr>
      <w:r>
        <w:t>Texto original exacto de respaldo: “an auto-categorization system is expected to accurately classify products into HS codes based on the text description of the goods declaration”</w:t>
      </w:r>
    </w:p>
    <w:p>
      <w:pPr>
        <w:pStyle w:val="CommentText"/>
      </w:pPr>
      <w:r>
        <w:t>Traducción al español: “se espera que un sistema de autocategorización clasifique productos en códigos HS a partir de la descripción textual de la declaración de mercancías”.</w:t>
      </w:r>
    </w:p>
    <w:p>
      <w:pPr>
        <w:pStyle w:val="CommentText"/>
      </w:pPr>
      <w:r>
        <w:t>Justificación semántica claim–fuente: Respalda la caracterización del trabajo como clasificación directa de texto de declaraciones hacia categorías HS mediante un clasificador automatizado.</w:t>
      </w:r>
    </w:p>
    <w:p>
      <w:pPr>
        <w:pStyle w:val="CommentText"/>
      </w:pPr>
      <w:r>
        <w:t>Límite de alcance, si corresponde: El artículo evalúa una implementación concreta con Background Nets; no establece superioridad general de esta familia ni equivalencia con retrieval Top-k.</w:t>
      </w:r>
    </w:p>
  </w:comment>
  <w:comment w:id="1" w:author="IA de Redacción" w:initials="IA" w:date="2026-09-20T02:19:15Z">
    <w:p>
      <w:pPr>
        <w:pStyle w:val="CommentText"/>
      </w:pPr>
      <w:r>
        <w:rPr>
          <w:rStyle w:val="CommentReference"/>
        </w:rPr>
        <w:annotationRef/>
      </w:r>
      <w:r>
        <w:t>Fuente / revista: Master thesis, Radboud University (2019) — “Classifying Short Text for the Harmonized System with Convolutional Neural Networks”.</w:t>
      </w:r>
    </w:p>
    <w:p>
      <w:pPr>
        <w:pStyle w:val="CommentText"/>
      </w:pPr>
      <w:r>
        <w:t>Autor(es): Jeffrey Luppes.</w:t>
      </w:r>
    </w:p>
    <w:p>
      <w:pPr>
        <w:pStyle w:val="CommentText"/>
      </w:pPr>
      <w:r>
        <w:t>Texto original exacto de respaldo: “we propose a Convolutional Neural Network (CNN) architecture to label descriptions on the basis of short text descriptions.” / “On the much more complex HS-4 (heading) level we find we can still classify among over 1200 classes”</w:t>
      </w:r>
    </w:p>
    <w:p>
      <w:pPr>
        <w:pStyle w:val="CommentText"/>
      </w:pPr>
      <w:r>
        <w:t>Traducción al español: “proponemos una arquitectura CNN para etiquetar descripciones a partir de descripciones textuales cortas” / “en el nivel HS-4 (heading), mucho más complejo, todavía podemos clasificar entre más de 1200 clases”.</w:t>
      </w:r>
    </w:p>
    <w:p>
      <w:pPr>
        <w:pStyle w:val="CommentText"/>
      </w:pPr>
      <w:r>
        <w:t>Justificación semántica claim–fuente: Respalda tanto la clasificación de texto corto como el aumento de cardinalidad observado al pasar al nivel HS4.</w:t>
      </w:r>
    </w:p>
    <w:p>
      <w:pPr>
        <w:pStyle w:val="CommentText"/>
      </w:pPr>
      <w:r>
        <w:t>Límite de alcance, si corresponde: La tesis evalúa HS2 y HS4; no evalúa HS6 y no autoriza extrapolación a otros niveles o datasets.</w:t>
      </w:r>
    </w:p>
  </w:comment>
  <w:comment w:id="2" w:author="IA de Redacción" w:initials="IA" w:date="2026-09-20T02:19:15Z">
    <w:p>
      <w:pPr>
        <w:pStyle w:val="CommentText"/>
      </w:pPr>
      <w:r>
        <w:rPr>
          <w:rStyle w:val="CommentReference"/>
        </w:rPr>
        <w:annotationRef/>
      </w:r>
      <w:r>
        <w:t>Fuente / revista: Master’s thesis, Tallinn University of Technology (2020) — “Application of Machine Learning for Automated HS-6 Code Assignment”.</w:t>
      </w:r>
    </w:p>
    <w:p>
      <w:pPr>
        <w:pStyle w:val="CommentText"/>
      </w:pPr>
      <w:r>
        <w:t>Autor(es): Deniss Ruder.</w:t>
      </w:r>
    </w:p>
    <w:p>
      <w:pPr>
        <w:pStyle w:val="CommentText"/>
      </w:pPr>
      <w:r>
        <w:t>Texto original exacto de respaldo: “Our research examined 1124874 US import cargo descriptions represented by 3243 unique HS-6 codes”</w:t>
      </w:r>
    </w:p>
    <w:p>
      <w:pPr>
        <w:pStyle w:val="CommentText"/>
      </w:pPr>
      <w:r>
        <w:t>Traducción al español: “nuestra investigación examinó 1,124,874 descripciones de carga de importación de EE. UU. representadas por 3,243 códigos HS-6 únicos”.</w:t>
      </w:r>
    </w:p>
    <w:p>
      <w:pPr>
        <w:pStyle w:val="CommentText"/>
      </w:pPr>
      <w:r>
        <w:t>Justificación semántica claim–fuente: Respalda la escala del dataset y el amplio espacio de clases HS6 en el estudio comparativo de clasificadores.</w:t>
      </w:r>
    </w:p>
    <w:p>
      <w:pPr>
        <w:pStyle w:val="CommentText"/>
      </w:pPr>
      <w:r>
        <w:t>Límite de alcance, si corresponde: Se usa aquí para caracterizar escala y formulación de tarea, no para comparar directamente sus métricas con otros estudios.</w:t>
      </w:r>
    </w:p>
  </w:comment>
  <w:comment w:id="3" w:author="IA de Redacción" w:initials="IA" w:date="2026-09-20T02:19:15Z">
    <w:p>
      <w:pPr>
        <w:pStyle w:val="CommentText"/>
      </w:pPr>
      <w:r>
        <w:rPr>
          <w:rStyle w:val="CommentReference"/>
        </w:rPr>
        <w:annotationRef/>
      </w:r>
      <w:r>
        <w:t>Fuente / revista: Data Technologies and Applications 59(2), 279–301 (2025), DOI 10.1108/DTA-01-2024-0052 — “Harmonized System Code Classification using Supervised Contrastive Learning with Sentence BERT and Multiple Negative Ranking Loss”.</w:t>
      </w:r>
    </w:p>
    <w:p>
      <w:pPr>
        <w:pStyle w:val="CommentText"/>
      </w:pPr>
      <w:r>
        <w:t>Autor(es): Angga Anggoro; Padraig Corcoran; Dennis De Widt; Yuhua Li.</w:t>
      </w:r>
    </w:p>
    <w:p>
      <w:pPr>
        <w:pStyle w:val="CommentText"/>
      </w:pPr>
      <w:r>
        <w:t>Texto original exacto de respaldo: “generation of sentence embeddings for trade transactions, employing Sentence BERT (SBERT) framework in conjunction with the Multiple Negative Ranking (MNR) Loss function” / “These fixed-length embeddings serve as adaptable inputs for training machine learning models, including Support Vector Machine (SVM) and Random Forest”</w:t>
      </w:r>
    </w:p>
    <w:p>
      <w:pPr>
        <w:pStyle w:val="CommentText"/>
      </w:pPr>
      <w:r>
        <w:t>Traducción al español: “generación de embeddings de oraciones para transacciones comerciales empleando Sentence-BERT junto con Multiple Negative Ranking Loss” / “estos embeddings de longitud fija sirven como entradas para entrenar modelos, incluidos SVM y Random Forest”.</w:t>
      </w:r>
    </w:p>
    <w:p>
      <w:pPr>
        <w:pStyle w:val="CommentText"/>
      </w:pPr>
      <w:r>
        <w:t>Justificación semántica claim–fuente: Respalda que el avance metodológico se centra en la representación con SBERT+MNR y que esa representación alimenta clasificadores posteriores.</w:t>
      </w:r>
    </w:p>
    <w:p>
      <w:pPr>
        <w:pStyle w:val="CommentText"/>
      </w:pPr>
      <w:r>
        <w:t>Límite de alcance, si corresponde: No se presenta el ranking loss como retrieval de códigos ni se extrapola el rendimiento a otros datasets.</w:t>
      </w:r>
    </w:p>
  </w:comment>
  <w:comment w:id="4" w:author="IA de Redacción" w:initials="IA" w:date="2026-09-20T02:19:15Z">
    <w:p>
      <w:pPr>
        <w:pStyle w:val="CommentText"/>
      </w:pPr>
      <w:r>
        <w:rPr>
          <w:rStyle w:val="CommentReference"/>
        </w:rPr>
        <w:annotationRef/>
      </w:r>
      <w:r>
        <w:t>Fuente / revista: arXiv:2111.01663v1 (2021) — “Classification of Goods Using Text Descriptions With Sentences Retrieval”.</w:t>
      </w:r>
    </w:p>
    <w:p>
      <w:pPr>
        <w:pStyle w:val="CommentText"/>
      </w:pPr>
      <w:r>
        <w:t>Autor(es): Eunji Lee; Sundong Kim; Sihyun Kim; Sungwon Park; Meeyoung Cha; Soyeon Jung; Suyoung Yang; Yeonsoo Choi; Sungdae Ji; Minsoo Song; Heeja Kim.</w:t>
      </w:r>
    </w:p>
    <w:p>
      <w:pPr>
        <w:pStyle w:val="CommentText"/>
      </w:pPr>
      <w:r>
        <w:t>Texto original exacto de respaldo: “First, the model suggests 4-digit HS codes (headings) based on product descriptions with pre-trained language models. Then, it retrieves key sentences from the HS manual that are most related to the product. Next, the model suggests 6-digit HS codes (subheadings) using product descriptions and retrieved sentences.”</w:t>
      </w:r>
    </w:p>
    <w:p>
      <w:pPr>
        <w:pStyle w:val="CommentText"/>
      </w:pPr>
      <w:r>
        <w:t>Traducción al español: “primero el modelo sugiere códigos HS de 4 dígitos; luego recupera oraciones clave del manual HS; después sugiere códigos HS de 6 dígitos usando la descripción y las oraciones recuperadas”.</w:t>
      </w:r>
    </w:p>
    <w:p>
      <w:pPr>
        <w:pStyle w:val="CommentText"/>
      </w:pPr>
      <w:r>
        <w:t>Justificación semántica claim–fuente: Respalda la formulación jerárquica por etapas heading→sentence retrieval→subheading y que la evidencia recuperada participa en la predicción posterior.</w:t>
      </w:r>
    </w:p>
    <w:p>
      <w:pPr>
        <w:pStyle w:val="CommentText"/>
      </w:pPr>
      <w:r>
        <w:t>Límite de alcance, si corresponde: La cita describe el flujo del paper; no se equipara su retrieval del manual con una etapa posterior que no modifique candidatos.</w:t>
      </w:r>
    </w:p>
  </w:comment>
  <w:comment w:id="5" w:author="IA de Redacción" w:initials="IA" w:date="2026-09-20T02:19:15Z">
    <w:p>
      <w:pPr>
        <w:pStyle w:val="CommentText"/>
      </w:pPr>
      <w:r>
        <w:rPr>
          <w:rStyle w:val="CommentReference"/>
        </w:rPr>
        <w:annotationRef/>
      </w:r>
      <w:r>
        <w:t>Fuente / revista: ESANN 2023 Proceedings — “Similarity versus Supervision: Best Approaches for HS Code Prediction”.</w:t>
      </w:r>
    </w:p>
    <w:p>
      <w:pPr>
        <w:pStyle w:val="CommentText"/>
      </w:pPr>
      <w:r>
        <w:t>Autor(es): Sédrick Stassin; Otmane Amel; Sidi Ahmed Mahmoudi; Xavier Siebert.</w:t>
      </w:r>
    </w:p>
    <w:p>
      <w:pPr>
        <w:pStyle w:val="CommentText"/>
      </w:pPr>
      <w:r>
        <w:t>Texto original exacto de respaldo: “we first compare the performance of sentence embedding models using semantic similarity, and second, we assess the effectiveness of supervised models, both aimed at predicting up to the HS10 code.” / “empowering users to make informed decisions through a top-3 or top-5 classification, rather than an automatic top-1 choice”</w:t>
      </w:r>
    </w:p>
    <w:p>
      <w:pPr>
        <w:pStyle w:val="CommentText"/>
      </w:pPr>
      <w:r>
        <w:t>Traducción al español: “primero comparamos modelos de embeddings mediante similitud semántica y luego modelos supervisados, ambos hasta HS10” / “permitir decisiones mediante una clasificación Top-3 o Top-5 en lugar de una selección Top-1 automática”.</w:t>
      </w:r>
    </w:p>
    <w:p>
      <w:pPr>
        <w:pStyle w:val="CommentText"/>
      </w:pPr>
      <w:r>
        <w:t>Justificación semántica claim–fuente: Respalda la comparación entre similitud semántica y supervisión, así como la salida Top-k orientada a candidatos.</w:t>
      </w:r>
    </w:p>
    <w:p>
      <w:pPr>
        <w:pStyle w:val="CommentText"/>
      </w:pPr>
      <w:r>
        <w:t>Límite de alcance, si corresponde: Los porcentajes específicos del paper no se comparan aquí con métricas de otros datasets o tareas.</w:t>
      </w:r>
    </w:p>
  </w:comment>
  <w:comment w:id="6" w:author="IA de Redacción" w:initials="IA" w:date="2026-09-20T02:19:15Z">
    <w:p>
      <w:pPr>
        <w:pStyle w:val="CommentText"/>
      </w:pPr>
      <w:r>
        <w:rPr>
          <w:rStyle w:val="CommentReference"/>
        </w:rPr>
        <w:annotationRef/>
      </w:r>
      <w:r>
        <w:t>Fuente / revista: Master of Computer Science thesis, Dalhousie University (2021) — “Harmonized System Code Classification Using Transfer Learning With Pre-Trained Weights”.</w:t>
      </w:r>
    </w:p>
    <w:p>
      <w:pPr>
        <w:pStyle w:val="CommentText"/>
      </w:pPr>
      <w:r>
        <w:t>Autor(es): Koustav Pain (Tukai).</w:t>
      </w:r>
    </w:p>
    <w:p>
      <w:pPr>
        <w:pStyle w:val="CommentText"/>
      </w:pPr>
      <w:r>
        <w:t>Texto original exacto de respaldo: “what we are most interested in, is to know if this correct commodity code appeared in the top k suggestions by the model.”</w:t>
      </w:r>
    </w:p>
    <w:p>
      <w:pPr>
        <w:pStyle w:val="CommentText"/>
      </w:pPr>
      <w:r>
        <w:t>Traducción al español: “lo que más nos interesa es saber si el código correcto de la mercancía apareció entre las sugerencias Top-k del modelo”.</w:t>
      </w:r>
    </w:p>
    <w:p>
      <w:pPr>
        <w:pStyle w:val="CommentText"/>
      </w:pPr>
      <w:r>
        <w:t>Justificación semántica claim–fuente: Respalda la formulación de recomendación/ranking en la que se evalúa la presencia del código esperado dentro del Top-k.</w:t>
      </w:r>
    </w:p>
    <w:p>
      <w:pPr>
        <w:pStyle w:val="CommentText"/>
      </w:pPr>
      <w:r>
        <w:t>Límite de alcance, si corresponde: El corpus de referencia de descripciones se usa para ranking por similitud; no se presenta como evidencia normativa posterior.</w:t>
      </w:r>
    </w:p>
  </w:comment>
  <w:comment w:id="7" w:author="IA de Redacción" w:initials="IA" w:date="2026-09-20T02:19:15Z">
    <w:p>
      <w:pPr>
        <w:pStyle w:val="CommentText"/>
      </w:pPr>
      <w:r>
        <w:rPr>
          <w:rStyle w:val="CommentReference"/>
        </w:rPr>
        <w:annotationRef/>
      </w:r>
      <w:r>
        <w:t>Fuente / revista: Baltic Journal of Modern Computing 8(4), 698–718 (2020), DOI 10.22364/bjmc.2020.8.4.13 — “Application of Machine Learning for Assessment of HS Code Correctness”.</w:t>
      </w:r>
    </w:p>
    <w:p>
      <w:pPr>
        <w:pStyle w:val="CommentText"/>
      </w:pPr>
      <w:r>
        <w:t>Autor(es): Margarita Spichakova; Hele-Mai Haav.</w:t>
      </w:r>
    </w:p>
    <w:p>
      <w:pPr>
        <w:pStyle w:val="CommentText"/>
      </w:pPr>
      <w:r>
        <w:t>Texto original exacto de respaldo: “machine learning methods to assess the correctness of Harmonized System codes” / “a novel combined similarity measure based on cosine similarity of texts and semantic similarity of Harmonized System codes calculated according to their taxonomy.”</w:t>
      </w:r>
    </w:p>
    <w:p>
      <w:pPr>
        <w:pStyle w:val="CommentText"/>
      </w:pPr>
      <w:r>
        <w:t>Traducción al español: “métodos de aprendizaje automático para evaluar la corrección de códigos HS” / “una medida combinada de similitud basada en similitud coseno de textos y similitud semántica de códigos HS calculada según su taxonomía”.</w:t>
      </w:r>
    </w:p>
    <w:p>
      <w:pPr>
        <w:pStyle w:val="CommentText"/>
      </w:pPr>
      <w:r>
        <w:t>Justificación semántica claim–fuente: Respalda que el objetivo es evaluar un código ya asignado mediante similitud textual y taxonómica, distinto de generar candidatos desde cero.</w:t>
      </w:r>
    </w:p>
    <w:p>
      <w:pPr>
        <w:pStyle w:val="CommentText"/>
      </w:pPr>
      <w:r>
        <w:t>Límite de alcance, si corresponde: El estudio asume como referencia los códigos históricos; no equivale a ground truth jurídico independiente.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KBS_ARTICLE_WORKING_STRUCTURE_V01 — cumulative internal working base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1"/>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1F1F"/>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1F1F1F"/>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1F1F1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contextualSpacing/>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raftingNote">
    <w:name w:val="Drafting Note"/>
    <w:pPr>
      <w:spacing w:after="100"/>
      <w:ind w:left="170"/>
    </w:pPr>
    <w:rPr>
      <w:rFonts w:ascii="Arial" w:hAnsi="Arial"/>
      <w:i/>
      <w:color w:val="5F5F5F"/>
      <w:sz w:val="19"/>
    </w:rPr>
  </w:style>
  <w:style w:type="paragraph" w:customStyle="1" w:styleId="Placeholder">
    <w:name w:val="Placeholder"/>
    <w:pPr>
      <w:spacing w:after="120"/>
      <w:ind w:left="283"/>
    </w:pPr>
    <w:rPr>
      <w:rFonts w:ascii="Arial" w:hAnsi="Arial"/>
      <w:i/>
      <w:color w:val="6E6E6E"/>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