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80" w:after="0" w:line="307" w:lineRule="auto"/>
        <w:jc w:val="center"/>
      </w:pPr>
      <w:r>
        <w:rPr>
          <w:rFonts w:ascii="buDrakonit 2.1" w:hAnsi="buDrakonit 2.1" w:cs="buDrakonit 2.1"/>
          <w:b/>
          <w:bCs/>
          <w:color w:val="2e6e78"/>
          <w:sz w:val="52"/>
          <w:szCs w:val="52"/>
          <w:rtl/>
        </w:rPr>
        <w:t xml:space="preserve">מאגר מבדק תנ״ך · כיתה ו'</w:t>
      </w:r>
    </w:p>
    <w:p>
      <w:pPr>
        <w:bidi/>
        <w:spacing w:before="40" w:after="40" w:line="307" w:lineRule="auto"/>
        <w:jc w:val="center"/>
      </w:pPr>
      <w:r>
        <w:rPr>
          <w:rFonts w:ascii="David" w:hAnsi="David" w:cs="David"/>
          <w:b/>
          <w:bCs/>
          <w:color w:val="1a1a1a"/>
          <w:sz w:val="30"/>
          <w:szCs w:val="30"/>
          <w:rtl/>
        </w:rPr>
        <w:t xml:space="preserve">שאלות לדוגמה — מסמך בדיקת איכות</w:t>
      </w:r>
    </w:p>
    <w:p>
      <w:pPr>
        <w:bidi/>
        <w:spacing w:before="0" w:after="200" w:line="307" w:lineRule="auto"/>
        <w:jc w:val="center"/>
      </w:pPr>
      <w:r>
        <w:rPr>
          <w:rFonts w:ascii="David" w:hAnsi="David" w:cs="David"/>
          <w:color w:val="5f5f5f"/>
          <w:sz w:val="21"/>
          <w:szCs w:val="21"/>
          <w:rtl/>
        </w:rPr>
        <w:t xml:space="preserve">19 שאלות בסגנון המבדק · נגזרות מדוגמת המבדק הרשמית של ראמ״ה · התשובות הנכונות מסומנות</w:t>
      </w:r>
    </w:p>
    <w:p>
      <w:pPr>
        <w:keepNext/>
        <w:keepLines/>
        <w:shd w:val="clear" w:color="auto" w:fill="4f8f99"/>
        <w:bidi/>
        <w:spacing w:before="240" w:after="120" w:line="288" w:lineRule="auto"/>
      </w:pPr>
      <w:r>
        <w:rPr>
          <w:rFonts w:ascii="David" w:hAnsi="David" w:cs="David"/>
          <w:b/>
          <w:bCs/>
          <w:color w:val="ffffff"/>
          <w:sz w:val="26"/>
          <w:szCs w:val="26"/>
          <w:rtl/>
        </w:rPr>
        <w:t xml:space="preserve">  יחידה 1 · נושאי לימוד — חוקים חברתיים (ויקרא י״ט)</w:t>
      </w:r>
    </w:p>
    <w:p>
      <w:pPr>
        <w:keepNext/>
        <w:keepLines/>
        <w:bidi/>
        <w:spacing w:before="180" w:after="20" w:line="288" w:lineRule="auto"/>
      </w:pPr>
      <w:r>
        <w:rPr>
          <w:rFonts w:ascii="David" w:hAnsi="David" w:cs="David"/>
          <w:b/>
          <w:bCs/>
          <w:color w:val="2e6e78"/>
          <w:sz w:val="26"/>
          <w:szCs w:val="26"/>
          <w:rtl/>
        </w:rPr>
        <w:t xml:space="preserve">שאלה 1</w:t>
      </w:r>
      <w:r>
        <w:rPr>
          <w:rFonts w:ascii="David" w:hAnsi="David" w:cs="David"/>
          <w:color w:val="5f5f5f"/>
          <w:sz w:val="20"/>
          <w:szCs w:val="20"/>
          <w:rtl/>
        </w:rPr>
        <w:t xml:space="preserve">    [רב-ברירה]</w:t>
      </w:r>
    </w:p>
    <w:p>
      <w:pPr>
        <w:keepNext/>
        <w:keepLines/>
        <w:bidi/>
        <w:spacing w:before="20" w:after="80" w:line="312" w:lineRule="auto"/>
      </w:pPr>
      <w:r>
        <w:rPr>
          <w:rFonts w:ascii="David" w:hAnsi="David" w:cs="David"/>
          <w:b/>
          <w:bCs/>
          <w:color w:val="1a1a1a"/>
          <w:sz w:val="24"/>
          <w:szCs w:val="24"/>
          <w:rtl/>
        </w:rPr>
        <w:t xml:space="preserve">לפניכם שני חוקים: “וְלֹא תְשַׁקְּרוּ אִישׁ בַּעֲמִיתוֹ” · “לֹא תִגְנֹבוּ וְלֹא תְכַחֲשׁוּ”. מהו הערך המשותף להם?</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(1)</w:t>
      </w:r>
      <w:r>
        <w:rPr>
          <w:rFonts w:ascii="David" w:hAnsi="David" w:cs="David"/>
          <w:color w:val="1a1a1a"/>
          <w:sz w:val="22"/>
          <w:szCs w:val="22"/>
          <w:rtl/>
        </w:rPr>
        <w:tab/>
      </w:r>
      <w:r>
        <w:rPr>
          <w:rFonts w:ascii="David" w:hAnsi="David" w:cs="David"/>
          <w:color w:val="1a1a1a"/>
          <w:sz w:val="23"/>
          <w:szCs w:val="23"/>
          <w:rtl/>
        </w:rPr>
        <w:t xml:space="preserve">עזרה לזולת</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(2)</w:t>
      </w:r>
      <w:r>
        <w:rPr>
          <w:rFonts w:ascii="David" w:hAnsi="David" w:cs="David"/>
          <w:color w:val="1a1a1a"/>
          <w:sz w:val="22"/>
          <w:szCs w:val="22"/>
          <w:rtl/>
        </w:rPr>
        <w:tab/>
      </w:r>
      <w:r>
        <w:rPr>
          <w:rFonts w:ascii="David" w:hAnsi="David" w:cs="David"/>
          <w:color w:val="1a1a1a"/>
          <w:sz w:val="23"/>
          <w:szCs w:val="23"/>
          <w:rtl/>
        </w:rPr>
        <w:t xml:space="preserve">סבלנות</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(3)</w:t>
      </w:r>
      <w:r>
        <w:rPr>
          <w:rFonts w:ascii="David" w:hAnsi="David" w:cs="David"/>
          <w:color w:val="1a1a1a"/>
          <w:sz w:val="22"/>
          <w:szCs w:val="22"/>
          <w:rtl/>
        </w:rPr>
        <w:tab/>
      </w:r>
      <w:r>
        <w:rPr>
          <w:rFonts w:ascii="David" w:hAnsi="David" w:cs="David"/>
          <w:b/>
          <w:bCs/>
          <w:color w:val="2e7d46"/>
          <w:sz w:val="23"/>
          <w:szCs w:val="23"/>
          <w:rtl/>
        </w:rPr>
        <w:t xml:space="preserve">יושר</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(4)</w:t>
      </w:r>
      <w:r>
        <w:rPr>
          <w:rFonts w:ascii="David" w:hAnsi="David" w:cs="David"/>
          <w:color w:val="1a1a1a"/>
          <w:sz w:val="22"/>
          <w:szCs w:val="22"/>
          <w:rtl/>
        </w:rPr>
        <w:tab/>
      </w:r>
      <w:r>
        <w:rPr>
          <w:rFonts w:ascii="David" w:hAnsi="David" w:cs="David"/>
          <w:color w:val="1a1a1a"/>
          <w:sz w:val="23"/>
          <w:szCs w:val="23"/>
          <w:rtl/>
        </w:rPr>
        <w:t xml:space="preserve">אחריות</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שני החוקים עוסקים באמירת אמת — הערך המשותף הוא יושר.</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2</w:t>
      </w:r>
      <w:r>
        <w:rPr>
          <w:rFonts w:ascii="David" w:hAnsi="David" w:cs="David"/>
          <w:color w:val="5f5f5f"/>
          <w:sz w:val="20"/>
          <w:szCs w:val="20"/>
          <w:rtl/>
        </w:rPr>
        <w:t xml:space="preserve">    [רב-ברירה]</w:t>
      </w:r>
    </w:p>
    <w:p>
      <w:pPr>
        <w:keepNext/>
        <w:keepLines/>
        <w:bidi/>
        <w:spacing w:before="20" w:after="80" w:line="312" w:lineRule="auto"/>
      </w:pPr>
      <w:r>
        <w:rPr>
          <w:rFonts w:ascii="David" w:hAnsi="David" w:cs="David"/>
          <w:b/>
          <w:bCs/>
          <w:color w:val="1a1a1a"/>
          <w:sz w:val="24"/>
          <w:szCs w:val="24"/>
          <w:rtl/>
        </w:rPr>
        <w:t xml:space="preserve">“וְהָדַרְתָּ פְּנֵי זָקֵן” · “מִפְּנֵי שֵׂיבָה תָּקוּם” — מה משותף לשני החוקים?</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(1)</w:t>
      </w:r>
      <w:r>
        <w:rPr>
          <w:rFonts w:ascii="David" w:hAnsi="David" w:cs="David"/>
          <w:color w:val="1a1a1a"/>
          <w:sz w:val="22"/>
          <w:szCs w:val="22"/>
          <w:rtl/>
        </w:rPr>
        <w:tab/>
      </w:r>
      <w:r>
        <w:rPr>
          <w:rFonts w:ascii="David" w:hAnsi="David" w:cs="David"/>
          <w:color w:val="1a1a1a"/>
          <w:sz w:val="23"/>
          <w:szCs w:val="23"/>
          <w:rtl/>
        </w:rPr>
        <w:t xml:space="preserve">הדרישה להסכים עם אנשים מבוגרים</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(2)</w:t>
      </w:r>
      <w:r>
        <w:rPr>
          <w:rFonts w:ascii="David" w:hAnsi="David" w:cs="David"/>
          <w:color w:val="1a1a1a"/>
          <w:sz w:val="22"/>
          <w:szCs w:val="22"/>
          <w:rtl/>
        </w:rPr>
        <w:tab/>
      </w:r>
      <w:r>
        <w:rPr>
          <w:rFonts w:ascii="David" w:hAnsi="David" w:cs="David"/>
          <w:b/>
          <w:bCs/>
          <w:color w:val="2e7d46"/>
          <w:sz w:val="23"/>
          <w:szCs w:val="23"/>
          <w:rtl/>
        </w:rPr>
        <w:t xml:space="preserve">הדרישה לכבד אנשים מבוגרים</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(3)</w:t>
      </w:r>
      <w:r>
        <w:rPr>
          <w:rFonts w:ascii="David" w:hAnsi="David" w:cs="David"/>
          <w:color w:val="1a1a1a"/>
          <w:sz w:val="22"/>
          <w:szCs w:val="22"/>
          <w:rtl/>
        </w:rPr>
        <w:tab/>
      </w:r>
      <w:r>
        <w:rPr>
          <w:rFonts w:ascii="David" w:hAnsi="David" w:cs="David"/>
          <w:color w:val="1a1a1a"/>
          <w:sz w:val="23"/>
          <w:szCs w:val="23"/>
          <w:rtl/>
        </w:rPr>
        <w:t xml:space="preserve">הדרישה ללמוד מאנשים מבוגרים</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(4)</w:t>
      </w:r>
      <w:r>
        <w:rPr>
          <w:rFonts w:ascii="David" w:hAnsi="David" w:cs="David"/>
          <w:color w:val="1a1a1a"/>
          <w:sz w:val="22"/>
          <w:szCs w:val="22"/>
          <w:rtl/>
        </w:rPr>
        <w:tab/>
      </w:r>
      <w:r>
        <w:rPr>
          <w:rFonts w:ascii="David" w:hAnsi="David" w:cs="David"/>
          <w:color w:val="1a1a1a"/>
          <w:sz w:val="23"/>
          <w:szCs w:val="23"/>
          <w:rtl/>
        </w:rPr>
        <w:t xml:space="preserve">הדרישה לציית לאנשים מבוגרים</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שני החוקים דורשים לכבד אנשים מבוגרים — לקום מפניהם ולהדר את פניהם.</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3</w:t>
      </w:r>
      <w:r>
        <w:rPr>
          <w:rFonts w:ascii="David" w:hAnsi="David" w:cs="David"/>
          <w:color w:val="5f5f5f"/>
          <w:sz w:val="20"/>
          <w:szCs w:val="20"/>
          <w:rtl/>
        </w:rPr>
        <w:t xml:space="preserve">    [השלמה]</w:t>
      </w:r>
    </w:p>
    <w:p>
      <w:pPr>
        <w:keepNext/>
        <w:keepLines/>
        <w:bidi/>
        <w:spacing w:before="20" w:after="80" w:line="312" w:lineRule="auto"/>
      </w:pPr>
      <w:r>
        <w:rPr>
          <w:rFonts w:ascii="David" w:hAnsi="David" w:cs="David"/>
          <w:b/>
          <w:bCs/>
          <w:color w:val="1a1a1a"/>
          <w:sz w:val="24"/>
          <w:szCs w:val="24"/>
          <w:rtl/>
        </w:rPr>
        <w:t xml:space="preserve">איזה חוק מלמד אותנו ש“קבוצת ילדים לעגה לילד אחר בזמן שהוא לא היה בחדר” זו התנהגות לא ראויה? (כתבו את החוק בלשון התורה)</w:t>
      </w:r>
    </w:p>
    <w:p>
      <w:pPr>
        <w:keepNext/>
        <w:keepLines/>
        <w:bidi/>
        <w:spacing w:before="40" w:after="40" w:line="300" w:lineRule="auto"/>
      </w:pPr>
      <w:r>
        <w:rPr>
          <w:rFonts w:ascii="David" w:hAnsi="David" w:cs="David"/>
          <w:b/>
          <w:bCs/>
          <w:color w:val="2e7d46"/>
          <w:sz w:val="23"/>
          <w:szCs w:val="23"/>
          <w:rtl/>
        </w:rPr>
        <w:t xml:space="preserve">התשובה: </w:t>
      </w:r>
      <w:r>
        <w:rPr>
          <w:rFonts w:ascii="David" w:hAnsi="David" w:cs="David"/>
          <w:b/>
          <w:bCs/>
          <w:color w:val="2e7d46"/>
          <w:sz w:val="23"/>
          <w:szCs w:val="23"/>
          <w:rtl/>
        </w:rPr>
        <w:t xml:space="preserve">לֹא תֵלֵךְ רָכִיל בְּעַמֶּיךָ</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אסור לספר לשון הרע על אחרים.</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4</w:t>
      </w:r>
      <w:r>
        <w:rPr>
          <w:rFonts w:ascii="David" w:hAnsi="David" w:cs="David"/>
          <w:color w:val="5f5f5f"/>
          <w:sz w:val="20"/>
          <w:szCs w:val="20"/>
          <w:rtl/>
        </w:rPr>
        <w:t xml:space="preserve">    [פתוחה · ערכים]</w:t>
      </w:r>
    </w:p>
    <w:p>
      <w:pPr>
        <w:keepNext/>
        <w:keepLines/>
        <w:bidi/>
        <w:spacing w:before="20" w:after="80" w:line="312" w:lineRule="auto"/>
      </w:pPr>
      <w:r>
        <w:rPr>
          <w:rFonts w:ascii="David" w:hAnsi="David" w:cs="David"/>
          <w:b/>
          <w:bCs/>
          <w:color w:val="1a1a1a"/>
          <w:sz w:val="24"/>
          <w:szCs w:val="24"/>
          <w:rtl/>
        </w:rPr>
        <w:t xml:space="preserve">בחרו אחד מהחוקים: “וְאָהַבְתָּ לְרֵעֲךָ כָּמוֹךָ” / “לֹא תֵלֵךְ רָכִיל” / “לֹא תַעֲמֹד עַל דַּם רֵעֶךָ”, והסבירו כיצד הוא יכול לתרום לאווירה בכיתה.</w:t>
      </w:r>
    </w:p>
    <w:p>
      <w:pPr>
        <w:keepNext/>
        <w:keepLines/>
        <w:shd w:val="clear" w:color="auto" w:fill="eef5fb"/>
        <w:bidi/>
        <w:spacing w:before="40" w:after="60" w:line="312" w:lineRule="auto"/>
      </w:pPr>
      <w:r>
        <w:rPr>
          <w:rFonts w:ascii="David" w:hAnsi="David" w:cs="David"/>
          <w:b/>
          <w:bCs/>
          <w:color w:val="4f8f99"/>
          <w:sz w:val="21"/>
          <w:szCs w:val="21"/>
          <w:rtl/>
        </w:rPr>
        <w:t xml:space="preserve">תשובה לדוגמה: </w:t>
      </w:r>
      <w:r>
        <w:rPr>
          <w:rFonts w:ascii="David" w:hAnsi="David" w:cs="David"/>
          <w:color w:val="3d3d3d"/>
          <w:sz w:val="21"/>
          <w:szCs w:val="21"/>
          <w:rtl/>
        </w:rPr>
        <w:t xml:space="preserve">לדוגמה — “לֹא תֵלֵךְ רָכִיל”: כשלא מרכלים ולא מספרים דברים רעים על חברים מאחורי הגב, נשמרת אווירה של אמון. כל ילד מרגיש בטוח שלא ידברו עליו, וכך פחות ריבים ויותר חברוּת בכיתה.</w:t>
      </w:r>
    </w:p>
    <w:p>
      <w:pPr>
        <w:keepLines/>
        <w:pBdr>
          <w:bottom w:val="single" w:sz="4" w:space="2" w:color="c9d2d6"/>
        </w:pBdr>
        <w:bidi/>
        <w:spacing w:before="100" w:after="100" w:line="240" w:lineRule="auto"/>
      </w:pPr>
    </w:p>
    <w:p>
      <w:pPr>
        <w:keepNext/>
        <w:keepLines/>
        <w:shd w:val="clear" w:color="auto" w:fill="4f8f99"/>
        <w:bidi/>
        <w:spacing w:before="240" w:after="120" w:line="288" w:lineRule="auto"/>
      </w:pPr>
      <w:r>
        <w:rPr>
          <w:rFonts w:ascii="David" w:hAnsi="David" w:cs="David"/>
          <w:b/>
          <w:bCs/>
          <w:color w:val="ffffff"/>
          <w:sz w:val="26"/>
          <w:szCs w:val="26"/>
          <w:rtl/>
        </w:rPr>
        <w:t xml:space="preserve">  יחידה 2 · עיון — חלומות יוסף (בראשית ל״ז)</w:t>
      </w:r>
    </w:p>
    <w:p>
      <w:pPr>
        <w:keepNext/>
        <w:keepLines/>
        <w:bidi/>
        <w:spacing w:before="180" w:after="20" w:line="288" w:lineRule="auto"/>
      </w:pPr>
      <w:r>
        <w:rPr>
          <w:rFonts w:ascii="David" w:hAnsi="David" w:cs="David"/>
          <w:b/>
          <w:bCs/>
          <w:color w:val="2e6e78"/>
          <w:sz w:val="26"/>
          <w:szCs w:val="26"/>
          <w:rtl/>
        </w:rPr>
        <w:t xml:space="preserve">שאלה 5</w:t>
      </w:r>
      <w:r>
        <w:rPr>
          <w:rFonts w:ascii="David" w:hAnsi="David" w:cs="David"/>
          <w:color w:val="5f5f5f"/>
          <w:sz w:val="20"/>
          <w:szCs w:val="20"/>
          <w:rtl/>
        </w:rPr>
        <w:t xml:space="preserve">    [השלמת משפט]</w:t>
      </w:r>
    </w:p>
    <w:p>
      <w:pPr>
        <w:keepNext/>
        <w:keepLines/>
        <w:bidi/>
        <w:spacing w:before="20" w:after="80" w:line="312" w:lineRule="auto"/>
      </w:pPr>
      <w:r>
        <w:rPr>
          <w:rFonts w:ascii="David" w:hAnsi="David" w:cs="David"/>
          <w:b/>
          <w:bCs/>
          <w:color w:val="1a1a1a"/>
          <w:sz w:val="24"/>
          <w:szCs w:val="24"/>
          <w:rtl/>
        </w:rPr>
        <w:t xml:space="preserve">השלימו לפי פסוק א': “יעקב ישב בארץ שנקראת ______”.</w:t>
      </w:r>
    </w:p>
    <w:p>
      <w:pPr>
        <w:keepNext/>
        <w:keepLines/>
        <w:bidi/>
        <w:spacing w:before="40" w:after="40" w:line="300" w:lineRule="auto"/>
      </w:pPr>
      <w:r>
        <w:rPr>
          <w:rFonts w:ascii="David" w:hAnsi="David" w:cs="David"/>
          <w:b/>
          <w:bCs/>
          <w:color w:val="2e7d46"/>
          <w:sz w:val="23"/>
          <w:szCs w:val="23"/>
          <w:rtl/>
        </w:rPr>
        <w:t xml:space="preserve">התשובה: </w:t>
      </w:r>
      <w:r>
        <w:rPr>
          <w:rFonts w:ascii="David" w:hAnsi="David" w:cs="David"/>
          <w:b/>
          <w:bCs/>
          <w:color w:val="2e7d46"/>
          <w:sz w:val="23"/>
          <w:szCs w:val="23"/>
          <w:rtl/>
        </w:rPr>
        <w:t xml:space="preserve">כְּנָעַן</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“וַיֵּשֶׁב יַעֲקֹב בְּאֶרֶץ מְגוּרֵי אָבִיו, בְּאֶרֶץ כְּנָעַן” (פסוק א').</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6</w:t>
      </w:r>
      <w:r>
        <w:rPr>
          <w:rFonts w:ascii="David" w:hAnsi="David" w:cs="David"/>
          <w:color w:val="5f5f5f"/>
          <w:sz w:val="20"/>
          <w:szCs w:val="20"/>
          <w:rtl/>
        </w:rPr>
        <w:t xml:space="preserve">    [רב-ברירה · הסקה]</w:t>
      </w:r>
    </w:p>
    <w:p>
      <w:pPr>
        <w:keepNext/>
        <w:keepLines/>
        <w:bidi/>
        <w:spacing w:before="20" w:after="80" w:line="312" w:lineRule="auto"/>
      </w:pPr>
      <w:r>
        <w:rPr>
          <w:rFonts w:ascii="David" w:hAnsi="David" w:cs="David"/>
          <w:b/>
          <w:bCs/>
          <w:color w:val="1a1a1a"/>
          <w:sz w:val="24"/>
          <w:szCs w:val="24"/>
          <w:rtl/>
        </w:rPr>
        <w:t xml:space="preserve">מדוע שנאו האחים את יוסף?</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(1)</w:t>
      </w:r>
      <w:r>
        <w:rPr>
          <w:rFonts w:ascii="David" w:hAnsi="David" w:cs="David"/>
          <w:color w:val="1a1a1a"/>
          <w:sz w:val="22"/>
          <w:szCs w:val="22"/>
          <w:rtl/>
        </w:rPr>
        <w:tab/>
      </w:r>
      <w:r>
        <w:rPr>
          <w:rFonts w:ascii="David" w:hAnsi="David" w:cs="David"/>
          <w:color w:val="1a1a1a"/>
          <w:sz w:val="23"/>
          <w:szCs w:val="23"/>
          <w:rtl/>
        </w:rPr>
        <w:t xml:space="preserve">כי הוא היה הצעיר במשפחה</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(2)</w:t>
      </w:r>
      <w:r>
        <w:rPr>
          <w:rFonts w:ascii="David" w:hAnsi="David" w:cs="David"/>
          <w:color w:val="1a1a1a"/>
          <w:sz w:val="22"/>
          <w:szCs w:val="22"/>
          <w:rtl/>
        </w:rPr>
        <w:tab/>
      </w:r>
      <w:r>
        <w:rPr>
          <w:rFonts w:ascii="David" w:hAnsi="David" w:cs="David"/>
          <w:b/>
          <w:bCs/>
          <w:color w:val="2e7d46"/>
          <w:sz w:val="23"/>
          <w:szCs w:val="23"/>
          <w:rtl/>
        </w:rPr>
        <w:t xml:space="preserve">כי אביהם אהב אותו יותר מכל האחים</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(3)</w:t>
      </w:r>
      <w:r>
        <w:rPr>
          <w:rFonts w:ascii="David" w:hAnsi="David" w:cs="David"/>
          <w:color w:val="1a1a1a"/>
          <w:sz w:val="22"/>
          <w:szCs w:val="22"/>
          <w:rtl/>
        </w:rPr>
        <w:tab/>
      </w:r>
      <w:r>
        <w:rPr>
          <w:rFonts w:ascii="David" w:hAnsi="David" w:cs="David"/>
          <w:color w:val="1a1a1a"/>
          <w:sz w:val="23"/>
          <w:szCs w:val="23"/>
          <w:rtl/>
        </w:rPr>
        <w:t xml:space="preserve">כי הוא לא עזר להם לרעות את הצאן</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(4)</w:t>
      </w:r>
      <w:r>
        <w:rPr>
          <w:rFonts w:ascii="David" w:hAnsi="David" w:cs="David"/>
          <w:color w:val="1a1a1a"/>
          <w:sz w:val="22"/>
          <w:szCs w:val="22"/>
          <w:rtl/>
        </w:rPr>
        <w:tab/>
      </w:r>
      <w:r>
        <w:rPr>
          <w:rFonts w:ascii="David" w:hAnsi="David" w:cs="David"/>
          <w:color w:val="1a1a1a"/>
          <w:sz w:val="23"/>
          <w:szCs w:val="23"/>
          <w:rtl/>
        </w:rPr>
        <w:t xml:space="preserve">כי הוא היה חזק מכולם</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האחים שנאו את יוסף כי ראו שאביהם אוהב אותו יותר מכולם (פסוק ד'), וגם בגלל חלומותיו.</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7</w:t>
      </w:r>
      <w:r>
        <w:rPr>
          <w:rFonts w:ascii="David" w:hAnsi="David" w:cs="David"/>
          <w:color w:val="5f5f5f"/>
          <w:sz w:val="20"/>
          <w:szCs w:val="20"/>
          <w:rtl/>
        </w:rPr>
        <w:t xml:space="preserve">    [רב-ברירה · ידע בטקסט]</w:t>
      </w:r>
    </w:p>
    <w:p>
      <w:pPr>
        <w:keepNext/>
        <w:keepLines/>
        <w:bidi/>
        <w:spacing w:before="20" w:after="80" w:line="312" w:lineRule="auto"/>
      </w:pPr>
      <w:r>
        <w:rPr>
          <w:rFonts w:ascii="David" w:hAnsi="David" w:cs="David"/>
          <w:b/>
          <w:bCs/>
          <w:color w:val="1a1a1a"/>
          <w:sz w:val="24"/>
          <w:szCs w:val="24"/>
          <w:rtl/>
        </w:rPr>
        <w:t xml:space="preserve">אילו סמלים ראה יוסף בחלום השני?</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(1)</w:t>
      </w:r>
      <w:r>
        <w:rPr>
          <w:rFonts w:ascii="David" w:hAnsi="David" w:cs="David"/>
          <w:color w:val="1a1a1a"/>
          <w:sz w:val="22"/>
          <w:szCs w:val="22"/>
          <w:rtl/>
        </w:rPr>
        <w:tab/>
      </w:r>
      <w:r>
        <w:rPr>
          <w:rFonts w:ascii="David" w:hAnsi="David" w:cs="David"/>
          <w:color w:val="1a1a1a"/>
          <w:sz w:val="23"/>
          <w:szCs w:val="23"/>
          <w:rtl/>
        </w:rPr>
        <w:t xml:space="preserve">אלומות בשדה</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(2)</w:t>
      </w:r>
      <w:r>
        <w:rPr>
          <w:rFonts w:ascii="David" w:hAnsi="David" w:cs="David"/>
          <w:color w:val="1a1a1a"/>
          <w:sz w:val="22"/>
          <w:szCs w:val="22"/>
          <w:rtl/>
        </w:rPr>
        <w:tab/>
      </w:r>
      <w:r>
        <w:rPr>
          <w:rFonts w:ascii="David" w:hAnsi="David" w:cs="David"/>
          <w:b/>
          <w:bCs/>
          <w:color w:val="2e7d46"/>
          <w:sz w:val="23"/>
          <w:szCs w:val="23"/>
          <w:rtl/>
        </w:rPr>
        <w:t xml:space="preserve">שמש, ירח ואחד-עשר כוכבים</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(3)</w:t>
      </w:r>
      <w:r>
        <w:rPr>
          <w:rFonts w:ascii="David" w:hAnsi="David" w:cs="David"/>
          <w:color w:val="1a1a1a"/>
          <w:sz w:val="22"/>
          <w:szCs w:val="22"/>
          <w:rtl/>
        </w:rPr>
        <w:tab/>
      </w:r>
      <w:r>
        <w:rPr>
          <w:rFonts w:ascii="David" w:hAnsi="David" w:cs="David"/>
          <w:color w:val="1a1a1a"/>
          <w:sz w:val="23"/>
          <w:szCs w:val="23"/>
          <w:rtl/>
        </w:rPr>
        <w:t xml:space="preserve">פרות רזות ושמנות</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(4)</w:t>
      </w:r>
      <w:r>
        <w:rPr>
          <w:rFonts w:ascii="David" w:hAnsi="David" w:cs="David"/>
          <w:color w:val="1a1a1a"/>
          <w:sz w:val="22"/>
          <w:szCs w:val="22"/>
          <w:rtl/>
        </w:rPr>
        <w:tab/>
      </w:r>
      <w:r>
        <w:rPr>
          <w:rFonts w:ascii="David" w:hAnsi="David" w:cs="David"/>
          <w:color w:val="1a1a1a"/>
          <w:sz w:val="23"/>
          <w:szCs w:val="23"/>
          <w:rtl/>
        </w:rPr>
        <w:t xml:space="preserve">סולם המגיע לשמים</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בחלום השני ראה יוסף את השמש, הירח ואחד-עשר כוכבים משתחווים לו (פסוק ט').</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8</w:t>
      </w:r>
      <w:r>
        <w:rPr>
          <w:rFonts w:ascii="David" w:hAnsi="David" w:cs="David"/>
          <w:color w:val="5f5f5f"/>
          <w:sz w:val="20"/>
          <w:szCs w:val="20"/>
          <w:rtl/>
        </w:rPr>
        <w:t xml:space="preserve">    [פתוחה · פרשנות]</w:t>
      </w:r>
    </w:p>
    <w:p>
      <w:pPr>
        <w:keepNext/>
        <w:keepLines/>
        <w:bidi/>
        <w:spacing w:before="20" w:after="80" w:line="312" w:lineRule="auto"/>
      </w:pPr>
      <w:r>
        <w:rPr>
          <w:rFonts w:ascii="David" w:hAnsi="David" w:cs="David"/>
          <w:b/>
          <w:bCs/>
          <w:color w:val="1a1a1a"/>
          <w:sz w:val="24"/>
          <w:szCs w:val="24"/>
          <w:rtl/>
        </w:rPr>
        <w:t xml:space="preserve">פרשנים מסבירים שיעקב האמין שחלומות יוסף יתגשמו, ובכל זאת גער בו (פסוק י'). לפי פירוש זה — מה ניסה יעקב להשיג בכך שגער ביוסף?</w:t>
      </w:r>
    </w:p>
    <w:p>
      <w:pPr>
        <w:keepNext/>
        <w:keepLines/>
        <w:shd w:val="clear" w:color="auto" w:fill="eef5fb"/>
        <w:bidi/>
        <w:spacing w:before="40" w:after="60" w:line="312" w:lineRule="auto"/>
      </w:pPr>
      <w:r>
        <w:rPr>
          <w:rFonts w:ascii="David" w:hAnsi="David" w:cs="David"/>
          <w:b/>
          <w:bCs/>
          <w:color w:val="4f8f99"/>
          <w:sz w:val="21"/>
          <w:szCs w:val="21"/>
          <w:rtl/>
        </w:rPr>
        <w:t xml:space="preserve">תשובה לדוגמה: </w:t>
      </w:r>
      <w:r>
        <w:rPr>
          <w:rFonts w:ascii="David" w:hAnsi="David" w:cs="David"/>
          <w:color w:val="3d3d3d"/>
          <w:sz w:val="21"/>
          <w:szCs w:val="21"/>
          <w:rtl/>
        </w:rPr>
        <w:t xml:space="preserve">יעקב ניסה להרגיע את האחים ולהפחית את הקנאה והשנאה שלהם כלפי יוסף. בכך שגער ביוסף בפניהם, הוא רצה להראות לאחים שגם הוא לא מקבל את ההתנשאות של יוסף, וכך למנוע סכסוך גדול יותר במשפחה.</w:t>
      </w:r>
    </w:p>
    <w:p>
      <w:pPr>
        <w:keepLines/>
        <w:pBdr>
          <w:bottom w:val="single" w:sz="4" w:space="2" w:color="c9d2d6"/>
        </w:pBdr>
        <w:bidi/>
        <w:spacing w:before="100" w:after="100" w:line="240" w:lineRule="auto"/>
      </w:pPr>
    </w:p>
    <w:p>
      <w:pPr>
        <w:keepNext/>
        <w:keepLines/>
        <w:shd w:val="clear" w:color="auto" w:fill="4f8f99"/>
        <w:bidi/>
        <w:spacing w:before="240" w:after="120" w:line="288" w:lineRule="auto"/>
      </w:pPr>
      <w:r>
        <w:rPr>
          <w:rFonts w:ascii="David" w:hAnsi="David" w:cs="David"/>
          <w:b/>
          <w:bCs/>
          <w:color w:val="ffffff"/>
          <w:sz w:val="26"/>
          <w:szCs w:val="26"/>
          <w:rtl/>
        </w:rPr>
        <w:t xml:space="preserve">  יחידה 2 · עיון — שניים וחצי השבטים (יהושע א')</w:t>
      </w:r>
    </w:p>
    <w:p>
      <w:pPr>
        <w:keepNext/>
        <w:keepLines/>
        <w:bidi/>
        <w:spacing w:before="180" w:after="20" w:line="288" w:lineRule="auto"/>
      </w:pPr>
      <w:r>
        <w:rPr>
          <w:rFonts w:ascii="David" w:hAnsi="David" w:cs="David"/>
          <w:b/>
          <w:bCs/>
          <w:color w:val="2e6e78"/>
          <w:sz w:val="26"/>
          <w:szCs w:val="26"/>
          <w:rtl/>
        </w:rPr>
        <w:t xml:space="preserve">שאלה 9</w:t>
      </w:r>
      <w:r>
        <w:rPr>
          <w:rFonts w:ascii="David" w:hAnsi="David" w:cs="David"/>
          <w:color w:val="5f5f5f"/>
          <w:sz w:val="20"/>
          <w:szCs w:val="20"/>
          <w:rtl/>
        </w:rPr>
        <w:t xml:space="preserve">    [רב-ברירה]</w:t>
      </w:r>
    </w:p>
    <w:p>
      <w:pPr>
        <w:keepNext/>
        <w:keepLines/>
        <w:bidi/>
        <w:spacing w:before="20" w:after="80" w:line="312" w:lineRule="auto"/>
      </w:pPr>
      <w:r>
        <w:rPr>
          <w:rFonts w:ascii="David" w:hAnsi="David" w:cs="David"/>
          <w:b/>
          <w:bCs/>
          <w:color w:val="1a1a1a"/>
          <w:sz w:val="24"/>
          <w:szCs w:val="24"/>
          <w:rtl/>
        </w:rPr>
        <w:t xml:space="preserve">מתי יוכלו שניים וחצי השבטים לחזור אל משפחותיהם ואל נחלתם?</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(1)</w:t>
      </w:r>
      <w:r>
        <w:rPr>
          <w:rFonts w:ascii="David" w:hAnsi="David" w:cs="David"/>
          <w:color w:val="1a1a1a"/>
          <w:sz w:val="22"/>
          <w:szCs w:val="22"/>
          <w:rtl/>
        </w:rPr>
        <w:tab/>
      </w:r>
      <w:r>
        <w:rPr>
          <w:rFonts w:ascii="David" w:hAnsi="David" w:cs="David"/>
          <w:color w:val="1a1a1a"/>
          <w:sz w:val="23"/>
          <w:szCs w:val="23"/>
          <w:rtl/>
        </w:rPr>
        <w:t xml:space="preserve">אחרי שיחצו את הירדן וייכנסו לארץ</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(2)</w:t>
      </w:r>
      <w:r>
        <w:rPr>
          <w:rFonts w:ascii="David" w:hAnsi="David" w:cs="David"/>
          <w:color w:val="1a1a1a"/>
          <w:sz w:val="22"/>
          <w:szCs w:val="22"/>
          <w:rtl/>
        </w:rPr>
        <w:tab/>
      </w:r>
      <w:r>
        <w:rPr>
          <w:rFonts w:ascii="David" w:hAnsi="David" w:cs="David"/>
          <w:b/>
          <w:bCs/>
          <w:color w:val="2e7d46"/>
          <w:sz w:val="23"/>
          <w:szCs w:val="23"/>
          <w:rtl/>
        </w:rPr>
        <w:t xml:space="preserve">אחרי שיכבשו את הארץ וכל השבטים יקבלו נחלה</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(3)</w:t>
      </w:r>
      <w:r>
        <w:rPr>
          <w:rFonts w:ascii="David" w:hAnsi="David" w:cs="David"/>
          <w:color w:val="1a1a1a"/>
          <w:sz w:val="22"/>
          <w:szCs w:val="22"/>
          <w:rtl/>
        </w:rPr>
        <w:tab/>
      </w:r>
      <w:r>
        <w:rPr>
          <w:rFonts w:ascii="David" w:hAnsi="David" w:cs="David"/>
          <w:color w:val="1a1a1a"/>
          <w:sz w:val="23"/>
          <w:szCs w:val="23"/>
          <w:rtl/>
        </w:rPr>
        <w:t xml:space="preserve">אחרי שתעבור שנה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(4)</w:t>
      </w:r>
      <w:r>
        <w:rPr>
          <w:rFonts w:ascii="David" w:hAnsi="David" w:cs="David"/>
          <w:color w:val="1a1a1a"/>
          <w:sz w:val="22"/>
          <w:szCs w:val="22"/>
          <w:rtl/>
        </w:rPr>
        <w:tab/>
      </w:r>
      <w:r>
        <w:rPr>
          <w:rFonts w:ascii="David" w:hAnsi="David" w:cs="David"/>
          <w:color w:val="1a1a1a"/>
          <w:sz w:val="23"/>
          <w:szCs w:val="23"/>
          <w:rtl/>
        </w:rPr>
        <w:t xml:space="preserve">אחרי שייכנסו אל יריחו</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התנאי היה שיעברו חלוצים לפני אחיהם ויעזרו בכיבוש; רק אחרי שכל השבטים ינוחו ויקבלו נחלה — יוכלו לחזור (פסוקים י״ד–ט״ו).</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10</w:t>
      </w:r>
      <w:r>
        <w:rPr>
          <w:rFonts w:ascii="David" w:hAnsi="David" w:cs="David"/>
          <w:color w:val="5f5f5f"/>
          <w:sz w:val="20"/>
          <w:szCs w:val="20"/>
          <w:rtl/>
        </w:rPr>
        <w:t xml:space="preserve">    [קלוז]</w:t>
      </w:r>
    </w:p>
    <w:p>
      <w:pPr>
        <w:keepNext/>
        <w:keepLines/>
        <w:bidi/>
        <w:spacing w:before="20" w:after="80" w:line="312" w:lineRule="auto"/>
      </w:pPr>
      <w:r>
        <w:rPr>
          <w:rFonts w:ascii="David" w:hAnsi="David" w:cs="David"/>
          <w:b/>
          <w:bCs/>
          <w:color w:val="1a1a1a"/>
          <w:sz w:val="24"/>
          <w:szCs w:val="24"/>
          <w:rtl/>
        </w:rPr>
        <w:t xml:space="preserve">איזו מילה בתשובת השבטים ליהושע מדגישה את המחויבות שלהם? (“כֹּל אֲשֶׁר צִוִּיתָנוּ ______”)</w:t>
      </w:r>
    </w:p>
    <w:p>
      <w:pPr>
        <w:keepNext/>
        <w:keepLines/>
        <w:bidi/>
        <w:spacing w:before="40" w:after="40" w:line="300" w:lineRule="auto"/>
      </w:pPr>
      <w:r>
        <w:rPr>
          <w:rFonts w:ascii="David" w:hAnsi="David" w:cs="David"/>
          <w:b/>
          <w:bCs/>
          <w:color w:val="2e7d46"/>
          <w:sz w:val="23"/>
          <w:szCs w:val="23"/>
          <w:rtl/>
        </w:rPr>
        <w:t xml:space="preserve">התשובה: </w:t>
      </w:r>
      <w:r>
        <w:rPr>
          <w:rFonts w:ascii="David" w:hAnsi="David" w:cs="David"/>
          <w:b/>
          <w:bCs/>
          <w:color w:val="2e7d46"/>
          <w:sz w:val="23"/>
          <w:szCs w:val="23"/>
          <w:rtl/>
        </w:rPr>
        <w:t xml:space="preserve">נַעֲשֶׂה</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המילה “נַעֲשֶׂה” מדגישה את המחויבות והנכונות של השבטים.</w:t>
      </w:r>
    </w:p>
    <w:p>
      <w:pPr>
        <w:keepLines/>
        <w:pBdr>
          <w:bottom w:val="single" w:sz="4" w:space="2" w:color="c9d2d6"/>
        </w:pBdr>
        <w:bidi/>
        <w:spacing w:before="100" w:after="100" w:line="240" w:lineRule="auto"/>
      </w:pPr>
    </w:p>
    <w:p>
      <w:pPr>
        <w:keepNext/>
        <w:keepLines/>
        <w:shd w:val="clear" w:color="auto" w:fill="4f8f99"/>
        <w:bidi/>
        <w:spacing w:before="240" w:after="120" w:line="288" w:lineRule="auto"/>
      </w:pPr>
      <w:r>
        <w:rPr>
          <w:rFonts w:ascii="David" w:hAnsi="David" w:cs="David"/>
          <w:b/>
          <w:bCs/>
          <w:color w:val="ffffff"/>
          <w:sz w:val="26"/>
          <w:szCs w:val="26"/>
          <w:rtl/>
        </w:rPr>
        <w:t xml:space="preserve">  יחידה 3 · פרקי יסוד וידע כללי — בקיאות</w:t>
      </w:r>
    </w:p>
    <w:p>
      <w:pPr>
        <w:keepNext/>
        <w:keepLines/>
        <w:bidi/>
        <w:spacing w:before="180" w:after="20" w:line="288" w:lineRule="auto"/>
      </w:pPr>
      <w:r>
        <w:rPr>
          <w:rFonts w:ascii="David" w:hAnsi="David" w:cs="David"/>
          <w:b/>
          <w:bCs/>
          <w:color w:val="2e6e78"/>
          <w:sz w:val="26"/>
          <w:szCs w:val="26"/>
          <w:rtl/>
        </w:rPr>
        <w:t xml:space="preserve">שאלה 11</w:t>
      </w:r>
      <w:r>
        <w:rPr>
          <w:rFonts w:ascii="David" w:hAnsi="David" w:cs="David"/>
          <w:color w:val="5f5f5f"/>
          <w:sz w:val="20"/>
          <w:szCs w:val="20"/>
          <w:rtl/>
        </w:rPr>
        <w:t xml:space="preserve">    [רב-ברירה · סדר אירועים]</w:t>
      </w:r>
    </w:p>
    <w:p>
      <w:pPr>
        <w:keepNext/>
        <w:keepLines/>
        <w:bidi/>
        <w:spacing w:before="20" w:after="80" w:line="312" w:lineRule="auto"/>
      </w:pPr>
      <w:r>
        <w:rPr>
          <w:rFonts w:ascii="David" w:hAnsi="David" w:cs="David"/>
          <w:b/>
          <w:bCs/>
          <w:color w:val="1a1a1a"/>
          <w:sz w:val="24"/>
          <w:szCs w:val="24"/>
          <w:rtl/>
        </w:rPr>
        <w:t xml:space="preserve">איזה אירוע קרה ראשון בתנ״ך?</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(1)</w:t>
      </w:r>
      <w:r>
        <w:rPr>
          <w:rFonts w:ascii="David" w:hAnsi="David" w:cs="David"/>
          <w:color w:val="1a1a1a"/>
          <w:sz w:val="22"/>
          <w:szCs w:val="22"/>
          <w:rtl/>
        </w:rPr>
        <w:tab/>
      </w:r>
      <w:r>
        <w:rPr>
          <w:rFonts w:ascii="David" w:hAnsi="David" w:cs="David"/>
          <w:color w:val="1a1a1a"/>
          <w:sz w:val="23"/>
          <w:szCs w:val="23"/>
          <w:rtl/>
        </w:rPr>
        <w:t xml:space="preserve">מעמד הר סיני</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(2)</w:t>
      </w:r>
      <w:r>
        <w:rPr>
          <w:rFonts w:ascii="David" w:hAnsi="David" w:cs="David"/>
          <w:color w:val="1a1a1a"/>
          <w:sz w:val="22"/>
          <w:szCs w:val="22"/>
          <w:rtl/>
        </w:rPr>
        <w:tab/>
      </w:r>
      <w:r>
        <w:rPr>
          <w:rFonts w:ascii="David" w:hAnsi="David" w:cs="David"/>
          <w:b/>
          <w:bCs/>
          <w:color w:val="2e7d46"/>
          <w:sz w:val="23"/>
          <w:szCs w:val="23"/>
          <w:rtl/>
        </w:rPr>
        <w:t xml:space="preserve">המבול</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(3)</w:t>
      </w:r>
      <w:r>
        <w:rPr>
          <w:rFonts w:ascii="David" w:hAnsi="David" w:cs="David"/>
          <w:color w:val="1a1a1a"/>
          <w:sz w:val="22"/>
          <w:szCs w:val="22"/>
          <w:rtl/>
        </w:rPr>
        <w:tab/>
      </w:r>
      <w:r>
        <w:rPr>
          <w:rFonts w:ascii="David" w:hAnsi="David" w:cs="David"/>
          <w:color w:val="1a1a1a"/>
          <w:sz w:val="23"/>
          <w:szCs w:val="23"/>
          <w:rtl/>
        </w:rPr>
        <w:t xml:space="preserve">כניסת עם ישראל לארץ כנען</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(4)</w:t>
      </w:r>
      <w:r>
        <w:rPr>
          <w:rFonts w:ascii="David" w:hAnsi="David" w:cs="David"/>
          <w:color w:val="1a1a1a"/>
          <w:sz w:val="22"/>
          <w:szCs w:val="22"/>
          <w:rtl/>
        </w:rPr>
        <w:tab/>
      </w:r>
      <w:r>
        <w:rPr>
          <w:rFonts w:ascii="David" w:hAnsi="David" w:cs="David"/>
          <w:color w:val="1a1a1a"/>
          <w:sz w:val="23"/>
          <w:szCs w:val="23"/>
          <w:rtl/>
        </w:rPr>
        <w:t xml:space="preserve">חטא המרגלים</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הסדר הנכון: המבול ← ירידת יוסף למצרים ← מעמד הר סיני ← חטא המרגלים ← כניסה לארץ כנען.</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12</w:t>
      </w:r>
      <w:r>
        <w:rPr>
          <w:rFonts w:ascii="David" w:hAnsi="David" w:cs="David"/>
          <w:color w:val="5f5f5f"/>
          <w:sz w:val="20"/>
          <w:szCs w:val="20"/>
          <w:rtl/>
        </w:rPr>
        <w:t xml:space="preserve">    [רב-ברירה · למי נאמר?]</w:t>
      </w:r>
    </w:p>
    <w:p>
      <w:pPr>
        <w:keepNext/>
        <w:keepLines/>
        <w:bidi/>
        <w:spacing w:before="20" w:after="80" w:line="312" w:lineRule="auto"/>
      </w:pPr>
      <w:r>
        <w:rPr>
          <w:rFonts w:ascii="David" w:hAnsi="David" w:cs="David"/>
          <w:b/>
          <w:bCs/>
          <w:color w:val="1a1a1a"/>
          <w:sz w:val="24"/>
          <w:szCs w:val="24"/>
          <w:rtl/>
        </w:rPr>
        <w:t xml:space="preserve">“לֶךְ לְךָ מֵאַרְצְךָ וּמִמּוֹלַדְתְּךָ וּמִבֵּית אָבִיךָ אֶל הָאָרֶץ אֲשֶׁר אַרְאֶךָּ” — למי נאמר?</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(1)</w:t>
      </w:r>
      <w:r>
        <w:rPr>
          <w:rFonts w:ascii="David" w:hAnsi="David" w:cs="David"/>
          <w:color w:val="1a1a1a"/>
          <w:sz w:val="22"/>
          <w:szCs w:val="22"/>
          <w:rtl/>
        </w:rPr>
        <w:tab/>
      </w:r>
      <w:r>
        <w:rPr>
          <w:rFonts w:ascii="David" w:hAnsi="David" w:cs="David"/>
          <w:color w:val="1a1a1a"/>
          <w:sz w:val="23"/>
          <w:szCs w:val="23"/>
          <w:rtl/>
        </w:rPr>
        <w:t xml:space="preserve">נוח</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(2)</w:t>
      </w:r>
      <w:r>
        <w:rPr>
          <w:rFonts w:ascii="David" w:hAnsi="David" w:cs="David"/>
          <w:color w:val="1a1a1a"/>
          <w:sz w:val="22"/>
          <w:szCs w:val="22"/>
          <w:rtl/>
        </w:rPr>
        <w:tab/>
      </w:r>
      <w:r>
        <w:rPr>
          <w:rFonts w:ascii="David" w:hAnsi="David" w:cs="David"/>
          <w:b/>
          <w:bCs/>
          <w:color w:val="2e7d46"/>
          <w:sz w:val="23"/>
          <w:szCs w:val="23"/>
          <w:rtl/>
        </w:rPr>
        <w:t xml:space="preserve">אברהם</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(3)</w:t>
      </w:r>
      <w:r>
        <w:rPr>
          <w:rFonts w:ascii="David" w:hAnsi="David" w:cs="David"/>
          <w:color w:val="1a1a1a"/>
          <w:sz w:val="22"/>
          <w:szCs w:val="22"/>
          <w:rtl/>
        </w:rPr>
        <w:tab/>
      </w:r>
      <w:r>
        <w:rPr>
          <w:rFonts w:ascii="David" w:hAnsi="David" w:cs="David"/>
          <w:color w:val="1a1a1a"/>
          <w:sz w:val="23"/>
          <w:szCs w:val="23"/>
          <w:rtl/>
        </w:rPr>
        <w:t xml:space="preserve">קין</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(4)</w:t>
      </w:r>
      <w:r>
        <w:rPr>
          <w:rFonts w:ascii="David" w:hAnsi="David" w:cs="David"/>
          <w:color w:val="1a1a1a"/>
          <w:sz w:val="22"/>
          <w:szCs w:val="22"/>
          <w:rtl/>
        </w:rPr>
        <w:tab/>
      </w:r>
      <w:r>
        <w:rPr>
          <w:rFonts w:ascii="David" w:hAnsi="David" w:cs="David"/>
          <w:color w:val="1a1a1a"/>
          <w:sz w:val="23"/>
          <w:szCs w:val="23"/>
          <w:rtl/>
        </w:rPr>
        <w:t xml:space="preserve">משה</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“לֶךְ לְךָ” נאמר לאברהם (בראשית י״ב).</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13</w:t>
      </w:r>
      <w:r>
        <w:rPr>
          <w:rFonts w:ascii="David" w:hAnsi="David" w:cs="David"/>
          <w:color w:val="5f5f5f"/>
          <w:sz w:val="20"/>
          <w:szCs w:val="20"/>
          <w:rtl/>
        </w:rPr>
        <w:t xml:space="preserve">    [רב-ברירה · למי נאמר?]</w:t>
      </w:r>
    </w:p>
    <w:p>
      <w:pPr>
        <w:keepNext/>
        <w:keepLines/>
        <w:bidi/>
        <w:spacing w:before="20" w:after="80" w:line="312" w:lineRule="auto"/>
      </w:pPr>
      <w:r>
        <w:rPr>
          <w:rFonts w:ascii="David" w:hAnsi="David" w:cs="David"/>
          <w:b/>
          <w:bCs/>
          <w:color w:val="1a1a1a"/>
          <w:sz w:val="24"/>
          <w:szCs w:val="24"/>
          <w:rtl/>
        </w:rPr>
        <w:t xml:space="preserve">“מֹשֶׁה עַבְדִּי מֵת, וְעַתָּה קוּם עֲבֹר אֶת הַיַּרְדֵּן הַזֶּה” — למי נאמר?</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(1)</w:t>
      </w:r>
      <w:r>
        <w:rPr>
          <w:rFonts w:ascii="David" w:hAnsi="David" w:cs="David"/>
          <w:color w:val="1a1a1a"/>
          <w:sz w:val="22"/>
          <w:szCs w:val="22"/>
          <w:rtl/>
        </w:rPr>
        <w:tab/>
      </w:r>
      <w:r>
        <w:rPr>
          <w:rFonts w:ascii="David" w:hAnsi="David" w:cs="David"/>
          <w:color w:val="1a1a1a"/>
          <w:sz w:val="23"/>
          <w:szCs w:val="23"/>
          <w:rtl/>
        </w:rPr>
        <w:t xml:space="preserve">אהרן</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(2)</w:t>
      </w:r>
      <w:r>
        <w:rPr>
          <w:rFonts w:ascii="David" w:hAnsi="David" w:cs="David"/>
          <w:color w:val="1a1a1a"/>
          <w:sz w:val="22"/>
          <w:szCs w:val="22"/>
          <w:rtl/>
        </w:rPr>
        <w:tab/>
      </w:r>
      <w:r>
        <w:rPr>
          <w:rFonts w:ascii="David" w:hAnsi="David" w:cs="David"/>
          <w:b/>
          <w:bCs/>
          <w:color w:val="2e7d46"/>
          <w:sz w:val="23"/>
          <w:szCs w:val="23"/>
          <w:rtl/>
        </w:rPr>
        <w:t xml:space="preserve">יהושע</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(3)</w:t>
      </w:r>
      <w:r>
        <w:rPr>
          <w:rFonts w:ascii="David" w:hAnsi="David" w:cs="David"/>
          <w:color w:val="1a1a1a"/>
          <w:sz w:val="22"/>
          <w:szCs w:val="22"/>
          <w:rtl/>
        </w:rPr>
        <w:tab/>
      </w:r>
      <w:r>
        <w:rPr>
          <w:rFonts w:ascii="David" w:hAnsi="David" w:cs="David"/>
          <w:color w:val="1a1a1a"/>
          <w:sz w:val="23"/>
          <w:szCs w:val="23"/>
          <w:rtl/>
        </w:rPr>
        <w:t xml:space="preserve">יוסף</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נאמר ליהושע, יורשו של משה (יהושע א').</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14</w:t>
      </w:r>
      <w:r>
        <w:rPr>
          <w:rFonts w:ascii="David" w:hAnsi="David" w:cs="David"/>
          <w:color w:val="5f5f5f"/>
          <w:sz w:val="20"/>
          <w:szCs w:val="20"/>
          <w:rtl/>
        </w:rPr>
        <w:t xml:space="preserve">    [רב-ברירה · שבטי ישראל]</w:t>
      </w:r>
    </w:p>
    <w:p>
      <w:pPr>
        <w:keepNext/>
        <w:keepLines/>
        <w:bidi/>
        <w:spacing w:before="20" w:after="80" w:line="312" w:lineRule="auto"/>
      </w:pPr>
      <w:r>
        <w:rPr>
          <w:rFonts w:ascii="David" w:hAnsi="David" w:cs="David"/>
          <w:b/>
          <w:bCs/>
          <w:color w:val="1a1a1a"/>
          <w:sz w:val="24"/>
          <w:szCs w:val="24"/>
          <w:rtl/>
        </w:rPr>
        <w:t xml:space="preserve">איזה שם אינו משמות שבטי ישראל?</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(1)</w:t>
      </w:r>
      <w:r>
        <w:rPr>
          <w:rFonts w:ascii="David" w:hAnsi="David" w:cs="David"/>
          <w:color w:val="1a1a1a"/>
          <w:sz w:val="22"/>
          <w:szCs w:val="22"/>
          <w:rtl/>
        </w:rPr>
        <w:tab/>
      </w:r>
      <w:r>
        <w:rPr>
          <w:rFonts w:ascii="David" w:hAnsi="David" w:cs="David"/>
          <w:color w:val="1a1a1a"/>
          <w:sz w:val="23"/>
          <w:szCs w:val="23"/>
          <w:rtl/>
        </w:rPr>
        <w:t xml:space="preserve">זבולון</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(2)</w:t>
      </w:r>
      <w:r>
        <w:rPr>
          <w:rFonts w:ascii="David" w:hAnsi="David" w:cs="David"/>
          <w:color w:val="1a1a1a"/>
          <w:sz w:val="22"/>
          <w:szCs w:val="22"/>
          <w:rtl/>
        </w:rPr>
        <w:tab/>
      </w:r>
      <w:r>
        <w:rPr>
          <w:rFonts w:ascii="David" w:hAnsi="David" w:cs="David"/>
          <w:color w:val="1a1a1a"/>
          <w:sz w:val="23"/>
          <w:szCs w:val="23"/>
          <w:rtl/>
        </w:rPr>
        <w:t xml:space="preserve">אשר</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(3)</w:t>
      </w:r>
      <w:r>
        <w:rPr>
          <w:rFonts w:ascii="David" w:hAnsi="David" w:cs="David"/>
          <w:color w:val="1a1a1a"/>
          <w:sz w:val="22"/>
          <w:szCs w:val="22"/>
          <w:rtl/>
        </w:rPr>
        <w:tab/>
      </w:r>
      <w:r>
        <w:rPr>
          <w:rFonts w:ascii="David" w:hAnsi="David" w:cs="David"/>
          <w:b/>
          <w:bCs/>
          <w:color w:val="2e7d46"/>
          <w:sz w:val="23"/>
          <w:szCs w:val="23"/>
          <w:rtl/>
        </w:rPr>
        <w:t xml:space="preserve">אהרן</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(4)</w:t>
      </w:r>
      <w:r>
        <w:rPr>
          <w:rFonts w:ascii="David" w:hAnsi="David" w:cs="David"/>
          <w:color w:val="1a1a1a"/>
          <w:sz w:val="22"/>
          <w:szCs w:val="22"/>
          <w:rtl/>
        </w:rPr>
        <w:tab/>
      </w:r>
      <w:r>
        <w:rPr>
          <w:rFonts w:ascii="David" w:hAnsi="David" w:cs="David"/>
          <w:color w:val="1a1a1a"/>
          <w:sz w:val="23"/>
          <w:szCs w:val="23"/>
          <w:rtl/>
        </w:rPr>
        <w:t xml:space="preserve">שמעון</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אַהֲרֹן (אחיו של משה, מבני לוי) אינו שם של שבט. יהודה, שמעון, זבולון, לוי ואשר הם שבטים.</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15</w:t>
      </w:r>
      <w:r>
        <w:rPr>
          <w:rFonts w:ascii="David" w:hAnsi="David" w:cs="David"/>
          <w:color w:val="5f5f5f"/>
          <w:sz w:val="20"/>
          <w:szCs w:val="20"/>
          <w:rtl/>
        </w:rPr>
        <w:t xml:space="preserve">    [בקיאות · דמויות]</w:t>
      </w:r>
    </w:p>
    <w:p>
      <w:pPr>
        <w:keepNext/>
        <w:keepLines/>
        <w:bidi/>
        <w:spacing w:before="20" w:after="80" w:line="312" w:lineRule="auto"/>
      </w:pPr>
      <w:r>
        <w:rPr>
          <w:rFonts w:ascii="David" w:hAnsi="David" w:cs="David"/>
          <w:b/>
          <w:bCs/>
          <w:color w:val="1a1a1a"/>
          <w:sz w:val="24"/>
          <w:szCs w:val="24"/>
          <w:rtl/>
        </w:rPr>
        <w:t xml:space="preserve">מי הצילה את משה מן היאור?</w:t>
      </w:r>
    </w:p>
    <w:p>
      <w:pPr>
        <w:keepNext/>
        <w:keepLines/>
        <w:bidi/>
        <w:spacing w:before="40" w:after="40" w:line="300" w:lineRule="auto"/>
      </w:pPr>
      <w:r>
        <w:rPr>
          <w:rFonts w:ascii="David" w:hAnsi="David" w:cs="David"/>
          <w:b/>
          <w:bCs/>
          <w:color w:val="2e7d46"/>
          <w:sz w:val="23"/>
          <w:szCs w:val="23"/>
          <w:rtl/>
        </w:rPr>
        <w:t xml:space="preserve">התשובה: </w:t>
      </w:r>
      <w:r>
        <w:rPr>
          <w:rFonts w:ascii="David" w:hAnsi="David" w:cs="David"/>
          <w:b/>
          <w:bCs/>
          <w:color w:val="2e7d46"/>
          <w:sz w:val="23"/>
          <w:szCs w:val="23"/>
          <w:rtl/>
        </w:rPr>
        <w:t xml:space="preserve">בַּת פַּרְעֹה</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בת פרעה מצאה את התיבה ביאור והצילה את משה (שמות ב').</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16</w:t>
      </w:r>
      <w:r>
        <w:rPr>
          <w:rFonts w:ascii="David" w:hAnsi="David" w:cs="David"/>
          <w:color w:val="5f5f5f"/>
          <w:sz w:val="20"/>
          <w:szCs w:val="20"/>
          <w:rtl/>
        </w:rPr>
        <w:t xml:space="preserve">    [בקיאות · דמויות וערכים]</w:t>
      </w:r>
    </w:p>
    <w:p>
      <w:pPr>
        <w:keepNext/>
        <w:keepLines/>
        <w:bidi/>
        <w:spacing w:before="20" w:after="80" w:line="312" w:lineRule="auto"/>
      </w:pPr>
      <w:r>
        <w:rPr>
          <w:rFonts w:ascii="David" w:hAnsi="David" w:cs="David"/>
          <w:b/>
          <w:bCs/>
          <w:color w:val="1a1a1a"/>
          <w:sz w:val="24"/>
          <w:szCs w:val="24"/>
          <w:rtl/>
        </w:rPr>
        <w:t xml:space="preserve">מי סלח לאחיו אף על פי שהם מכרו אותו לעבד?</w:t>
      </w:r>
    </w:p>
    <w:p>
      <w:pPr>
        <w:keepNext/>
        <w:keepLines/>
        <w:bidi/>
        <w:spacing w:before="40" w:after="40" w:line="300" w:lineRule="auto"/>
      </w:pPr>
      <w:r>
        <w:rPr>
          <w:rFonts w:ascii="David" w:hAnsi="David" w:cs="David"/>
          <w:b/>
          <w:bCs/>
          <w:color w:val="2e7d46"/>
          <w:sz w:val="23"/>
          <w:szCs w:val="23"/>
          <w:rtl/>
        </w:rPr>
        <w:t xml:space="preserve">התשובה: </w:t>
      </w:r>
      <w:r>
        <w:rPr>
          <w:rFonts w:ascii="David" w:hAnsi="David" w:cs="David"/>
          <w:b/>
          <w:bCs/>
          <w:color w:val="2e7d46"/>
          <w:sz w:val="23"/>
          <w:szCs w:val="23"/>
          <w:rtl/>
        </w:rPr>
        <w:t xml:space="preserve">יוֹסֵף</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יוסף סלח לאחיו אף שמכרו אותו לעבד (בראשית מ״ה, נ').</w:t>
      </w:r>
    </w:p>
    <w:p>
      <w:pPr>
        <w:keepLines/>
        <w:pBdr>
          <w:bottom w:val="single" w:sz="4" w:space="2" w:color="c9d2d6"/>
        </w:pBdr>
        <w:bidi/>
        <w:spacing w:before="100" w:after="100" w:line="240" w:lineRule="auto"/>
      </w:pPr>
    </w:p>
    <w:p>
      <w:pPr>
        <w:keepNext/>
        <w:keepLines/>
        <w:shd w:val="clear" w:color="auto" w:fill="4f8f99"/>
        <w:bidi/>
        <w:spacing w:before="240" w:after="120" w:line="288" w:lineRule="auto"/>
      </w:pPr>
      <w:r>
        <w:rPr>
          <w:rFonts w:ascii="David" w:hAnsi="David" w:cs="David"/>
          <w:b/>
          <w:bCs/>
          <w:color w:val="ffffff"/>
          <w:sz w:val="26"/>
          <w:szCs w:val="26"/>
          <w:rtl/>
        </w:rPr>
        <w:t xml:space="preserve">  לשון התנ״ך</w:t>
      </w:r>
    </w:p>
    <w:p>
      <w:pPr>
        <w:keepNext/>
        <w:keepLines/>
        <w:bidi/>
        <w:spacing w:before="180" w:after="20" w:line="288" w:lineRule="auto"/>
      </w:pPr>
      <w:r>
        <w:rPr>
          <w:rFonts w:ascii="David" w:hAnsi="David" w:cs="David"/>
          <w:b/>
          <w:bCs/>
          <w:color w:val="2e6e78"/>
          <w:sz w:val="26"/>
          <w:szCs w:val="26"/>
          <w:rtl/>
        </w:rPr>
        <w:t xml:space="preserve">שאלה 17</w:t>
      </w:r>
      <w:r>
        <w:rPr>
          <w:rFonts w:ascii="David" w:hAnsi="David" w:cs="David"/>
          <w:color w:val="5f5f5f"/>
          <w:sz w:val="20"/>
          <w:szCs w:val="20"/>
          <w:rtl/>
        </w:rPr>
        <w:t xml:space="preserve">    [רב-ברירה · לשון]</w:t>
      </w:r>
    </w:p>
    <w:p>
      <w:pPr>
        <w:keepNext/>
        <w:keepLines/>
        <w:bidi/>
        <w:spacing w:before="20" w:after="80" w:line="312" w:lineRule="auto"/>
      </w:pPr>
      <w:r>
        <w:rPr>
          <w:rFonts w:ascii="David" w:hAnsi="David" w:cs="David"/>
          <w:b/>
          <w:bCs/>
          <w:color w:val="1a1a1a"/>
          <w:sz w:val="24"/>
          <w:szCs w:val="24"/>
          <w:rtl/>
        </w:rPr>
        <w:t xml:space="preserve">במילה “הַשָּׁמַיְמָה” — איזו תופעה לשונית מופיעה?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(1)</w:t>
      </w:r>
      <w:r>
        <w:rPr>
          <w:rFonts w:ascii="David" w:hAnsi="David" w:cs="David"/>
          <w:color w:val="1a1a1a"/>
          <w:sz w:val="22"/>
          <w:szCs w:val="22"/>
          <w:rtl/>
        </w:rPr>
        <w:tab/>
      </w:r>
      <w:r>
        <w:rPr>
          <w:rFonts w:ascii="David" w:hAnsi="David" w:cs="David"/>
          <w:color w:val="1a1a1a"/>
          <w:sz w:val="23"/>
          <w:szCs w:val="23"/>
          <w:rtl/>
        </w:rPr>
        <w:t xml:space="preserve">ה״א השאלה</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(2)</w:t>
      </w:r>
      <w:r>
        <w:rPr>
          <w:rFonts w:ascii="David" w:hAnsi="David" w:cs="David"/>
          <w:color w:val="1a1a1a"/>
          <w:sz w:val="22"/>
          <w:szCs w:val="22"/>
          <w:rtl/>
        </w:rPr>
        <w:tab/>
      </w:r>
      <w:r>
        <w:rPr>
          <w:rFonts w:ascii="David" w:hAnsi="David" w:cs="David"/>
          <w:b/>
          <w:bCs/>
          <w:color w:val="2e7d46"/>
          <w:sz w:val="23"/>
          <w:szCs w:val="23"/>
          <w:rtl/>
        </w:rPr>
        <w:t xml:space="preserve">ה״א המגמה (כיוון)</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(3)</w:t>
      </w:r>
      <w:r>
        <w:rPr>
          <w:rFonts w:ascii="David" w:hAnsi="David" w:cs="David"/>
          <w:color w:val="1a1a1a"/>
          <w:sz w:val="22"/>
          <w:szCs w:val="22"/>
          <w:rtl/>
        </w:rPr>
        <w:tab/>
      </w:r>
      <w:r>
        <w:rPr>
          <w:rFonts w:ascii="David" w:hAnsi="David" w:cs="David"/>
          <w:color w:val="1a1a1a"/>
          <w:sz w:val="23"/>
          <w:szCs w:val="23"/>
          <w:rtl/>
        </w:rPr>
        <w:t xml:space="preserve">ו' ההיפוך</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(4)</w:t>
      </w:r>
      <w:r>
        <w:rPr>
          <w:rFonts w:ascii="David" w:hAnsi="David" w:cs="David"/>
          <w:color w:val="1a1a1a"/>
          <w:sz w:val="22"/>
          <w:szCs w:val="22"/>
          <w:rtl/>
        </w:rPr>
        <w:tab/>
      </w:r>
      <w:r>
        <w:rPr>
          <w:rFonts w:ascii="David" w:hAnsi="David" w:cs="David"/>
          <w:color w:val="1a1a1a"/>
          <w:sz w:val="23"/>
          <w:szCs w:val="23"/>
          <w:rtl/>
        </w:rPr>
        <w:t xml:space="preserve">כינוי מושא חבור</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“הַשָּׁמַיְמָה” = אל השמים. ה' בסוף המילה מציינת כיוון — זו ה״א המגמה.</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18</w:t>
      </w:r>
      <w:r>
        <w:rPr>
          <w:rFonts w:ascii="David" w:hAnsi="David" w:cs="David"/>
          <w:color w:val="5f5f5f"/>
          <w:sz w:val="20"/>
          <w:szCs w:val="20"/>
          <w:rtl/>
        </w:rPr>
        <w:t xml:space="preserve">    [רב-ברירה · לשון]</w:t>
      </w:r>
    </w:p>
    <w:p>
      <w:pPr>
        <w:keepNext/>
        <w:keepLines/>
        <w:bidi/>
        <w:spacing w:before="20" w:after="80" w:line="312" w:lineRule="auto"/>
      </w:pPr>
      <w:r>
        <w:rPr>
          <w:rFonts w:ascii="David" w:hAnsi="David" w:cs="David"/>
          <w:b/>
          <w:bCs/>
          <w:color w:val="1a1a1a"/>
          <w:sz w:val="24"/>
          <w:szCs w:val="24"/>
          <w:rtl/>
        </w:rPr>
        <w:t xml:space="preserve">“הֲמָלֹךְ תִּמְלֹךְ עָלֵינוּ?” — מהי הה״א שבתחילת המילה “הֲמָלֹךְ”?</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(1)</w:t>
      </w:r>
      <w:r>
        <w:rPr>
          <w:rFonts w:ascii="David" w:hAnsi="David" w:cs="David"/>
          <w:color w:val="1a1a1a"/>
          <w:sz w:val="22"/>
          <w:szCs w:val="22"/>
          <w:rtl/>
        </w:rPr>
        <w:tab/>
      </w:r>
      <w:r>
        <w:rPr>
          <w:rFonts w:ascii="David" w:hAnsi="David" w:cs="David"/>
          <w:b/>
          <w:bCs/>
          <w:color w:val="2e7d46"/>
          <w:sz w:val="23"/>
          <w:szCs w:val="23"/>
          <w:rtl/>
        </w:rPr>
        <w:t xml:space="preserve">ה״א השאלה</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(2)</w:t>
      </w:r>
      <w:r>
        <w:rPr>
          <w:rFonts w:ascii="David" w:hAnsi="David" w:cs="David"/>
          <w:color w:val="1a1a1a"/>
          <w:sz w:val="22"/>
          <w:szCs w:val="22"/>
          <w:rtl/>
        </w:rPr>
        <w:tab/>
      </w:r>
      <w:r>
        <w:rPr>
          <w:rFonts w:ascii="David" w:hAnsi="David" w:cs="David"/>
          <w:color w:val="1a1a1a"/>
          <w:sz w:val="23"/>
          <w:szCs w:val="23"/>
          <w:rtl/>
        </w:rPr>
        <w:t xml:space="preserve">ה״א המגמה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(3)</w:t>
      </w:r>
      <w:r>
        <w:rPr>
          <w:rFonts w:ascii="David" w:hAnsi="David" w:cs="David"/>
          <w:color w:val="1a1a1a"/>
          <w:sz w:val="22"/>
          <w:szCs w:val="22"/>
          <w:rtl/>
        </w:rPr>
        <w:tab/>
      </w:r>
      <w:r>
        <w:rPr>
          <w:rFonts w:ascii="David" w:hAnsi="David" w:cs="David"/>
          <w:color w:val="1a1a1a"/>
          <w:sz w:val="23"/>
          <w:szCs w:val="23"/>
          <w:rtl/>
        </w:rPr>
        <w:t xml:space="preserve">ה״א הידיעה</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ה' בתחילת המילה שואלת שאלה — זו ה״א השאלה.</w:t>
      </w:r>
    </w:p>
    <w:p>
      <w:pPr>
        <w:keepLines/>
        <w:pBdr>
          <w:bottom w:val="single" w:sz="4" w:space="2" w:color="c9d2d6"/>
        </w:pBdr>
        <w:bidi/>
        <w:spacing w:before="100" w:after="100" w:line="240" w:lineRule="auto"/>
      </w:pPr>
    </w:p>
    <w:p>
      <w:pPr>
        <w:keepNext/>
        <w:keepLines/>
        <w:bidi/>
        <w:spacing w:before="180" w:after="20" w:line="288" w:lineRule="auto"/>
      </w:pPr>
      <w:r>
        <w:rPr>
          <w:rFonts w:ascii="David" w:hAnsi="David" w:cs="David"/>
          <w:b/>
          <w:bCs/>
          <w:color w:val="2e6e78"/>
          <w:sz w:val="26"/>
          <w:szCs w:val="26"/>
          <w:rtl/>
        </w:rPr>
        <w:t xml:space="preserve">שאלה 19</w:t>
      </w:r>
      <w:r>
        <w:rPr>
          <w:rFonts w:ascii="David" w:hAnsi="David" w:cs="David"/>
          <w:color w:val="5f5f5f"/>
          <w:sz w:val="20"/>
          <w:szCs w:val="20"/>
          <w:rtl/>
        </w:rPr>
        <w:t xml:space="preserve">    [רב-ברירה · לשון]</w:t>
      </w:r>
    </w:p>
    <w:p>
      <w:pPr>
        <w:keepNext/>
        <w:keepLines/>
        <w:bidi/>
        <w:spacing w:before="20" w:after="80" w:line="312" w:lineRule="auto"/>
      </w:pPr>
      <w:r>
        <w:rPr>
          <w:rFonts w:ascii="David" w:hAnsi="David" w:cs="David"/>
          <w:b/>
          <w:bCs/>
          <w:color w:val="1a1a1a"/>
          <w:sz w:val="24"/>
          <w:szCs w:val="24"/>
          <w:rtl/>
        </w:rPr>
        <w:t xml:space="preserve">המילה “וַיֹּאמֶר” משמעה “ואז אמר” (בעבר). איזו תופעה גורמת לכך?</w:t>
      </w:r>
    </w:p>
    <w:p>
      <w:pPr>
        <w:keepNext/>
        <w:keepLines/>
        <w:shd w:val="clear" w:color="auto" w:fill="eaf6ef"/>
        <w:tabs>
          <w:tab w:val="left" w:pos="540"/>
        </w:tabs>
        <w:bidi/>
        <w:spacing w:before="40" w:after="80" w:line="300" w:lineRule="auto"/>
        <w:ind w:left="540" w:hanging="540"/>
      </w:pPr>
      <w:r>
        <w:rPr>
          <w:rFonts w:ascii="David" w:hAnsi="David" w:cs="David"/>
          <w:b/>
          <w:bCs/>
          <w:color w:val="2e7d46"/>
          <w:sz w:val="23"/>
          <w:szCs w:val="23"/>
          <w:rtl/>
        </w:rPr>
        <w:t xml:space="preserve">(1)</w:t>
      </w:r>
      <w:r>
        <w:rPr>
          <w:rFonts w:ascii="David" w:hAnsi="David" w:cs="David"/>
          <w:color w:val="1a1a1a"/>
          <w:sz w:val="22"/>
          <w:szCs w:val="22"/>
          <w:rtl/>
        </w:rPr>
        <w:tab/>
      </w:r>
      <w:r>
        <w:rPr>
          <w:rFonts w:ascii="David" w:hAnsi="David" w:cs="David"/>
          <w:b/>
          <w:bCs/>
          <w:color w:val="2e7d46"/>
          <w:sz w:val="23"/>
          <w:szCs w:val="23"/>
          <w:rtl/>
        </w:rPr>
        <w:t xml:space="preserve">ו' ההיפוך</w:t>
      </w:r>
      <w:r>
        <w:rPr>
          <w:rFonts w:ascii="David" w:hAnsi="David" w:cs="David"/>
          <w:b/>
          <w:bCs/>
          <w:color w:val="2e7d46"/>
          <w:sz w:val="20"/>
          <w:szCs w:val="20"/>
          <w:rtl/>
        </w:rPr>
        <w:t xml:space="preserve">   ✓ התשובה הנכונה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(2)</w:t>
      </w:r>
      <w:r>
        <w:rPr>
          <w:rFonts w:ascii="David" w:hAnsi="David" w:cs="David"/>
          <w:color w:val="1a1a1a"/>
          <w:sz w:val="22"/>
          <w:szCs w:val="22"/>
          <w:rtl/>
        </w:rPr>
        <w:tab/>
      </w:r>
      <w:r>
        <w:rPr>
          <w:rFonts w:ascii="David" w:hAnsi="David" w:cs="David"/>
          <w:color w:val="1a1a1a"/>
          <w:sz w:val="23"/>
          <w:szCs w:val="23"/>
          <w:rtl/>
        </w:rPr>
        <w:t xml:space="preserve">ה״א המגמה</w:t>
      </w:r>
    </w:p>
    <w:p>
      <w:pPr>
        <w:keepNext/>
        <w:keepLines/>
        <w:tabs>
          <w:tab w:val="left" w:pos="540"/>
        </w:tabs>
        <w:bidi/>
        <w:spacing w:before="40" w:after="80" w:line="300" w:lineRule="auto"/>
        <w:ind w:left="540" w:hanging="540"/>
      </w:pPr>
      <w:r>
        <w:rPr>
          <w:rFonts w:ascii="David" w:hAnsi="David" w:cs="David"/>
          <w:color w:val="5f5f5f"/>
          <w:sz w:val="23"/>
          <w:szCs w:val="23"/>
          <w:rtl/>
        </w:rPr>
        <w:t xml:space="preserve">(3)</w:t>
      </w:r>
      <w:r>
        <w:rPr>
          <w:rFonts w:ascii="David" w:hAnsi="David" w:cs="David"/>
          <w:color w:val="1a1a1a"/>
          <w:sz w:val="22"/>
          <w:szCs w:val="22"/>
          <w:rtl/>
        </w:rPr>
        <w:tab/>
      </w:r>
      <w:r>
        <w:rPr>
          <w:rFonts w:ascii="David" w:hAnsi="David" w:cs="David"/>
          <w:color w:val="1a1a1a"/>
          <w:sz w:val="23"/>
          <w:szCs w:val="23"/>
          <w:rtl/>
        </w:rPr>
        <w:t xml:space="preserve">לשון מצרפת</w:t>
      </w:r>
    </w:p>
    <w:p>
      <w:pPr>
        <w:keepNext/>
        <w:keepLines/>
        <w:shd w:val="clear" w:color="auto" w:fill="f3f5f7"/>
        <w:bidi/>
        <w:spacing w:before="40" w:after="60" w:line="312" w:lineRule="auto"/>
      </w:pPr>
      <w:r>
        <w:rPr>
          <w:rFonts w:ascii="David" w:hAnsi="David" w:cs="David"/>
          <w:b/>
          <w:bCs/>
          <w:color w:val="4f8f99"/>
          <w:sz w:val="21"/>
          <w:szCs w:val="21"/>
          <w:rtl/>
        </w:rPr>
        <w:t xml:space="preserve">הסבר: </w:t>
      </w:r>
      <w:r>
        <w:rPr>
          <w:rFonts w:ascii="David" w:hAnsi="David" w:cs="David"/>
          <w:color w:val="3d3d3d"/>
          <w:sz w:val="21"/>
          <w:szCs w:val="21"/>
          <w:rtl/>
        </w:rPr>
        <w:t xml:space="preserve">“וַיֹּאמֶר” נראה כעתיד אך הוראתו עבר — זו ו' ההיפוך, ההופכת עתיד לעבר.</w:t>
      </w:r>
    </w:p>
    <w:p>
      <w:pPr>
        <w:keepLines/>
        <w:pBdr>
          <w:bottom w:val="single" w:sz="4" w:space="2" w:color="c9d2d6"/>
        </w:pBdr>
        <w:bidi/>
        <w:spacing w:before="100" w:after="100" w:line="240" w:lineRule="auto"/>
      </w:pPr>
    </w:p>
    <w:p>
      <w:pPr>
        <w:keepNext/>
        <w:keepLines/>
        <w:pageBreakBefore/>
        <w:shd w:val="clear" w:color="auto" w:fill="4f8f99"/>
        <w:bidi/>
        <w:spacing w:before="240" w:after="120" w:line="288" w:lineRule="auto"/>
      </w:pPr>
      <w:r>
        <w:rPr>
          <w:rFonts w:ascii="David" w:hAnsi="David" w:cs="David"/>
          <w:b/>
          <w:bCs/>
          <w:color w:val="ffffff"/>
          <w:sz w:val="26"/>
          <w:szCs w:val="26"/>
          <w:rtl/>
        </w:rPr>
        <w:t xml:space="preserve">  מפתח תשובות מרוכז</w:t>
      </w:r>
    </w:p>
    <w:tbl>
      <w:tblPr>
        <w:tblStyle w:val="TableGrid"/>
        <w:tblW w:type="auto" w:w="0"/>
        <w:tblLook w:firstColumn="1" w:firstRow="1" w:lastColumn="0" w:lastRow="0" w:noHBand="0" w:noVBand="1" w:val="04A0"/>
        <w:bidiVisual/>
      </w:tblPr>
      <w:tblGrid>
        <w:gridCol w:w="4706"/>
        <w:gridCol w:w="4706"/>
      </w:tblGrid>
      <w:tr>
        <w:trPr>
          <w:cantSplit/>
        </w:trPr>
        <w:tc>
          <w:tcPr>
            <w:tcW w:type="dxa" w:w="8220"/>
            <w:shd w:val="clear" w:color="auto" w:fill="4f8f99"/>
          </w:tcPr>
          <w:p>
            <w:pPr>
              <w:bidi/>
              <w:spacing w:before="20" w:after="20" w:line="264" w:lineRule="auto"/>
            </w:pPr>
            <w:r/>
            <w:r>
              <w:rPr>
                <w:rFonts w:ascii="David" w:hAnsi="David" w:cs="David"/>
                <w:b/>
                <w:bCs/>
                <w:color w:val="ffffff"/>
                <w:sz w:val="22"/>
                <w:szCs w:val="22"/>
                <w:rtl/>
              </w:rPr>
              <w:t xml:space="preserve">תשובה נכונה</w:t>
            </w:r>
          </w:p>
        </w:tc>
        <w:tc>
          <w:tcPr>
            <w:tcW w:type="dxa" w:w="1020"/>
            <w:shd w:val="clear" w:color="auto" w:fill="4f8f99"/>
          </w:tcPr>
          <w:p>
            <w:r/>
          </w:p>
        </w:tc>
      </w:tr>
      <w:tr>
        <w:trPr>
          <w:cantSplit/>
        </w:trPr>
        <w:tc>
          <w:tcPr>
            <w:tcW w:type="dxa" w:w="8220"/>
          </w:tcPr>
          <w:p>
            <w:pPr>
              <w:bidi/>
              <w:spacing w:before="20" w:after="20" w:line="268" w:lineRule="auto"/>
            </w:pPr>
            <w:r>
              <w:rPr>
                <w:rFonts w:ascii="David" w:hAnsi="David" w:cs="David"/>
                <w:color w:val="1a1a1a"/>
                <w:sz w:val="21"/>
                <w:szCs w:val="21"/>
                <w:rtl/>
              </w:rPr>
              <w:t xml:space="preserve">יושר</w:t>
            </w:r>
          </w:p>
        </w:tc>
        <w:tc>
          <w:tcPr>
            <w:tcW w:type="dxa" w:w="1020"/>
          </w:tcPr>
          <w:p>
            <w:pPr>
              <w:bidi/>
              <w:spacing w:before="20" w:after="20" w:line="268" w:lineRule="auto"/>
            </w:pPr>
            <w:r>
              <w:rPr>
                <w:rFonts w:ascii="David" w:hAnsi="David" w:cs="David"/>
                <w:b/>
                <w:bCs/>
                <w:color w:val="2e6e78"/>
                <w:sz w:val="21"/>
                <w:szCs w:val="21"/>
                <w:rtl/>
              </w:rPr>
              <w:t xml:space="preserve">1</w:t>
            </w:r>
          </w:p>
        </w:tc>
      </w:tr>
      <w:tr>
        <w:trPr>
          <w:cantSplit/>
        </w:trPr>
        <w:tc>
          <w:tcPr>
            <w:tcW w:type="dxa" w:w="8220"/>
          </w:tcPr>
          <w:p>
            <w:pPr>
              <w:bidi/>
              <w:spacing w:before="20" w:after="20" w:line="268" w:lineRule="auto"/>
            </w:pPr>
            <w:r>
              <w:rPr>
                <w:rFonts w:ascii="David" w:hAnsi="David" w:cs="David"/>
                <w:color w:val="1a1a1a"/>
                <w:sz w:val="21"/>
                <w:szCs w:val="21"/>
                <w:rtl/>
              </w:rPr>
              <w:t xml:space="preserve">הדרישה לכבד אנשים מבוגרים</w:t>
            </w:r>
          </w:p>
        </w:tc>
        <w:tc>
          <w:tcPr>
            <w:tcW w:type="dxa" w:w="1020"/>
          </w:tcPr>
          <w:p>
            <w:pPr>
              <w:bidi/>
              <w:spacing w:before="20" w:after="20" w:line="268" w:lineRule="auto"/>
            </w:pPr>
            <w:r>
              <w:rPr>
                <w:rFonts w:ascii="David" w:hAnsi="David" w:cs="David"/>
                <w:b/>
                <w:bCs/>
                <w:color w:val="2e6e78"/>
                <w:sz w:val="21"/>
                <w:szCs w:val="21"/>
                <w:rtl/>
              </w:rPr>
              <w:t xml:space="preserve">2</w:t>
            </w:r>
          </w:p>
        </w:tc>
      </w:tr>
      <w:tr>
        <w:trPr>
          <w:cantSplit/>
        </w:trPr>
        <w:tc>
          <w:tcPr>
            <w:tcW w:type="dxa" w:w="8220"/>
          </w:tcPr>
          <w:p>
            <w:pPr>
              <w:bidi/>
              <w:spacing w:before="20" w:after="20" w:line="268" w:lineRule="auto"/>
            </w:pPr>
            <w:r>
              <w:rPr>
                <w:rFonts w:ascii="David" w:hAnsi="David" w:cs="David"/>
                <w:color w:val="1a1a1a"/>
                <w:sz w:val="21"/>
                <w:szCs w:val="21"/>
                <w:rtl/>
              </w:rPr>
              <w:t xml:space="preserve">לֹא תֵלֵךְ רָכִיל בְּעַמֶּיךָ</w:t>
            </w:r>
          </w:p>
        </w:tc>
        <w:tc>
          <w:tcPr>
            <w:tcW w:type="dxa" w:w="1020"/>
          </w:tcPr>
          <w:p>
            <w:pPr>
              <w:bidi/>
              <w:spacing w:before="20" w:after="20" w:line="268" w:lineRule="auto"/>
            </w:pPr>
            <w:r>
              <w:rPr>
                <w:rFonts w:ascii="David" w:hAnsi="David" w:cs="David"/>
                <w:b/>
                <w:bCs/>
                <w:color w:val="2e6e78"/>
                <w:sz w:val="21"/>
                <w:szCs w:val="21"/>
                <w:rtl/>
              </w:rPr>
              <w:t xml:space="preserve">3</w:t>
            </w:r>
          </w:p>
        </w:tc>
      </w:tr>
      <w:tr>
        <w:trPr>
          <w:cantSplit/>
        </w:trPr>
        <w:tc>
          <w:tcPr>
            <w:tcW w:type="dxa" w:w="8220"/>
          </w:tcPr>
          <w:p>
            <w:pPr>
              <w:bidi/>
              <w:spacing w:before="20" w:after="20" w:line="268" w:lineRule="auto"/>
            </w:pPr>
            <w:r>
              <w:rPr>
                <w:rFonts w:ascii="David" w:hAnsi="David" w:cs="David"/>
                <w:color w:val="1a1a1a"/>
                <w:sz w:val="21"/>
                <w:szCs w:val="21"/>
                <w:rtl/>
              </w:rPr>
              <w:t xml:space="preserve">פתוחה (ערכים)</w:t>
            </w:r>
          </w:p>
        </w:tc>
        <w:tc>
          <w:tcPr>
            <w:tcW w:type="dxa" w:w="1020"/>
          </w:tcPr>
          <w:p>
            <w:pPr>
              <w:bidi/>
              <w:spacing w:before="20" w:after="20" w:line="268" w:lineRule="auto"/>
            </w:pPr>
            <w:r>
              <w:rPr>
                <w:rFonts w:ascii="David" w:hAnsi="David" w:cs="David"/>
                <w:b/>
                <w:bCs/>
                <w:color w:val="2e6e78"/>
                <w:sz w:val="21"/>
                <w:szCs w:val="21"/>
                <w:rtl/>
              </w:rPr>
              <w:t xml:space="preserve">4</w:t>
            </w:r>
          </w:p>
        </w:tc>
      </w:tr>
      <w:tr>
        <w:trPr>
          <w:cantSplit/>
        </w:trPr>
        <w:tc>
          <w:tcPr>
            <w:tcW w:type="dxa" w:w="8220"/>
          </w:tcPr>
          <w:p>
            <w:pPr>
              <w:bidi/>
              <w:spacing w:before="20" w:after="20" w:line="268" w:lineRule="auto"/>
            </w:pPr>
            <w:r>
              <w:rPr>
                <w:rFonts w:ascii="David" w:hAnsi="David" w:cs="David"/>
                <w:color w:val="1a1a1a"/>
                <w:sz w:val="21"/>
                <w:szCs w:val="21"/>
                <w:rtl/>
              </w:rPr>
              <w:t xml:space="preserve">כְּנָעַן</w:t>
            </w:r>
          </w:p>
        </w:tc>
        <w:tc>
          <w:tcPr>
            <w:tcW w:type="dxa" w:w="1020"/>
          </w:tcPr>
          <w:p>
            <w:pPr>
              <w:bidi/>
              <w:spacing w:before="20" w:after="20" w:line="268" w:lineRule="auto"/>
            </w:pPr>
            <w:r>
              <w:rPr>
                <w:rFonts w:ascii="David" w:hAnsi="David" w:cs="David"/>
                <w:b/>
                <w:bCs/>
                <w:color w:val="2e6e78"/>
                <w:sz w:val="21"/>
                <w:szCs w:val="21"/>
                <w:rtl/>
              </w:rPr>
              <w:t xml:space="preserve">5</w:t>
            </w:r>
          </w:p>
        </w:tc>
      </w:tr>
      <w:tr>
        <w:trPr>
          <w:cantSplit/>
        </w:trPr>
        <w:tc>
          <w:tcPr>
            <w:tcW w:type="dxa" w:w="8220"/>
          </w:tcPr>
          <w:p>
            <w:pPr>
              <w:bidi/>
              <w:spacing w:before="20" w:after="20" w:line="268" w:lineRule="auto"/>
            </w:pPr>
            <w:r>
              <w:rPr>
                <w:rFonts w:ascii="David" w:hAnsi="David" w:cs="David"/>
                <w:color w:val="1a1a1a"/>
                <w:sz w:val="21"/>
                <w:szCs w:val="21"/>
                <w:rtl/>
              </w:rPr>
              <w:t xml:space="preserve">כי אביהם אהב אותו יותר מכל האחים</w:t>
            </w:r>
          </w:p>
        </w:tc>
        <w:tc>
          <w:tcPr>
            <w:tcW w:type="dxa" w:w="1020"/>
          </w:tcPr>
          <w:p>
            <w:pPr>
              <w:bidi/>
              <w:spacing w:before="20" w:after="20" w:line="268" w:lineRule="auto"/>
            </w:pPr>
            <w:r>
              <w:rPr>
                <w:rFonts w:ascii="David" w:hAnsi="David" w:cs="David"/>
                <w:b/>
                <w:bCs/>
                <w:color w:val="2e6e78"/>
                <w:sz w:val="21"/>
                <w:szCs w:val="21"/>
                <w:rtl/>
              </w:rPr>
              <w:t xml:space="preserve">6</w:t>
            </w:r>
          </w:p>
        </w:tc>
      </w:tr>
      <w:tr>
        <w:trPr>
          <w:cantSplit/>
        </w:trPr>
        <w:tc>
          <w:tcPr>
            <w:tcW w:type="dxa" w:w="8220"/>
          </w:tcPr>
          <w:p>
            <w:pPr>
              <w:bidi/>
              <w:spacing w:before="20" w:after="20" w:line="268" w:lineRule="auto"/>
            </w:pPr>
            <w:r>
              <w:rPr>
                <w:rFonts w:ascii="David" w:hAnsi="David" w:cs="David"/>
                <w:color w:val="1a1a1a"/>
                <w:sz w:val="21"/>
                <w:szCs w:val="21"/>
                <w:rtl/>
              </w:rPr>
              <w:t xml:space="preserve">שמש, ירח ואחד-עשר כוכבים</w:t>
            </w:r>
          </w:p>
        </w:tc>
        <w:tc>
          <w:tcPr>
            <w:tcW w:type="dxa" w:w="1020"/>
          </w:tcPr>
          <w:p>
            <w:pPr>
              <w:bidi/>
              <w:spacing w:before="20" w:after="20" w:line="268" w:lineRule="auto"/>
            </w:pPr>
            <w:r>
              <w:rPr>
                <w:rFonts w:ascii="David" w:hAnsi="David" w:cs="David"/>
                <w:b/>
                <w:bCs/>
                <w:color w:val="2e6e78"/>
                <w:sz w:val="21"/>
                <w:szCs w:val="21"/>
                <w:rtl/>
              </w:rPr>
              <w:t xml:space="preserve">7</w:t>
            </w:r>
          </w:p>
        </w:tc>
      </w:tr>
      <w:tr>
        <w:trPr>
          <w:cantSplit/>
        </w:trPr>
        <w:tc>
          <w:tcPr>
            <w:tcW w:type="dxa" w:w="8220"/>
          </w:tcPr>
          <w:p>
            <w:pPr>
              <w:bidi/>
              <w:spacing w:before="20" w:after="20" w:line="268" w:lineRule="auto"/>
            </w:pPr>
            <w:r>
              <w:rPr>
                <w:rFonts w:ascii="David" w:hAnsi="David" w:cs="David"/>
                <w:color w:val="1a1a1a"/>
                <w:sz w:val="21"/>
                <w:szCs w:val="21"/>
                <w:rtl/>
              </w:rPr>
              <w:t xml:space="preserve">פתוחה (פרשנות)</w:t>
            </w:r>
          </w:p>
        </w:tc>
        <w:tc>
          <w:tcPr>
            <w:tcW w:type="dxa" w:w="1020"/>
          </w:tcPr>
          <w:p>
            <w:pPr>
              <w:bidi/>
              <w:spacing w:before="20" w:after="20" w:line="268" w:lineRule="auto"/>
            </w:pPr>
            <w:r>
              <w:rPr>
                <w:rFonts w:ascii="David" w:hAnsi="David" w:cs="David"/>
                <w:b/>
                <w:bCs/>
                <w:color w:val="2e6e78"/>
                <w:sz w:val="21"/>
                <w:szCs w:val="21"/>
                <w:rtl/>
              </w:rPr>
              <w:t xml:space="preserve">8</w:t>
            </w:r>
          </w:p>
        </w:tc>
      </w:tr>
      <w:tr>
        <w:trPr>
          <w:cantSplit/>
        </w:trPr>
        <w:tc>
          <w:tcPr>
            <w:tcW w:type="dxa" w:w="8220"/>
          </w:tcPr>
          <w:p>
            <w:pPr>
              <w:bidi/>
              <w:spacing w:before="20" w:after="20" w:line="268" w:lineRule="auto"/>
            </w:pPr>
            <w:r>
              <w:rPr>
                <w:rFonts w:ascii="David" w:hAnsi="David" w:cs="David"/>
                <w:color w:val="1a1a1a"/>
                <w:sz w:val="21"/>
                <w:szCs w:val="21"/>
                <w:rtl/>
              </w:rPr>
              <w:t xml:space="preserve">אחרי שיכבשו את הארץ וכל השבטים יקבלו נחלה</w:t>
            </w:r>
          </w:p>
        </w:tc>
        <w:tc>
          <w:tcPr>
            <w:tcW w:type="dxa" w:w="1020"/>
          </w:tcPr>
          <w:p>
            <w:pPr>
              <w:bidi/>
              <w:spacing w:before="20" w:after="20" w:line="268" w:lineRule="auto"/>
            </w:pPr>
            <w:r>
              <w:rPr>
                <w:rFonts w:ascii="David" w:hAnsi="David" w:cs="David"/>
                <w:b/>
                <w:bCs/>
                <w:color w:val="2e6e78"/>
                <w:sz w:val="21"/>
                <w:szCs w:val="21"/>
                <w:rtl/>
              </w:rPr>
              <w:t xml:space="preserve">9</w:t>
            </w:r>
          </w:p>
        </w:tc>
      </w:tr>
      <w:tr>
        <w:trPr>
          <w:cantSplit/>
        </w:trPr>
        <w:tc>
          <w:tcPr>
            <w:tcW w:type="dxa" w:w="8220"/>
          </w:tcPr>
          <w:p>
            <w:pPr>
              <w:bidi/>
              <w:spacing w:before="20" w:after="20" w:line="268" w:lineRule="auto"/>
            </w:pPr>
            <w:r>
              <w:rPr>
                <w:rFonts w:ascii="David" w:hAnsi="David" w:cs="David"/>
                <w:color w:val="1a1a1a"/>
                <w:sz w:val="21"/>
                <w:szCs w:val="21"/>
                <w:rtl/>
              </w:rPr>
              <w:t xml:space="preserve">נַעֲשֶׂה</w:t>
            </w:r>
          </w:p>
        </w:tc>
        <w:tc>
          <w:tcPr>
            <w:tcW w:type="dxa" w:w="1020"/>
          </w:tcPr>
          <w:p>
            <w:pPr>
              <w:bidi/>
              <w:spacing w:before="20" w:after="20" w:line="268" w:lineRule="auto"/>
            </w:pPr>
            <w:r>
              <w:rPr>
                <w:rFonts w:ascii="David" w:hAnsi="David" w:cs="David"/>
                <w:b/>
                <w:bCs/>
                <w:color w:val="2e6e78"/>
                <w:sz w:val="21"/>
                <w:szCs w:val="21"/>
                <w:rtl/>
              </w:rPr>
              <w:t xml:space="preserve">10</w:t>
            </w:r>
          </w:p>
        </w:tc>
      </w:tr>
      <w:tr>
        <w:trPr>
          <w:cantSplit/>
        </w:trPr>
        <w:tc>
          <w:tcPr>
            <w:tcW w:type="dxa" w:w="8220"/>
          </w:tcPr>
          <w:p>
            <w:pPr>
              <w:bidi/>
              <w:spacing w:before="20" w:after="20" w:line="268" w:lineRule="auto"/>
            </w:pPr>
            <w:r>
              <w:rPr>
                <w:rFonts w:ascii="David" w:hAnsi="David" w:cs="David"/>
                <w:color w:val="1a1a1a"/>
                <w:sz w:val="21"/>
                <w:szCs w:val="21"/>
                <w:rtl/>
              </w:rPr>
              <w:t xml:space="preserve">המבול</w:t>
            </w:r>
          </w:p>
        </w:tc>
        <w:tc>
          <w:tcPr>
            <w:tcW w:type="dxa" w:w="1020"/>
          </w:tcPr>
          <w:p>
            <w:pPr>
              <w:bidi/>
              <w:spacing w:before="20" w:after="20" w:line="268" w:lineRule="auto"/>
            </w:pPr>
            <w:r>
              <w:rPr>
                <w:rFonts w:ascii="David" w:hAnsi="David" w:cs="David"/>
                <w:b/>
                <w:bCs/>
                <w:color w:val="2e6e78"/>
                <w:sz w:val="21"/>
                <w:szCs w:val="21"/>
                <w:rtl/>
              </w:rPr>
              <w:t xml:space="preserve">11</w:t>
            </w:r>
          </w:p>
        </w:tc>
      </w:tr>
      <w:tr>
        <w:trPr>
          <w:cantSplit/>
        </w:trPr>
        <w:tc>
          <w:tcPr>
            <w:tcW w:type="dxa" w:w="8220"/>
          </w:tcPr>
          <w:p>
            <w:pPr>
              <w:bidi/>
              <w:spacing w:before="20" w:after="20" w:line="268" w:lineRule="auto"/>
            </w:pPr>
            <w:r>
              <w:rPr>
                <w:rFonts w:ascii="David" w:hAnsi="David" w:cs="David"/>
                <w:color w:val="1a1a1a"/>
                <w:sz w:val="21"/>
                <w:szCs w:val="21"/>
                <w:rtl/>
              </w:rPr>
              <w:t xml:space="preserve">אברהם</w:t>
            </w:r>
          </w:p>
        </w:tc>
        <w:tc>
          <w:tcPr>
            <w:tcW w:type="dxa" w:w="1020"/>
          </w:tcPr>
          <w:p>
            <w:pPr>
              <w:bidi/>
              <w:spacing w:before="20" w:after="20" w:line="268" w:lineRule="auto"/>
            </w:pPr>
            <w:r>
              <w:rPr>
                <w:rFonts w:ascii="David" w:hAnsi="David" w:cs="David"/>
                <w:b/>
                <w:bCs/>
                <w:color w:val="2e6e78"/>
                <w:sz w:val="21"/>
                <w:szCs w:val="21"/>
                <w:rtl/>
              </w:rPr>
              <w:t xml:space="preserve">12</w:t>
            </w:r>
          </w:p>
        </w:tc>
      </w:tr>
      <w:tr>
        <w:trPr>
          <w:cantSplit/>
        </w:trPr>
        <w:tc>
          <w:tcPr>
            <w:tcW w:type="dxa" w:w="8220"/>
          </w:tcPr>
          <w:p>
            <w:pPr>
              <w:bidi/>
              <w:spacing w:before="20" w:after="20" w:line="268" w:lineRule="auto"/>
            </w:pPr>
            <w:r>
              <w:rPr>
                <w:rFonts w:ascii="David" w:hAnsi="David" w:cs="David"/>
                <w:color w:val="1a1a1a"/>
                <w:sz w:val="21"/>
                <w:szCs w:val="21"/>
                <w:rtl/>
              </w:rPr>
              <w:t xml:space="preserve">יהושע</w:t>
            </w:r>
          </w:p>
        </w:tc>
        <w:tc>
          <w:tcPr>
            <w:tcW w:type="dxa" w:w="1020"/>
          </w:tcPr>
          <w:p>
            <w:pPr>
              <w:bidi/>
              <w:spacing w:before="20" w:after="20" w:line="268" w:lineRule="auto"/>
            </w:pPr>
            <w:r>
              <w:rPr>
                <w:rFonts w:ascii="David" w:hAnsi="David" w:cs="David"/>
                <w:b/>
                <w:bCs/>
                <w:color w:val="2e6e78"/>
                <w:sz w:val="21"/>
                <w:szCs w:val="21"/>
                <w:rtl/>
              </w:rPr>
              <w:t xml:space="preserve">13</w:t>
            </w:r>
          </w:p>
        </w:tc>
      </w:tr>
      <w:tr>
        <w:trPr>
          <w:cantSplit/>
        </w:trPr>
        <w:tc>
          <w:tcPr>
            <w:tcW w:type="dxa" w:w="8220"/>
          </w:tcPr>
          <w:p>
            <w:pPr>
              <w:bidi/>
              <w:spacing w:before="20" w:after="20" w:line="268" w:lineRule="auto"/>
            </w:pPr>
            <w:r>
              <w:rPr>
                <w:rFonts w:ascii="David" w:hAnsi="David" w:cs="David"/>
                <w:color w:val="1a1a1a"/>
                <w:sz w:val="21"/>
                <w:szCs w:val="21"/>
                <w:rtl/>
              </w:rPr>
              <w:t xml:space="preserve">אהרן (אינו שבט)</w:t>
            </w:r>
          </w:p>
        </w:tc>
        <w:tc>
          <w:tcPr>
            <w:tcW w:type="dxa" w:w="1020"/>
          </w:tcPr>
          <w:p>
            <w:pPr>
              <w:bidi/>
              <w:spacing w:before="20" w:after="20" w:line="268" w:lineRule="auto"/>
            </w:pPr>
            <w:r>
              <w:rPr>
                <w:rFonts w:ascii="David" w:hAnsi="David" w:cs="David"/>
                <w:b/>
                <w:bCs/>
                <w:color w:val="2e6e78"/>
                <w:sz w:val="21"/>
                <w:szCs w:val="21"/>
                <w:rtl/>
              </w:rPr>
              <w:t xml:space="preserve">14</w:t>
            </w:r>
          </w:p>
        </w:tc>
      </w:tr>
      <w:tr>
        <w:trPr>
          <w:cantSplit/>
        </w:trPr>
        <w:tc>
          <w:tcPr>
            <w:tcW w:type="dxa" w:w="8220"/>
          </w:tcPr>
          <w:p>
            <w:pPr>
              <w:bidi/>
              <w:spacing w:before="20" w:after="20" w:line="268" w:lineRule="auto"/>
            </w:pPr>
            <w:r>
              <w:rPr>
                <w:rFonts w:ascii="David" w:hAnsi="David" w:cs="David"/>
                <w:color w:val="1a1a1a"/>
                <w:sz w:val="21"/>
                <w:szCs w:val="21"/>
                <w:rtl/>
              </w:rPr>
              <w:t xml:space="preserve">בַּת פַּרְעֹה</w:t>
            </w:r>
          </w:p>
        </w:tc>
        <w:tc>
          <w:tcPr>
            <w:tcW w:type="dxa" w:w="1020"/>
          </w:tcPr>
          <w:p>
            <w:pPr>
              <w:bidi/>
              <w:spacing w:before="20" w:after="20" w:line="268" w:lineRule="auto"/>
            </w:pPr>
            <w:r>
              <w:rPr>
                <w:rFonts w:ascii="David" w:hAnsi="David" w:cs="David"/>
                <w:b/>
                <w:bCs/>
                <w:color w:val="2e6e78"/>
                <w:sz w:val="21"/>
                <w:szCs w:val="21"/>
                <w:rtl/>
              </w:rPr>
              <w:t xml:space="preserve">15</w:t>
            </w:r>
          </w:p>
        </w:tc>
      </w:tr>
      <w:tr>
        <w:trPr>
          <w:cantSplit/>
        </w:trPr>
        <w:tc>
          <w:tcPr>
            <w:tcW w:type="dxa" w:w="8220"/>
          </w:tcPr>
          <w:p>
            <w:pPr>
              <w:bidi/>
              <w:spacing w:before="20" w:after="20" w:line="268" w:lineRule="auto"/>
            </w:pPr>
            <w:r>
              <w:rPr>
                <w:rFonts w:ascii="David" w:hAnsi="David" w:cs="David"/>
                <w:color w:val="1a1a1a"/>
                <w:sz w:val="21"/>
                <w:szCs w:val="21"/>
                <w:rtl/>
              </w:rPr>
              <w:t xml:space="preserve">יוֹסֵף</w:t>
            </w:r>
          </w:p>
        </w:tc>
        <w:tc>
          <w:tcPr>
            <w:tcW w:type="dxa" w:w="1020"/>
          </w:tcPr>
          <w:p>
            <w:pPr>
              <w:bidi/>
              <w:spacing w:before="20" w:after="20" w:line="268" w:lineRule="auto"/>
            </w:pPr>
            <w:r>
              <w:rPr>
                <w:rFonts w:ascii="David" w:hAnsi="David" w:cs="David"/>
                <w:b/>
                <w:bCs/>
                <w:color w:val="2e6e78"/>
                <w:sz w:val="21"/>
                <w:szCs w:val="21"/>
                <w:rtl/>
              </w:rPr>
              <w:t xml:space="preserve">16</w:t>
            </w:r>
          </w:p>
        </w:tc>
      </w:tr>
      <w:tr>
        <w:trPr>
          <w:cantSplit/>
        </w:trPr>
        <w:tc>
          <w:tcPr>
            <w:tcW w:type="dxa" w:w="8220"/>
          </w:tcPr>
          <w:p>
            <w:pPr>
              <w:bidi/>
              <w:spacing w:before="20" w:after="20" w:line="268" w:lineRule="auto"/>
            </w:pPr>
            <w:r>
              <w:rPr>
                <w:rFonts w:ascii="David" w:hAnsi="David" w:cs="David"/>
                <w:color w:val="1a1a1a"/>
                <w:sz w:val="21"/>
                <w:szCs w:val="21"/>
                <w:rtl/>
              </w:rPr>
              <w:t xml:space="preserve">ה״א המגמה</w:t>
            </w:r>
          </w:p>
        </w:tc>
        <w:tc>
          <w:tcPr>
            <w:tcW w:type="dxa" w:w="1020"/>
          </w:tcPr>
          <w:p>
            <w:pPr>
              <w:bidi/>
              <w:spacing w:before="20" w:after="20" w:line="268" w:lineRule="auto"/>
            </w:pPr>
            <w:r>
              <w:rPr>
                <w:rFonts w:ascii="David" w:hAnsi="David" w:cs="David"/>
                <w:b/>
                <w:bCs/>
                <w:color w:val="2e6e78"/>
                <w:sz w:val="21"/>
                <w:szCs w:val="21"/>
                <w:rtl/>
              </w:rPr>
              <w:t xml:space="preserve">17</w:t>
            </w:r>
          </w:p>
        </w:tc>
      </w:tr>
      <w:tr>
        <w:trPr>
          <w:cantSplit/>
        </w:trPr>
        <w:tc>
          <w:tcPr>
            <w:tcW w:type="dxa" w:w="8220"/>
          </w:tcPr>
          <w:p>
            <w:pPr>
              <w:bidi/>
              <w:spacing w:before="20" w:after="20" w:line="268" w:lineRule="auto"/>
            </w:pPr>
            <w:r>
              <w:rPr>
                <w:rFonts w:ascii="David" w:hAnsi="David" w:cs="David"/>
                <w:color w:val="1a1a1a"/>
                <w:sz w:val="21"/>
                <w:szCs w:val="21"/>
                <w:rtl/>
              </w:rPr>
              <w:t xml:space="preserve">ה״א השאלה</w:t>
            </w:r>
          </w:p>
        </w:tc>
        <w:tc>
          <w:tcPr>
            <w:tcW w:type="dxa" w:w="1020"/>
          </w:tcPr>
          <w:p>
            <w:pPr>
              <w:bidi/>
              <w:spacing w:before="20" w:after="20" w:line="268" w:lineRule="auto"/>
            </w:pPr>
            <w:r>
              <w:rPr>
                <w:rFonts w:ascii="David" w:hAnsi="David" w:cs="David"/>
                <w:b/>
                <w:bCs/>
                <w:color w:val="2e6e78"/>
                <w:sz w:val="21"/>
                <w:szCs w:val="21"/>
                <w:rtl/>
              </w:rPr>
              <w:t xml:space="preserve">18</w:t>
            </w:r>
          </w:p>
        </w:tc>
      </w:tr>
      <w:tr>
        <w:trPr>
          <w:cantSplit/>
        </w:trPr>
        <w:tc>
          <w:tcPr>
            <w:tcW w:type="dxa" w:w="8220"/>
          </w:tcPr>
          <w:p>
            <w:pPr>
              <w:bidi/>
              <w:spacing w:before="20" w:after="20" w:line="268" w:lineRule="auto"/>
            </w:pPr>
            <w:r>
              <w:rPr>
                <w:rFonts w:ascii="David" w:hAnsi="David" w:cs="David"/>
                <w:color w:val="1a1a1a"/>
                <w:sz w:val="21"/>
                <w:szCs w:val="21"/>
                <w:rtl/>
              </w:rPr>
              <w:t xml:space="preserve">ו' ההיפוך</w:t>
            </w:r>
          </w:p>
        </w:tc>
        <w:tc>
          <w:tcPr>
            <w:tcW w:type="dxa" w:w="1020"/>
          </w:tcPr>
          <w:p>
            <w:pPr>
              <w:bidi/>
              <w:spacing w:before="20" w:after="20" w:line="268" w:lineRule="auto"/>
            </w:pPr>
            <w:r>
              <w:rPr>
                <w:rFonts w:ascii="David" w:hAnsi="David" w:cs="David"/>
                <w:b/>
                <w:bCs/>
                <w:color w:val="2e6e78"/>
                <w:sz w:val="21"/>
                <w:szCs w:val="21"/>
                <w:rtl/>
              </w:rPr>
              <w:t xml:space="preserve">19</w:t>
            </w:r>
          </w:p>
        </w:tc>
      </w:tr>
    </w:tbl>
    <w:sectPr w:rsidR="00FC693F" w:rsidRPr="0006063C" w:rsidSect="00034616">
      <w:pgSz w:w="11906" w:h="16838"/>
      <w:pgMar w:top="1247" w:right="1247" w:bottom="907" w:left="1247" w:header="720" w:footer="720" w:gutter="0"/>
      <w:cols w:space="720"/>
      <w:docGrid w:linePitch="36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