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0" w:line="300"/>
        <w:jc w:val="right"/>
      </w:pPr>
      <w:r>
        <w:rPr>
          <w:rFonts w:ascii="Arial" w:cs="Arial" w:eastAsia="Arial" w:hAnsi="Arial"/>
          <w:b/>
          <w:bCs/>
          <w:color w:val="2E6DB4"/>
          <w:sz w:val="40"/>
          <w:szCs w:val="40"/>
          <w:rtl/>
        </w:rPr>
        <w:t xml:space="preserve">דוח מצב — שאלות והסברים</w:t>
      </w:r>
    </w:p>
    <w:p>
      <w:pPr>
        <w:bidi/>
        <w:spacing w:after="40" w:before="0" w:line="300"/>
        <w:jc w:val="right"/>
      </w:pPr>
      <w:r>
        <w:rPr>
          <w:rFonts w:ascii="Arial" w:cs="Arial" w:eastAsia="Arial" w:hAnsi="Arial"/>
          <w:b/>
          <w:bCs/>
          <w:color w:val="1A1A1A"/>
          <w:sz w:val="26"/>
          <w:szCs w:val="26"/>
          <w:rtl/>
        </w:rPr>
        <w:t xml:space="preserve">בנק התרגול למבחן הידע לרפואה (תכנית 4 שנתית)</w:t>
      </w:r>
    </w:p>
    <w:p>
      <w:pPr>
        <w:bidi/>
        <w:spacing w:after="200" w:before="0" w:line="300"/>
        <w:jc w:val="right"/>
      </w:pPr>
      <w:r>
        <w:rPr>
          <w:rFonts w:ascii="Arial" w:cs="Arial" w:eastAsia="Arial" w:hAnsi="Arial"/>
          <w:b w:val="false"/>
          <w:bCs w:val="false"/>
          <w:i w:val="false"/>
          <w:iCs w:val="false"/>
          <w:color w:val="555555"/>
          <w:sz w:val="20"/>
          <w:szCs w:val="20"/>
          <w:rtl/>
        </w:rPr>
        <w:t xml:space="preserve">נכון ל-7 ביוני 2026</w:t>
      </w:r>
    </w:p>
    <w:p>
      <w:pPr>
        <w:pBdr>
          <w:bottom w:val="single" w:color="2E6DB4" w:sz="8" w:space="1"/>
        </w:pBdr>
        <w:spacing w:after="200"/>
      </w:pPr>
    </w:p>
    <w:p>
      <w:pPr>
        <w:pStyle w:val="Heading1"/>
        <w:bidi/>
        <w:spacing w:after="120" w:before="0" w:line="300"/>
        <w:jc w:val="right"/>
      </w:pPr>
      <w:r>
        <w:rPr>
          <w:rFonts w:ascii="Arial" w:cs="Arial" w:eastAsia="Arial" w:hAnsi="Arial"/>
          <w:b/>
          <w:bCs/>
          <w:i w:val="false"/>
          <w:iCs w:val="false"/>
          <w:color w:val="1A1A1A"/>
          <w:sz w:val="22"/>
          <w:szCs w:val="22"/>
          <w:rtl/>
        </w:rPr>
        <w:t xml:space="preserve">תמונת מצב כללית</w:t>
      </w:r>
    </w:p>
    <w:p>
      <w:pPr>
        <w:bidi/>
        <w:spacing w:after="120" w:before="0" w:line="300"/>
        <w:jc w:val="right"/>
      </w:pPr>
      <w:r>
        <w:rPr>
          <w:rFonts w:ascii="Arial" w:cs="Arial" w:eastAsia="Arial" w:hAnsi="Arial"/>
          <w:b w:val="false"/>
          <w:bCs w:val="false"/>
          <w:i w:val="false"/>
          <w:iCs w:val="false"/>
          <w:color w:val="1A1A1A"/>
          <w:sz w:val="22"/>
          <w:szCs w:val="22"/>
          <w:rtl/>
        </w:rPr>
        <w:t xml:space="preserve">בנק התרגול כולל כיום 374 שאלות רב-ברירה בארבעת מקצועות המבחן — גידול של למעלה מפי שניים מאז הדוח הקודם (3 ביוני: 168 שאלות). לכל שאלה ללא יוצא מן הכלל יש תשובה נכונה מסומנת, בדיוק 4 מסיחים, והסבר מלא. אורך ההסבר הממוצע כ-397 תווים (מינימום 121 תווים), ואין שאלה אחת ללא הסבר, עם הסבר קצרצר, או עם מספר מסיחים שגוי. אין שאלות כפולות.</w:t>
      </w:r>
    </w:p>
    <w:p>
      <w:pPr>
        <w:bidi/>
        <w:spacing w:after="120" w:before="0" w:line="300"/>
        <w:jc w:val="right"/>
      </w:pPr>
      <w:r>
        <w:rPr>
          <w:rFonts w:ascii="Arial" w:cs="Arial" w:eastAsia="Arial" w:hAnsi="Arial"/>
          <w:b w:val="false"/>
          <w:bCs w:val="false"/>
          <w:i w:val="false"/>
          <w:iCs w:val="false"/>
          <w:color w:val="1A1A1A"/>
          <w:sz w:val="22"/>
          <w:szCs w:val="22"/>
          <w:rtl/>
        </w:rPr>
        <w:t xml:space="preserve">לשם השוואה, שאלון המבחן עצמו הוא 120 שאלות (30 לכל מקצוע), כך שהבנק כבר גדול מפי שלושה משאלון מלא, ובכל מקצוע בנפרד הוא הרבה מעל יעד 30 השאלות.</w:t>
      </w:r>
    </w:p>
    <w:p>
      <w:pPr>
        <w:pStyle w:val="Heading1"/>
        <w:bidi/>
        <w:spacing w:after="120" w:before="0" w:line="300"/>
        <w:jc w:val="right"/>
      </w:pPr>
      <w:r>
        <w:rPr>
          <w:rFonts w:ascii="Arial" w:cs="Arial" w:eastAsia="Arial" w:hAnsi="Arial"/>
          <w:b/>
          <w:bCs/>
          <w:i w:val="false"/>
          <w:iCs w:val="false"/>
          <w:color w:val="1A1A1A"/>
          <w:sz w:val="22"/>
          <w:szCs w:val="22"/>
          <w:rtl/>
        </w:rPr>
        <w:t xml:space="preserve">פירוט לפי מקצוע</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pPr>
              <w:bidi/>
              <w:spacing w:after="0" w:before="0" w:line="300"/>
              <w:jc w:val="center"/>
            </w:pPr>
            <w:r>
              <w:rPr>
                <w:rFonts w:ascii="Arial" w:cs="Arial" w:eastAsia="Arial" w:hAnsi="Arial"/>
                <w:b/>
                <w:bCs/>
                <w:color w:val="FFFFFF"/>
                <w:sz w:val="22"/>
                <w:szCs w:val="22"/>
                <w:rtl/>
              </w:rPr>
              <w:t xml:space="preserve">מקצוע</w:t>
            </w:r>
          </w:p>
        </w:tc>
        <w:tc>
          <w:tcPr>
            <w:tcW w:type="dxa" w:w="21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pPr>
              <w:bidi/>
              <w:spacing w:after="0" w:before="0" w:line="300"/>
              <w:jc w:val="center"/>
            </w:pPr>
            <w:r>
              <w:rPr>
                <w:rFonts w:ascii="Arial" w:cs="Arial" w:eastAsia="Arial" w:hAnsi="Arial"/>
                <w:b/>
                <w:bCs/>
                <w:color w:val="FFFFFF"/>
                <w:sz w:val="22"/>
                <w:szCs w:val="22"/>
                <w:rtl/>
              </w:rPr>
              <w:t xml:space="preserve">שאלות</w:t>
            </w:r>
          </w:p>
        </w:tc>
        <w:tc>
          <w:tcPr>
            <w:tcW w:type="dxa" w:w="21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pPr>
              <w:bidi/>
              <w:spacing w:after="0" w:before="0" w:line="300"/>
              <w:jc w:val="center"/>
            </w:pPr>
            <w:r>
              <w:rPr>
                <w:rFonts w:ascii="Arial" w:cs="Arial" w:eastAsia="Arial" w:hAnsi="Arial"/>
                <w:b/>
                <w:bCs/>
                <w:color w:val="FFFFFF"/>
                <w:sz w:val="22"/>
                <w:szCs w:val="22"/>
                <w:rtl/>
              </w:rPr>
              <w:t xml:space="preserve">נושאים (תתי-נושא)</w:t>
            </w:r>
          </w:p>
        </w:tc>
        <w:tc>
          <w:tcPr>
            <w:tcW w:type="dxa" w:w="2100"/>
            <w:tcBorders>
              <w:top w:val="single" w:color="CCCCCC" w:sz="1"/>
              <w:left w:val="single" w:color="CCCCCC" w:sz="1"/>
              <w:bottom w:val="single" w:color="CCCCCC" w:sz="1"/>
              <w:right w:val="single" w:color="CCCCCC" w:sz="1"/>
            </w:tcBorders>
            <w:shd w:fill="2E6DB4" w:val="clear"/>
            <w:tcMar>
              <w:top w:type="dxa" w:w="80"/>
              <w:left w:type="dxa" w:w="120"/>
              <w:bottom w:type="dxa" w:w="80"/>
              <w:right w:type="dxa" w:w="120"/>
            </w:tcMar>
          </w:tcPr>
          <w:p>
            <w:pPr>
              <w:bidi/>
              <w:spacing w:after="0" w:before="0" w:line="300"/>
              <w:jc w:val="center"/>
            </w:pPr>
            <w:r>
              <w:rPr>
                <w:rFonts w:ascii="Arial" w:cs="Arial" w:eastAsia="Arial" w:hAnsi="Arial"/>
                <w:b/>
                <w:bCs/>
                <w:color w:val="FFFFFF"/>
                <w:sz w:val="22"/>
                <w:szCs w:val="22"/>
                <w:rtl/>
              </w:rPr>
              <w:t xml:space="preserve">נושאים עם שאלה בודדת</w:t>
            </w:r>
          </w:p>
        </w:tc>
      </w:tr>
      <w:tr>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spacing w:after="0" w:before="0" w:line="300"/>
              <w:jc w:val="right"/>
            </w:pPr>
            <w:r>
              <w:rPr>
                <w:rFonts w:ascii="Arial" w:cs="Arial" w:eastAsia="Arial" w:hAnsi="Arial"/>
                <w:b/>
                <w:bCs/>
                <w:i w:val="false"/>
                <w:iCs w:val="false"/>
                <w:color w:val="1A1A1A"/>
                <w:sz w:val="22"/>
                <w:szCs w:val="22"/>
                <w:rtl/>
              </w:rPr>
              <w:t xml:space="preserve">ביוכימיה</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103</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18</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1</w:t>
            </w:r>
          </w:p>
        </w:tc>
      </w:tr>
      <w:tr>
        <w:tc>
          <w:tcPr>
            <w:tcW w:type="dxa" w:w="30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bidi/>
              <w:spacing w:after="0" w:before="0" w:line="300"/>
              <w:jc w:val="right"/>
            </w:pPr>
            <w:r>
              <w:rPr>
                <w:rFonts w:ascii="Arial" w:cs="Arial" w:eastAsia="Arial" w:hAnsi="Arial"/>
                <w:b/>
                <w:bCs/>
                <w:i w:val="false"/>
                <w:iCs w:val="false"/>
                <w:color w:val="1A1A1A"/>
                <w:sz w:val="22"/>
                <w:szCs w:val="22"/>
                <w:rtl/>
              </w:rPr>
              <w:t xml:space="preserve">ביולוגיה מולקולרית</w:t>
            </w:r>
          </w:p>
        </w:tc>
        <w:tc>
          <w:tcPr>
            <w:tcW w:type="dxa" w:w="21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98</w:t>
            </w:r>
          </w:p>
        </w:tc>
        <w:tc>
          <w:tcPr>
            <w:tcW w:type="dxa" w:w="21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43</w:t>
            </w:r>
          </w:p>
        </w:tc>
        <w:tc>
          <w:tcPr>
            <w:tcW w:type="dxa" w:w="21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13</w:t>
            </w:r>
          </w:p>
        </w:tc>
      </w:tr>
      <w:tr>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spacing w:after="0" w:before="0" w:line="300"/>
              <w:jc w:val="right"/>
            </w:pPr>
            <w:r>
              <w:rPr>
                <w:rFonts w:ascii="Arial" w:cs="Arial" w:eastAsia="Arial" w:hAnsi="Arial"/>
                <w:b/>
                <w:bCs/>
                <w:i w:val="false"/>
                <w:iCs w:val="false"/>
                <w:color w:val="1A1A1A"/>
                <w:sz w:val="22"/>
                <w:szCs w:val="22"/>
                <w:rtl/>
              </w:rPr>
              <w:t xml:space="preserve">ביולוגיה של התא</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91</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22</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8</w:t>
            </w:r>
          </w:p>
        </w:tc>
      </w:tr>
      <w:tr>
        <w:tc>
          <w:tcPr>
            <w:tcW w:type="dxa" w:w="30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bidi/>
              <w:spacing w:after="0" w:before="0" w:line="300"/>
              <w:jc w:val="right"/>
            </w:pPr>
            <w:r>
              <w:rPr>
                <w:rFonts w:ascii="Arial" w:cs="Arial" w:eastAsia="Arial" w:hAnsi="Arial"/>
                <w:b/>
                <w:bCs/>
                <w:i w:val="false"/>
                <w:iCs w:val="false"/>
                <w:color w:val="1A1A1A"/>
                <w:sz w:val="22"/>
                <w:szCs w:val="22"/>
                <w:rtl/>
              </w:rPr>
              <w:t xml:space="preserve">פיזיולוגיה</w:t>
            </w:r>
          </w:p>
        </w:tc>
        <w:tc>
          <w:tcPr>
            <w:tcW w:type="dxa" w:w="21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82</w:t>
            </w:r>
          </w:p>
        </w:tc>
        <w:tc>
          <w:tcPr>
            <w:tcW w:type="dxa" w:w="21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41</w:t>
            </w:r>
          </w:p>
        </w:tc>
        <w:tc>
          <w:tcPr>
            <w:tcW w:type="dxa" w:w="21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bidi/>
              <w:spacing w:after="0" w:before="0" w:line="300"/>
              <w:jc w:val="center"/>
            </w:pPr>
            <w:r>
              <w:rPr>
                <w:rFonts w:ascii="Arial" w:cs="Arial" w:eastAsia="Arial" w:hAnsi="Arial"/>
                <w:b w:val="false"/>
                <w:bCs w:val="false"/>
                <w:i w:val="false"/>
                <w:iCs w:val="false"/>
                <w:color w:val="1A1A1A"/>
                <w:sz w:val="22"/>
                <w:szCs w:val="22"/>
                <w:rtl/>
              </w:rPr>
              <w:t xml:space="preserve">26</w:t>
            </w:r>
          </w:p>
        </w:tc>
      </w:tr>
      <w:tr>
        <w:tc>
          <w:tcPr>
            <w:tcW w:type="dxa" w:w="3060"/>
            <w:tcBorders>
              <w:top w:val="single" w:color="CCCCCC" w:sz="1"/>
              <w:left w:val="single" w:color="CCCCCC" w:sz="1"/>
              <w:bottom w:val="single" w:color="CCCCCC" w:sz="1"/>
              <w:right w:val="single" w:color="CCCCCC" w:sz="1"/>
            </w:tcBorders>
            <w:shd w:fill="D5E3F2" w:val="clear"/>
            <w:tcMar>
              <w:top w:type="dxa" w:w="70"/>
              <w:left w:type="dxa" w:w="120"/>
              <w:bottom w:type="dxa" w:w="70"/>
              <w:right w:type="dxa" w:w="120"/>
            </w:tcMar>
          </w:tcPr>
          <w:p>
            <w:pPr>
              <w:bidi/>
              <w:spacing w:after="0" w:before="0" w:line="300"/>
              <w:jc w:val="right"/>
            </w:pPr>
            <w:r>
              <w:rPr>
                <w:rFonts w:ascii="Arial" w:cs="Arial" w:eastAsia="Arial" w:hAnsi="Arial"/>
                <w:b/>
                <w:bCs/>
                <w:i w:val="false"/>
                <w:iCs w:val="false"/>
                <w:color w:val="1A1A1A"/>
                <w:sz w:val="22"/>
                <w:szCs w:val="22"/>
                <w:rtl/>
              </w:rPr>
              <w:t xml:space="preserve">סה"כ</w:t>
            </w:r>
          </w:p>
        </w:tc>
        <w:tc>
          <w:tcPr>
            <w:tcW w:type="dxa" w:w="2100"/>
            <w:tcBorders>
              <w:top w:val="single" w:color="CCCCCC" w:sz="1"/>
              <w:left w:val="single" w:color="CCCCCC" w:sz="1"/>
              <w:bottom w:val="single" w:color="CCCCCC" w:sz="1"/>
              <w:right w:val="single" w:color="CCCCCC" w:sz="1"/>
            </w:tcBorders>
            <w:shd w:fill="D5E3F2" w:val="clear"/>
            <w:tcMar>
              <w:top w:type="dxa" w:w="70"/>
              <w:left w:type="dxa" w:w="120"/>
              <w:bottom w:type="dxa" w:w="70"/>
              <w:right w:type="dxa" w:w="120"/>
            </w:tcMar>
          </w:tcPr>
          <w:p>
            <w:pPr>
              <w:bidi/>
              <w:spacing w:after="0" w:before="0" w:line="300"/>
              <w:jc w:val="center"/>
            </w:pPr>
            <w:r>
              <w:rPr>
                <w:rFonts w:ascii="Arial" w:cs="Arial" w:eastAsia="Arial" w:hAnsi="Arial"/>
                <w:b/>
                <w:bCs/>
                <w:i w:val="false"/>
                <w:iCs w:val="false"/>
                <w:color w:val="1A1A1A"/>
                <w:sz w:val="22"/>
                <w:szCs w:val="22"/>
                <w:rtl/>
              </w:rPr>
              <w:t xml:space="preserve">374</w:t>
            </w:r>
          </w:p>
        </w:tc>
        <w:tc>
          <w:tcPr>
            <w:tcW w:type="dxa" w:w="2100"/>
            <w:tcBorders>
              <w:top w:val="single" w:color="CCCCCC" w:sz="1"/>
              <w:left w:val="single" w:color="CCCCCC" w:sz="1"/>
              <w:bottom w:val="single" w:color="CCCCCC" w:sz="1"/>
              <w:right w:val="single" w:color="CCCCCC" w:sz="1"/>
            </w:tcBorders>
            <w:shd w:fill="D5E3F2" w:val="clear"/>
            <w:tcMar>
              <w:top w:type="dxa" w:w="70"/>
              <w:left w:type="dxa" w:w="120"/>
              <w:bottom w:type="dxa" w:w="70"/>
              <w:right w:type="dxa" w:w="120"/>
            </w:tcMar>
          </w:tcPr>
          <w:p>
            <w:pPr>
              <w:bidi/>
              <w:spacing w:after="0" w:before="0" w:line="300"/>
              <w:jc w:val="center"/>
            </w:pPr>
            <w:r>
              <w:rPr>
                <w:rFonts w:ascii="Arial" w:cs="Arial" w:eastAsia="Arial" w:hAnsi="Arial"/>
                <w:b/>
                <w:bCs/>
                <w:i w:val="false"/>
                <w:iCs w:val="false"/>
                <w:color w:val="1A1A1A"/>
                <w:sz w:val="22"/>
                <w:szCs w:val="22"/>
                <w:rtl/>
              </w:rPr>
              <w:t xml:space="preserve">124</w:t>
            </w:r>
          </w:p>
        </w:tc>
        <w:tc>
          <w:tcPr>
            <w:tcW w:type="dxa" w:w="2100"/>
            <w:tcBorders>
              <w:top w:val="single" w:color="CCCCCC" w:sz="1"/>
              <w:left w:val="single" w:color="CCCCCC" w:sz="1"/>
              <w:bottom w:val="single" w:color="CCCCCC" w:sz="1"/>
              <w:right w:val="single" w:color="CCCCCC" w:sz="1"/>
            </w:tcBorders>
            <w:shd w:fill="D5E3F2" w:val="clear"/>
            <w:tcMar>
              <w:top w:type="dxa" w:w="70"/>
              <w:left w:type="dxa" w:w="120"/>
              <w:bottom w:type="dxa" w:w="70"/>
              <w:right w:type="dxa" w:w="120"/>
            </w:tcMar>
          </w:tcPr>
          <w:p>
            <w:pPr>
              <w:bidi/>
              <w:spacing w:after="0" w:before="0" w:line="300"/>
              <w:jc w:val="center"/>
            </w:pPr>
            <w:r>
              <w:rPr>
                <w:rFonts w:ascii="Arial" w:cs="Arial" w:eastAsia="Arial" w:hAnsi="Arial"/>
                <w:b/>
                <w:bCs/>
                <w:i w:val="false"/>
                <w:iCs w:val="false"/>
                <w:color w:val="1A1A1A"/>
                <w:sz w:val="22"/>
                <w:szCs w:val="22"/>
                <w:rtl/>
              </w:rPr>
              <w:t xml:space="preserve">48</w:t>
            </w:r>
          </w:p>
        </w:tc>
      </w:tr>
    </w:tbl>
    <w:p>
      <w:pPr>
        <w:bidi/>
        <w:spacing w:after="120" w:before="80" w:line="300"/>
        <w:jc w:val="right"/>
      </w:pPr>
      <w:r>
        <w:rPr>
          <w:rFonts w:ascii="Arial" w:cs="Arial" w:eastAsia="Arial" w:hAnsi="Arial"/>
          <w:b w:val="false"/>
          <w:bCs w:val="false"/>
          <w:i/>
          <w:iCs/>
          <w:color w:val="555555"/>
          <w:sz w:val="19"/>
          <w:szCs w:val="19"/>
          <w:rtl/>
        </w:rPr>
        <w:t xml:space="preserve">(124 = סך תתי-הנושאים הייחודיים בכל המקצועות יחד.)</w:t>
      </w:r>
    </w:p>
    <w:p>
      <w:pPr>
        <w:pStyle w:val="Heading1"/>
        <w:bidi/>
        <w:spacing w:after="120" w:before="0" w:line="300"/>
        <w:jc w:val="right"/>
      </w:pPr>
      <w:r>
        <w:rPr>
          <w:rFonts w:ascii="Arial" w:cs="Arial" w:eastAsia="Arial" w:hAnsi="Arial"/>
          <w:b/>
          <w:bCs/>
          <w:i w:val="false"/>
          <w:iCs w:val="false"/>
          <w:color w:val="1A1A1A"/>
          <w:sz w:val="22"/>
          <w:szCs w:val="22"/>
          <w:rtl/>
        </w:rPr>
        <w:t xml:space="preserve">ניתוח מרקם הכיסוי</w:t>
      </w:r>
    </w:p>
    <w:p>
      <w:pPr>
        <w:bidi/>
        <w:spacing w:after="120" w:before="0" w:line="300"/>
        <w:jc w:val="right"/>
      </w:pPr>
      <w:r>
        <w:rPr>
          <w:rFonts w:ascii="Arial" w:cs="Arial" w:eastAsia="Arial" w:hAnsi="Arial"/>
          <w:b w:val="false"/>
          <w:bCs w:val="false"/>
          <w:i w:val="false"/>
          <w:iCs w:val="false"/>
          <w:color w:val="1A1A1A"/>
          <w:sz w:val="22"/>
          <w:szCs w:val="22"/>
          <w:rtl/>
        </w:rPr>
        <w:t xml:space="preserve">המספר הכולל בריא מאוד, אך נשמר אותו פער מבני בין המקצועות באופן שבו השאלות מתפזרות על פני הנושאים:</w:t>
      </w:r>
    </w:p>
    <w:p>
      <w:pPr>
        <w:pStyle w:val="ListParagraph"/>
        <w:numPr>
          <w:ilvl w:val="0"/>
          <w:numId w:val="2"/>
        </w:numPr>
        <w:bidi/>
        <w:spacing w:after="120" w:before="0" w:line="300"/>
        <w:jc w:val="right"/>
      </w:pPr>
      <w:r>
        <w:rPr>
          <w:rFonts w:ascii="Arial" w:cs="Arial" w:eastAsia="Arial" w:hAnsi="Arial"/>
          <w:b/>
          <w:bCs/>
          <w:i w:val="false"/>
          <w:iCs w:val="false"/>
          <w:color w:val="1A1A1A"/>
          <w:sz w:val="22"/>
          <w:szCs w:val="22"/>
          <w:rtl/>
        </w:rPr>
        <w:t xml:space="preserve">ביוכימיה וביולוגיה של התא — מרוכזים ועמוקים. </w:t>
      </w:r>
      <w:r>
        <w:rPr>
          <w:rFonts w:ascii="Arial" w:cs="Arial" w:eastAsia="Arial" w:hAnsi="Arial"/>
          <w:b w:val="false"/>
          <w:bCs w:val="false"/>
          <w:i w:val="false"/>
          <w:iCs w:val="false"/>
          <w:color w:val="1A1A1A"/>
          <w:sz w:val="22"/>
          <w:szCs w:val="22"/>
          <w:rtl/>
        </w:rPr>
        <w:t xml:space="preserve">מעט תתי-נושאים יחסית למספר השאלות (18 ו-22), כך שיש עומק וחזרתיות בנושאים מרכזיים: 18 שאלות על אנזימים וקינטיקה, 10 על מבנה חלבונים, 14 על איתות תאי, 13 על שלד התא, 11 על מחזור התא. תלמיד יכול לתרגל נושא בודד לעומק.</w:t>
      </w:r>
    </w:p>
    <w:p>
      <w:pPr>
        <w:pStyle w:val="ListParagraph"/>
        <w:numPr>
          <w:ilvl w:val="0"/>
          <w:numId w:val="2"/>
        </w:numPr>
        <w:bidi/>
        <w:spacing w:after="120" w:before="0" w:line="300"/>
        <w:jc w:val="right"/>
      </w:pPr>
      <w:r>
        <w:rPr>
          <w:rFonts w:ascii="Arial" w:cs="Arial" w:eastAsia="Arial" w:hAnsi="Arial"/>
          <w:b/>
          <w:bCs/>
          <w:i w:val="false"/>
          <w:iCs w:val="false"/>
          <w:color w:val="1A1A1A"/>
          <w:sz w:val="22"/>
          <w:szCs w:val="22"/>
          <w:rtl/>
        </w:rPr>
        <w:t xml:space="preserve">מולקולרית ופיזיולוגיה — רחבים אך דקים. </w:t>
      </w:r>
      <w:r>
        <w:rPr>
          <w:rFonts w:ascii="Arial" w:cs="Arial" w:eastAsia="Arial" w:hAnsi="Arial"/>
          <w:b w:val="false"/>
          <w:bCs w:val="false"/>
          <w:i w:val="false"/>
          <w:iCs w:val="false"/>
          <w:color w:val="1A1A1A"/>
          <w:sz w:val="22"/>
          <w:szCs w:val="22"/>
          <w:rtl/>
        </w:rPr>
        <w:t xml:space="preserve">הכיסוי מקיף מאוד (43 ו-41 תתי-נושא), אך 13 נושאים במולקולרית ו-26 נושאים בפיזיולוגיה מיוצגים בשאלה בודדת בלבד. הכיסוי רוחבי אך החזרתיות נמוכה — בחלק מהנושאים אי אפשר לתרגל יותר מפעם אחת.</w:t>
      </w:r>
    </w:p>
    <w:p>
      <w:pPr>
        <w:bidi/>
        <w:spacing w:after="120" w:before="0" w:line="300"/>
        <w:jc w:val="right"/>
      </w:pPr>
      <w:r>
        <w:rPr>
          <w:rFonts w:ascii="Arial" w:cs="Arial" w:eastAsia="Arial" w:hAnsi="Arial"/>
          <w:b w:val="false"/>
          <w:bCs w:val="false"/>
          <w:i w:val="false"/>
          <w:iCs w:val="false"/>
          <w:color w:val="1A1A1A"/>
          <w:sz w:val="22"/>
          <w:szCs w:val="22"/>
          <w:rtl/>
        </w:rPr>
        <w:t xml:space="preserve">נושאים "עתירי-תשואה" (הכי הרבה שאלות): ביוכימיה — אנזימים וקינטיקה (18), מבנה חלבונים (10), גליקוליזה (8); מולקולרית — RNA פולימראזות (9), נאמנות שכפול / מתילציה / מיקרוסקופיה פלואורסצנטית (5 כל אחד); תא — איתות תאי (14), שלד התא (13), מחזור התא (11); פיזיולוגיה — העברה סינפטית (8), צימוד עירור-כיווץ בשריר השלד (6), פוטנציאל פעולה / הולכה קפיצנית (5 כל אחד).</w:t>
      </w:r>
    </w:p>
    <w:p>
      <w:pPr>
        <w:pStyle w:val="Heading1"/>
        <w:bidi/>
        <w:spacing w:after="120" w:before="0" w:line="300"/>
        <w:jc w:val="right"/>
      </w:pPr>
      <w:r>
        <w:rPr>
          <w:rFonts w:ascii="Arial" w:cs="Arial" w:eastAsia="Arial" w:hAnsi="Arial"/>
          <w:b/>
          <w:bCs/>
          <w:i w:val="false"/>
          <w:iCs w:val="false"/>
          <w:color w:val="1A1A1A"/>
          <w:sz w:val="22"/>
          <w:szCs w:val="22"/>
          <w:rtl/>
        </w:rPr>
        <w:t xml:space="preserve">המלצות</w:t>
      </w:r>
    </w:p>
    <w:p>
      <w:pPr>
        <w:pStyle w:val="ListParagraph"/>
        <w:numPr>
          <w:ilvl w:val="0"/>
          <w:numId w:val="2"/>
        </w:numPr>
        <w:bidi/>
        <w:spacing w:after="120" w:before="0" w:line="300"/>
        <w:jc w:val="right"/>
      </w:pPr>
      <w:r>
        <w:rPr>
          <w:rFonts w:ascii="Arial" w:cs="Arial" w:eastAsia="Arial" w:hAnsi="Arial"/>
          <w:b/>
          <w:bCs/>
          <w:i w:val="false"/>
          <w:iCs w:val="false"/>
          <w:color w:val="1A1A1A"/>
          <w:sz w:val="22"/>
          <w:szCs w:val="22"/>
          <w:rtl/>
        </w:rPr>
        <w:t xml:space="preserve">איכות ההסברים — מצוינת. </w:t>
      </w:r>
      <w:r>
        <w:rPr>
          <w:rFonts w:ascii="Arial" w:cs="Arial" w:eastAsia="Arial" w:hAnsi="Arial"/>
          <w:b w:val="false"/>
          <w:bCs w:val="false"/>
          <w:i w:val="false"/>
          <w:iCs w:val="false"/>
          <w:color w:val="1A1A1A"/>
          <w:sz w:val="22"/>
          <w:szCs w:val="22"/>
          <w:rtl/>
        </w:rPr>
        <w:t xml:space="preserve">אין פערים: כל 374 השאלות עם הסבר מלא, ממוצע ~397 תווים, ללא חריגים קצרים.</w:t>
      </w:r>
    </w:p>
    <w:p>
      <w:pPr>
        <w:pStyle w:val="ListParagraph"/>
        <w:numPr>
          <w:ilvl w:val="0"/>
          <w:numId w:val="2"/>
        </w:numPr>
        <w:bidi/>
        <w:spacing w:after="120" w:before="0" w:line="300"/>
        <w:jc w:val="right"/>
      </w:pPr>
      <w:r>
        <w:rPr>
          <w:rFonts w:ascii="Arial" w:cs="Arial" w:eastAsia="Arial" w:hAnsi="Arial"/>
          <w:b/>
          <w:bCs/>
          <w:i w:val="false"/>
          <w:iCs w:val="false"/>
          <w:color w:val="1A1A1A"/>
          <w:sz w:val="22"/>
          <w:szCs w:val="22"/>
          <w:rtl/>
        </w:rPr>
        <w:t xml:space="preserve">לחיזוק תרגול לעומק — </w:t>
      </w:r>
      <w:r>
        <w:rPr>
          <w:rFonts w:ascii="Arial" w:cs="Arial" w:eastAsia="Arial" w:hAnsi="Arial"/>
          <w:b w:val="false"/>
          <w:bCs w:val="false"/>
          <w:i w:val="false"/>
          <w:iCs w:val="false"/>
          <w:color w:val="1A1A1A"/>
          <w:sz w:val="22"/>
          <w:szCs w:val="22"/>
          <w:rtl/>
        </w:rPr>
        <w:t xml:space="preserve">להוסיף 1–2 שאלות לנושאי הליבה במולקולרית ובפיזיולוגיה שכרגע מיוצגים בשאלה בודדת, כדי לאפשר תרגול חוזר ולא רק נגיעה חד-פעמית.</w:t>
      </w:r>
    </w:p>
    <w:p>
      <w:pPr>
        <w:pStyle w:val="ListParagraph"/>
        <w:numPr>
          <w:ilvl w:val="0"/>
          <w:numId w:val="2"/>
        </w:numPr>
        <w:bidi/>
        <w:spacing w:after="120" w:before="0" w:line="300"/>
        <w:jc w:val="right"/>
      </w:pPr>
      <w:r>
        <w:rPr>
          <w:rFonts w:ascii="Arial" w:cs="Arial" w:eastAsia="Arial" w:hAnsi="Arial"/>
          <w:b/>
          <w:bCs/>
          <w:i w:val="false"/>
          <w:iCs w:val="false"/>
          <w:color w:val="1A1A1A"/>
          <w:sz w:val="22"/>
          <w:szCs w:val="22"/>
          <w:rtl/>
        </w:rPr>
        <w:t xml:space="preserve">בקרת איכות מדעית — </w:t>
      </w:r>
      <w:r>
        <w:rPr>
          <w:rFonts w:ascii="Arial" w:cs="Arial" w:eastAsia="Arial" w:hAnsi="Arial"/>
          <w:b w:val="false"/>
          <w:bCs w:val="false"/>
          <w:i w:val="false"/>
          <w:iCs w:val="false"/>
          <w:color w:val="1A1A1A"/>
          <w:sz w:val="22"/>
          <w:szCs w:val="22"/>
          <w:rtl/>
        </w:rPr>
        <w:t xml:space="preserve">שלב אימות הדיוק מול הספרים הרשמיים (לנינגר, אלברטס, ברן ולוי) קריטי כאן, כי טעות עובדתית פוגעת ישירות בהכנה למבחן. שאלות שסומנו ברמת ביטחון בינונית/נמוכה בשלב הפתרון קודמות לבדיקה.</w:t>
      </w:r>
    </w:p>
    <w:p>
      <w:pPr>
        <w:pStyle w:val="ListParagraph"/>
        <w:numPr>
          <w:ilvl w:val="0"/>
          <w:numId w:val="2"/>
        </w:numPr>
        <w:bidi/>
        <w:spacing w:after="120" w:before="0" w:line="300"/>
        <w:jc w:val="right"/>
      </w:pPr>
      <w:r>
        <w:rPr>
          <w:rFonts w:ascii="Arial" w:cs="Arial" w:eastAsia="Arial" w:hAnsi="Arial"/>
          <w:b/>
          <w:bCs/>
          <w:i w:val="false"/>
          <w:iCs w:val="false"/>
          <w:color w:val="1A1A1A"/>
          <w:sz w:val="22"/>
          <w:szCs w:val="22"/>
          <w:rtl/>
        </w:rPr>
        <w:t xml:space="preserve">קבצי הדיונים החסרים — </w:t>
      </w:r>
      <w:r>
        <w:rPr>
          <w:rFonts w:ascii="Arial" w:cs="Arial" w:eastAsia="Arial" w:hAnsi="Arial"/>
          <w:b w:val="false"/>
          <w:bCs w:val="false"/>
          <w:i w:val="false"/>
          <w:iCs w:val="false"/>
          <w:color w:val="1A1A1A"/>
          <w:sz w:val="22"/>
          <w:szCs w:val="22"/>
          <w:rtl/>
        </w:rPr>
        <w:t xml:space="preserve">קובצי השחזור של מועדי מאי 2024, יולי 2025 ויוני 2024 מפנים ל"קבצי דיונים" נלווים שמכילים את סימוני התשובות והרפרנסים לספר ואינם בתיקייה. איתורם יאפשר לקבוע תשובות ודאיות ולסגור את הפריטים המסומנים.</w:t>
      </w:r>
    </w:p>
    <w:p>
      <w:pPr>
        <w:pStyle w:val="Heading1"/>
        <w:bidi/>
        <w:spacing w:after="120" w:before="0" w:line="300"/>
        <w:jc w:val="right"/>
      </w:pPr>
      <w:r>
        <w:rPr>
          <w:rFonts w:ascii="Arial" w:cs="Arial" w:eastAsia="Arial" w:hAnsi="Arial"/>
          <w:b/>
          <w:bCs/>
          <w:i w:val="false"/>
          <w:iCs w:val="false"/>
          <w:color w:val="1A1A1A"/>
          <w:sz w:val="22"/>
          <w:szCs w:val="22"/>
          <w:rtl/>
        </w:rPr>
        <w:t xml:space="preserve">הערת מיגרציה (העברת תיקיות)</w:t>
      </w:r>
    </w:p>
    <w:p>
      <w:pPr>
        <w:bidi/>
        <w:spacing w:after="120" w:before="0" w:line="300"/>
        <w:jc w:val="right"/>
      </w:pPr>
      <w:r>
        <w:rPr>
          <w:rFonts w:ascii="Arial" w:cs="Arial" w:eastAsia="Arial" w:hAnsi="Arial"/>
          <w:b w:val="false"/>
          <w:bCs w:val="false"/>
          <w:i w:val="false"/>
          <w:iCs w:val="false"/>
          <w:color w:val="1A1A1A"/>
          <w:sz w:val="22"/>
          <w:szCs w:val="22"/>
          <w:rtl/>
        </w:rPr>
        <w:t xml:space="preserve">אפליקציית מבחן הידע (med-knowledge-exam) קיימת כיום אך ורק בתיקיית היעד "קלוד אלעד מיכל" — אין לה עותק כפול בתיקיית "קלוד לעברה". כלומר מבחינת ההעברה, רכיב זה כבר מאוחד ומעודכן במקום אחד בלבד, ואין צורך לעדכן אותו פעמיים. הקובץ הפעיל היחיד של בנק השאלות הוא questions.js בתוך אותה תיקייה.</w:t>
      </w:r>
    </w:p>
    <w:p>
      <w:pPr>
        <w:pBdr>
          <w:top w:val="single" w:color="CCCCCC" w:sz="4" w:space="1"/>
        </w:pBdr>
        <w:bidi/>
        <w:spacing w:after="0" w:before="280"/>
        <w:jc w:val="right"/>
      </w:pPr>
      <w:r>
        <w:rPr>
          <w:rFonts w:ascii="Arial" w:cs="Arial" w:eastAsia="Arial" w:hAnsi="Arial"/>
          <w:b w:val="false"/>
          <w:bCs w:val="false"/>
          <w:i/>
          <w:iCs/>
          <w:color w:val="555555"/>
          <w:sz w:val="18"/>
          <w:szCs w:val="18"/>
          <w:rtl/>
        </w:rPr>
        <w:t xml:space="preserve">הנתונים חושבו אוטומטית מתוך קובץ questions.js של האפליקציה (374 שאלות). הדוח הקודם: 3 ביוני 2026, 168 שאלות.</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6DB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2026-06-07T20:49:01.292Z</dcterms:created>
  <dcterms:modified xsi:type="dcterms:W3CDTF">2026-06-07T20:49:01.292Z</dcterms:modified>
</cp:coreProperties>
</file>

<file path=docProps/custom.xml><?xml version="1.0" encoding="utf-8"?>
<Properties xmlns="http://schemas.openxmlformats.org/officeDocument/2006/custom-properties" xmlns:vt="http://schemas.openxmlformats.org/officeDocument/2006/docPropsVTypes"/>
</file>