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80"/>
        <w:jc w:val="center"/>
      </w:pPr>
      <w:r>
        <w:rPr>
          <w:b/>
          <w:i w:val="0"/>
          <w:sz w:val="34"/>
        </w:rPr>
        <w:t>Comparing Markov Chain Monte Carlo Samplers for Bayesian Linear Regression:</w:t>
        <w:br/>
        <w:t>Convergence, Efficiency and Predictive Calibration in Cloud CPU Forecasting</w:t>
      </w:r>
    </w:p>
    <w:p>
      <w:pPr>
        <w:keepNext w:val="0"/>
        <w:spacing w:after="120"/>
        <w:jc w:val="center"/>
      </w:pPr>
      <w:r>
        <w:rPr>
          <w:b/>
          <w:i w:val="0"/>
          <w:sz w:val="26"/>
        </w:rPr>
        <w:t>Elad Dagmi &amp; Shaked Mizrahi</w:t>
      </w:r>
    </w:p>
    <w:p>
      <w:pPr>
        <w:keepNext w:val="0"/>
        <w:spacing w:after="80"/>
        <w:jc w:val="center"/>
      </w:pPr>
      <w:r>
        <w:rPr>
          <w:b w:val="0"/>
          <w:i w:val="0"/>
          <w:sz w:val="24"/>
        </w:rPr>
        <w:t>Advanced Methods in Machine Learning</w:t>
      </w:r>
    </w:p>
    <w:p>
      <w:pPr>
        <w:keepNext w:val="0"/>
        <w:spacing w:after="360"/>
        <w:jc w:val="center"/>
      </w:pPr>
      <w:r>
        <w:rPr>
          <w:b w:val="0"/>
          <w:i w:val="0"/>
          <w:sz w:val="24"/>
        </w:rPr>
        <w:t>August 2026</w:t>
      </w:r>
    </w:p>
    <w:p>
      <w:pPr>
        <w:keepNext w:val="0"/>
        <w:spacing w:after="60"/>
        <w:jc w:val="center"/>
      </w:pPr>
      <w:r>
        <w:rPr>
          <w:b w:val="0"/>
          <w:i w:val="0"/>
          <w:sz w:val="22"/>
        </w:rPr>
        <w:t>Institution: __________________________</w:t>
      </w:r>
    </w:p>
    <w:p>
      <w:pPr>
        <w:keepNext w:val="0"/>
        <w:spacing w:after="60"/>
        <w:jc w:val="center"/>
      </w:pPr>
      <w:r>
        <w:rPr>
          <w:b w:val="0"/>
          <w:i w:val="0"/>
          <w:sz w:val="22"/>
        </w:rPr>
        <w:t>Course: Advanced Methods in Machine Learning</w:t>
      </w:r>
    </w:p>
    <w:p>
      <w:pPr>
        <w:keepNext w:val="0"/>
        <w:spacing w:after="60"/>
        <w:jc w:val="center"/>
      </w:pPr>
      <w:r>
        <w:rPr>
          <w:b w:val="0"/>
          <w:i w:val="0"/>
          <w:sz w:val="22"/>
        </w:rPr>
        <w:t>Lecturer: Dr. Boaz Tamir</w:t>
      </w:r>
    </w:p>
    <w:p>
      <w:pPr>
        <w:keepNext w:val="0"/>
        <w:spacing w:after="60"/>
        <w:jc w:val="center"/>
      </w:pPr>
      <w:r>
        <w:rPr>
          <w:b w:val="0"/>
          <w:i w:val="0"/>
          <w:sz w:val="22"/>
        </w:rPr>
        <w:t>Student IDs: __________________________</w:t>
      </w:r>
    </w:p>
    <w:p>
      <w:pPr>
        <w:keepNext w:val="0"/>
        <w:spacing w:after="120"/>
      </w:pPr>
      <w:r>
        <w:rPr>
          <w:b w:val="0"/>
          <w:i w:val="0"/>
          <w:sz w:val="22"/>
        </w:rPr>
      </w:r>
    </w:p>
    <w:p>
      <w:pPr>
        <w:keepNext w:val="0"/>
        <w:spacing w:after="120"/>
        <w:jc w:val="center"/>
      </w:pPr>
      <w:r>
        <w:rPr>
          <w:b w:val="0"/>
          <w:i w:val="0"/>
          <w:sz w:val="20"/>
        </w:rPr>
        <w:t>Source code and data instructions: https://github.com/eladagmi24/mcmc-sampling-project</w:t>
      </w:r>
    </w:p>
    <w:p>
      <w:r>
        <w:br w:type="page"/>
      </w:r>
    </w:p>
    <w:p>
      <w:pPr>
        <w:pStyle w:val="Heading1"/>
        <w:keepNext/>
      </w:pPr>
      <w:r>
        <w:t>Abstract</w:t>
      </w:r>
    </w:p>
    <w:p>
      <w:pPr>
        <w:keepNext w:val="0"/>
        <w:spacing w:after="120"/>
      </w:pPr>
      <w:r>
        <w:rPr>
          <w:b w:val="0"/>
          <w:i w:val="0"/>
          <w:sz w:val="22"/>
        </w:rPr>
        <w:t>Markov chain Monte Carlo (MCMC) makes Bayesian inference possible when the posterior has no closed form, but its reliability rests on diagnostics that are easy to misread. This study compares five samplers, all implemented from scratch, on Bayesian linear regression for forecasting virtual-machine CPU utilisation 5 minutes ahead, using the Bitbrains GWA-T-12 datacenter traces [1]. The samplers are random-walk Metropolis-Hastings, adaptive Metropolis, Fisher-preconditioned Metropolis, Gibbs sampling and Hamiltonian Monte Carlo. Observations are split chronologically, with an embargo preventing feature windows from crossing split boundaries and all scaling estimated on training data alone. Convergence is assessed with rank-normalised and folded R-hat and with bulk and tail effective sample size (ESS), computed jointly across 4 dispersed chains [2]. Gibbs and Hamiltonian Monte Carlo converge; preconditioned Metropolis converges only with a longer run. Plain random-walk Metropolis and adaptive Metropolis do not, reaching R-hat 4.53 and 3.48, with posterior means wrong by 1.36 and 1.44 against a deterministic quadrature reference. The cause is posterior anisotropy, condition number 314. Preconditioning with the observed Fisher information raises bulk ESS from 4 to 599, and the converged samplers reproduce the quadrature reference to within 0.0010. Test residuals have an excess kurtosis of 111, so a Gaussian likelihood yields posterior predictive intervals that are far too wide, nominal 50% intervals covering 94.7%. A Student-t likelihood, with degrees of freedom selected on validation data, reduces this to 74.1% and cuts the median absolute error from 0.210 to 0.072 CPU percentage points, but the intervals remain substantially miscalibrated.</w:t>
      </w:r>
    </w:p>
    <w:p>
      <w:r>
        <w:br w:type="page"/>
      </w:r>
    </w:p>
    <w:p>
      <w:pPr>
        <w:pStyle w:val="Heading1"/>
        <w:keepNext/>
      </w:pPr>
      <w:r>
        <w:t>Table of Contents</w:t>
      </w:r>
    </w:p>
    <w:p>
      <w:r>
        <w:fldChar w:fldCharType="begin" w:dirty="true"/>
        <w:instrText xml:space="preserve"> TOC \o "1-3" \h \z \u </w:instrText>
        <w:fldChar w:fldCharType="separate"/>
        <w:fldChar w:fldCharType="end"/>
      </w:r>
    </w:p>
    <w:p>
      <w:r>
        <w:br w:type="page"/>
      </w:r>
    </w:p>
    <w:p>
      <w:pPr>
        <w:pStyle w:val="Heading1"/>
        <w:keepNext/>
      </w:pPr>
      <w:r>
        <w:t>1. Introduction</w:t>
      </w:r>
    </w:p>
    <w:p>
      <w:pPr>
        <w:keepNext w:val="0"/>
        <w:spacing w:after="120"/>
      </w:pPr>
      <w:r>
        <w:rPr>
          <w:b w:val="0"/>
          <w:i w:val="0"/>
          <w:sz w:val="22"/>
        </w:rPr>
        <w:t>Bayesian inference requires the posterior distribution of the model parameters given the data. For most models the normalising constant cannot be computed, so the posterior is explored by simulation. MCMC constructs a Markov chain whose stationary distribution is the target posterior [3, 4], which turns inference into a simulation problem and, with it, into a question of whether the simulation has run long enough.</w:t>
      </w:r>
    </w:p>
    <w:p>
      <w:pPr>
        <w:keepNext w:val="0"/>
        <w:spacing w:after="120"/>
      </w:pPr>
      <w:r>
        <w:rPr>
          <w:b w:val="0"/>
          <w:i w:val="0"/>
          <w:sz w:val="22"/>
        </w:rPr>
        <w:t>The application is forecasting the CPU utilisation of virtual machines in a production datacenter [1]. A point forecast is of limited operational value; capacity planning and overload detection need a calibrated statement of uncertainty, which is what a posterior predictive distribution provides.</w:t>
      </w:r>
    </w:p>
    <w:p>
      <w:pPr>
        <w:keepNext w:val="0"/>
        <w:spacing w:after="120"/>
      </w:pPr>
      <w:r>
        <w:rPr>
          <w:b w:val="0"/>
          <w:i w:val="0"/>
          <w:sz w:val="22"/>
        </w:rPr>
        <w:t>This study addresses three research questions:</w:t>
      </w:r>
    </w:p>
    <w:p>
      <w:pPr>
        <w:pStyle w:val="ListBullet"/>
        <w:ind w:left="720"/>
      </w:pPr>
      <w:r>
        <w:t>RQ1. Which samplers actually converge on this posterior, and what property of the posterior explains the differences between them?</w:t>
      </w:r>
    </w:p>
    <w:p>
      <w:pPr>
        <w:pStyle w:val="ListBullet"/>
        <w:ind w:left="720"/>
      </w:pPr>
      <w:r>
        <w:t>RQ2. Among the samplers that converge, which is most efficient per unit of computation, measured by effective sample size per second and, for gradient methods, per gradient evaluation?</w:t>
      </w:r>
    </w:p>
    <w:p>
      <w:pPr>
        <w:pStyle w:val="ListBullet"/>
        <w:ind w:left="720"/>
      </w:pPr>
      <w:r>
        <w:t>RQ3. Are the resulting posterior predictive intervals calibrated on held-out data, and if not, what is responsible?</w:t>
      </w:r>
    </w:p>
    <w:p>
      <w:pPr>
        <w:keepNext w:val="0"/>
        <w:spacing w:after="120"/>
      </w:pPr>
      <w:r>
        <w:rPr>
          <w:b w:val="0"/>
          <w:i w:val="0"/>
          <w:sz w:val="22"/>
        </w:rPr>
        <w:t>Five samplers target the same Gaussian posterior: random-walk Metropolis-Hastings, adaptive Metropolis [5], Metropolis preconditioned by the observed Fisher information, Gibbs sampling [6] and Hamiltonian Monte Carlo [7]. A sixth sampler, a Gibbs sampler for Student-t regression, targets a different model and is therefore discussed separately, in Section 6, rather than being compared with the five on convergence or efficiency.</w:t>
      </w:r>
    </w:p>
    <w:p>
      <w:pPr>
        <w:pStyle w:val="Heading1"/>
        <w:keepNext/>
      </w:pPr>
      <w:r>
        <w:t>2. Theoretical Background</w:t>
      </w:r>
    </w:p>
    <w:p>
      <w:pPr>
        <w:pStyle w:val="Heading2"/>
        <w:keepNext/>
      </w:pPr>
      <w:r>
        <w:t>2.1 Model and Priors</w:t>
      </w:r>
    </w:p>
    <w:p>
      <w:pPr>
        <w:keepNext w:val="0"/>
        <w:spacing w:after="120"/>
      </w:pPr>
      <w:r>
        <w:rPr>
          <w:b w:val="0"/>
          <w:i w:val="0"/>
          <w:sz w:val="22"/>
        </w:rPr>
        <w:t>The regression model for the standardised target is</w:t>
      </w:r>
    </w:p>
    <w:p>
      <w:pPr>
        <w:spacing w:after="160"/>
        <w:jc w:val="center"/>
      </w:pPr>
      <w:r>
        <w:rPr>
          <w:rFonts w:ascii="Cambria Math" w:hAnsi="Cambria Math"/>
          <w:i/>
          <w:sz w:val="23"/>
        </w:rPr>
        <w:t>y | X, beta, sigma^2  ~  N(X beta, sigma^2 I_n)</w:t>
      </w:r>
    </w:p>
    <w:p>
      <w:pPr>
        <w:keepNext w:val="0"/>
        <w:spacing w:after="120"/>
      </w:pPr>
      <w:r>
        <w:rPr>
          <w:b w:val="0"/>
          <w:i w:val="0"/>
          <w:sz w:val="22"/>
        </w:rPr>
        <w:t>The two priors are specified independently of one another:</w:t>
      </w:r>
    </w:p>
    <w:p>
      <w:pPr>
        <w:spacing w:after="160"/>
        <w:jc w:val="center"/>
      </w:pPr>
      <w:r>
        <w:rPr>
          <w:rFonts w:ascii="Cambria Math" w:hAnsi="Cambria Math"/>
          <w:i/>
          <w:sz w:val="23"/>
        </w:rPr>
        <w:t>beta ~ N(0, tau^2 I_p),   tau^2 = 10</w:t>
      </w:r>
    </w:p>
    <w:p>
      <w:pPr>
        <w:spacing w:after="160"/>
        <w:jc w:val="center"/>
      </w:pPr>
      <w:r>
        <w:rPr>
          <w:rFonts w:ascii="Cambria Math" w:hAnsi="Cambria Math"/>
          <w:i/>
          <w:sz w:val="23"/>
        </w:rPr>
        <w:t>1/sigma^2 ~ Gamma(a0 = 2, rate = b0 = 1),  equivalently  sigma^2 ~ Inverse-Gamma(a0 = 2, scale = b0 = 1)</w:t>
      </w:r>
    </w:p>
    <w:p>
      <w:pPr>
        <w:keepNext w:val="0"/>
        <w:spacing w:after="120"/>
      </w:pPr>
      <w:r>
        <w:rPr>
          <w:b w:val="0"/>
          <w:i w:val="0"/>
          <w:sz w:val="22"/>
        </w:rPr>
        <w:t>The precision 1/sigma^2 follows a Gamma in shape-rate form; inverting gives sigma^2 an Inverse-Gamma in shape-scale form, with density proportional to (sigma^2)^(-a0-1) exp(-b0 / sigma^2). The Gamma distributions appearing in the Student-t sampler of Section 2.6 are likewise in shape-rate form. This matters in implementation because NumPy draws Gamma variates with a scale argument, so every rate is passed as its reciprocal.</w:t>
      </w:r>
    </w:p>
    <w:p>
      <w:pPr>
        <w:keepNext w:val="0"/>
        <w:spacing w:after="120"/>
      </w:pPr>
      <w:r>
        <w:rPr>
          <w:b w:val="0"/>
          <w:i w:val="0"/>
          <w:sz w:val="22"/>
        </w:rPr>
        <w:t>Note that the prior on beta does not scale with sigma^2. The joint prior is therefore not the conjugate Normal-Inverse-Gamma, and the joint posterior has no standard closed form, although both full conditionals remain standard. This is what makes Gibbs sampling available while still leaving something for the other samplers to do.</w:t>
      </w:r>
    </w:p>
    <w:p>
      <w:pPr>
        <w:pStyle w:val="Heading2"/>
        <w:keepNext/>
      </w:pPr>
      <w:r>
        <w:t>2.2 Metropolis-Hastings</w:t>
      </w:r>
    </w:p>
    <w:p>
      <w:pPr>
        <w:keepNext w:val="0"/>
        <w:spacing w:after="120"/>
      </w:pPr>
      <w:r>
        <w:rPr>
          <w:b w:val="0"/>
          <w:i w:val="0"/>
          <w:sz w:val="22"/>
        </w:rPr>
        <w:t>A proposal theta-prime is accepted with probability</w:t>
      </w:r>
    </w:p>
    <w:p>
      <w:pPr>
        <w:spacing w:after="160"/>
        <w:jc w:val="center"/>
      </w:pPr>
      <w:r>
        <w:rPr>
          <w:rFonts w:ascii="Cambria Math" w:hAnsi="Cambria Math"/>
          <w:i/>
          <w:sz w:val="23"/>
        </w:rPr>
        <w:t>alpha = min(1, [pi(theta') q(theta | theta')] / [pi(theta) q(theta' | theta)])</w:t>
      </w:r>
    </w:p>
    <w:p>
      <w:pPr>
        <w:keepNext w:val="0"/>
        <w:spacing w:after="120"/>
      </w:pPr>
      <w:r>
        <w:rPr>
          <w:b w:val="0"/>
          <w:i w:val="0"/>
          <w:sz w:val="22"/>
        </w:rPr>
        <w:t>For a symmetric random-walk proposal the q terms cancel. The method needs only pointwise evaluation of an unnormalised density, which makes it general, but an uninformed random walk explores slowly. For a d-dimensional Gaussian target the asymptotically optimal acceptance rate is about 23.4 percent [8].</w:t>
      </w:r>
    </w:p>
    <w:p>
      <w:pPr>
        <w:pStyle w:val="Heading2"/>
        <w:keepNext/>
      </w:pPr>
      <w:r>
        <w:t>2.3 Adaptive and Preconditioned Metropolis</w:t>
      </w:r>
    </w:p>
    <w:p>
      <w:pPr>
        <w:keepNext w:val="0"/>
        <w:spacing w:after="120"/>
      </w:pPr>
      <w:r>
        <w:rPr>
          <w:b w:val="0"/>
          <w:i w:val="0"/>
          <w:sz w:val="22"/>
        </w:rPr>
        <w:t>A single scalar step size implicitly assumes a spherical posterior. When the posterior is anisotropic the step must fit the narrowest direction while the chain has to traverse the widest, and the number of steps required grows with the condition number of the posterior covariance. Two remedies are examined.</w:t>
      </w:r>
    </w:p>
    <w:p>
      <w:pPr>
        <w:keepNext w:val="0"/>
        <w:spacing w:after="120"/>
      </w:pPr>
      <w:r>
        <w:rPr>
          <w:b w:val="0"/>
          <w:i w:val="0"/>
          <w:sz w:val="22"/>
        </w:rPr>
        <w:t>Adaptive Metropolis [5] estimates the proposal covariance from the chain history and proposes from N(theta, (2.38^2 / d) C). Preconditioned Metropolis instead takes the metric from the observed Fisher information, evaluated at the least-squares residual variance sigmahat^2:</w:t>
      </w:r>
    </w:p>
    <w:p>
      <w:pPr>
        <w:spacing w:after="160"/>
        <w:jc w:val="center"/>
      </w:pPr>
      <w:r>
        <w:rPr>
          <w:rFonts w:ascii="Cambria Math" w:hAnsi="Cambria Math"/>
          <w:i/>
          <w:sz w:val="23"/>
        </w:rPr>
        <w:t>(X'X / sigmahat^2 + I / tau^2)^-1  =  sigmahat^2 (X'X + sigmahat^2 I / tau^2)^-1</w:t>
      </w:r>
    </w:p>
    <w:p>
      <w:pPr>
        <w:keepNext w:val="0"/>
        <w:spacing w:after="120"/>
      </w:pPr>
      <w:r>
        <w:rPr>
          <w:b w:val="0"/>
          <w:i w:val="0"/>
          <w:sz w:val="22"/>
        </w:rPr>
        <w:t>The right-hand form is the one implemented. It requires a single least-squares fit and no conjugacy. A Robbins-Monro rule additionally tunes a global scale toward the optimal acceptance rate, and the empirical covariance of the second half of burn-in refines the metric. Both adaptations stop before the retained draws begin, so the retained chain is a homogeneous Markov chain and no diminishing-adaptation argument is needed.</w:t>
      </w:r>
    </w:p>
    <w:p>
      <w:pPr>
        <w:pStyle w:val="Heading2"/>
        <w:keepNext/>
      </w:pPr>
      <w:r>
        <w:t>2.4 Gibbs Sampling</w:t>
      </w:r>
    </w:p>
    <w:p>
      <w:pPr>
        <w:keepNext w:val="0"/>
        <w:spacing w:after="120"/>
      </w:pPr>
      <w:r>
        <w:rPr>
          <w:b w:val="0"/>
          <w:i w:val="0"/>
          <w:sz w:val="22"/>
        </w:rPr>
        <w:t>Both full conditionals are standard:</w:t>
      </w:r>
    </w:p>
    <w:p>
      <w:pPr>
        <w:spacing w:after="160"/>
        <w:jc w:val="center"/>
      </w:pPr>
      <w:r>
        <w:rPr>
          <w:rFonts w:ascii="Cambria Math" w:hAnsi="Cambria Math"/>
          <w:i/>
          <w:sz w:val="23"/>
        </w:rPr>
        <w:t>beta | sigma^2, y  ~  N(Sigma X'y / sigma^2, Sigma),  Sigma = (X'X / sigma^2 + I / tau^2)^-1</w:t>
      </w:r>
    </w:p>
    <w:p>
      <w:pPr>
        <w:spacing w:after="160"/>
        <w:jc w:val="center"/>
      </w:pPr>
      <w:r>
        <w:rPr>
          <w:rFonts w:ascii="Cambria Math" w:hAnsi="Cambria Math"/>
          <w:i/>
          <w:sz w:val="23"/>
        </w:rPr>
        <w:t>sigma^2 | beta, y  ~  Inverse-Gamma(a0 + n/2,  b0 + ||y - X beta||^2 / 2)</w:t>
      </w:r>
    </w:p>
    <w:p>
      <w:pPr>
        <w:keepNext w:val="0"/>
        <w:spacing w:after="120"/>
      </w:pPr>
      <w:r>
        <w:rPr>
          <w:b w:val="0"/>
          <w:i w:val="0"/>
          <w:sz w:val="22"/>
        </w:rPr>
        <w:t>Every draw comes from an exact conditional, so nothing is ever rejected. The resulting acceptance rate of one is a structural property of the algorithm and carries no information about sampling quality, which is why the comparison in Section 5 rests on R-hat, ESS and runtime instead.</w:t>
      </w:r>
    </w:p>
    <w:p>
      <w:pPr>
        <w:pStyle w:val="Heading2"/>
        <w:keepNext/>
      </w:pPr>
      <w:r>
        <w:t>2.5 Hamiltonian Monte Carlo</w:t>
      </w:r>
    </w:p>
    <w:p>
      <w:pPr>
        <w:keepNext w:val="0"/>
        <w:spacing w:after="120"/>
      </w:pPr>
      <w:r>
        <w:rPr>
          <w:b w:val="0"/>
          <w:i w:val="0"/>
          <w:sz w:val="22"/>
        </w:rPr>
        <w:t>HMC augments the parameter space with a momentum variable and simulates Hamiltonian dynamics with the leapfrog integrator, which is symplectic and reversible, so detailed balance holds once the accept-reject step corrects the integrator error [7].</w:t>
      </w:r>
    </w:p>
    <w:p>
      <w:pPr>
        <w:spacing w:after="160"/>
        <w:jc w:val="center"/>
      </w:pPr>
      <w:r>
        <w:rPr>
          <w:rFonts w:ascii="Cambria Math" w:hAnsi="Cambria Math"/>
          <w:i/>
          <w:sz w:val="23"/>
        </w:rPr>
        <w:t>H(q, p) = -log pi(q) + p'p / 2</w:t>
      </w:r>
    </w:p>
    <w:p>
      <w:pPr>
        <w:keepNext w:val="0"/>
        <w:spacing w:after="120"/>
      </w:pPr>
      <w:r>
        <w:rPr>
          <w:b w:val="0"/>
          <w:i w:val="0"/>
          <w:sz w:val="22"/>
        </w:rPr>
        <w:t>Because sigma^2 must stay positive, HMC samples the unconstrained parameter psi = log(sigma^2). The change of variables contributes a Jacobian |d sigma^2 / d psi| = exp(psi) = sigma^2, so the term log(sigma^2) is added to the log posterior. The same transformation and the same Jacobian term are used by every sampler that works on the unconstrained scale, namely both Metropolis variants, HMC and the external emcee reference; Gibbs works directly on sigma^2 and needs no Jacobian. The gradient used by the leapfrog integrator is the analytic gradient of this transformed log posterior.</w:t>
      </w:r>
    </w:p>
    <w:p>
      <w:pPr>
        <w:keepNext w:val="0"/>
        <w:spacing w:after="120"/>
      </w:pPr>
      <w:r>
        <w:rPr>
          <w:b w:val="0"/>
          <w:i w:val="0"/>
          <w:sz w:val="22"/>
        </w:rPr>
        <w:t>The No-U-Turn Sampler, which tunes the trajectory length automatically, was not implemented or run in this study. Where trajectory length matters it is varied explicitly, in Section 5.7.</w:t>
      </w:r>
    </w:p>
    <w:p>
      <w:pPr>
        <w:pStyle w:val="Heading2"/>
        <w:keepNext/>
      </w:pPr>
      <w:r>
        <w:t>2.6 Student-t Regression as a Normal Scale Mixture</w:t>
      </w:r>
    </w:p>
    <w:p>
      <w:pPr>
        <w:keepNext w:val="0"/>
        <w:spacing w:after="120"/>
      </w:pPr>
      <w:r>
        <w:rPr>
          <w:b w:val="0"/>
          <w:i w:val="0"/>
          <w:sz w:val="22"/>
        </w:rPr>
        <w:t>A Gaussian likelihood treats large residuals as essentially impossible, so when the data contain rare extreme observations the fitted noise variance inflates to accommodate them and every predictive interval widens. A Student-t likelihood tolerates them. Writing it as a scale mixture keeps every full conditional standard [9, 10]:</w:t>
      </w:r>
    </w:p>
    <w:p>
      <w:pPr>
        <w:spacing w:after="160"/>
        <w:jc w:val="center"/>
      </w:pPr>
      <w:r>
        <w:rPr>
          <w:rFonts w:ascii="Cambria Math" w:hAnsi="Cambria Math"/>
          <w:i/>
          <w:sz w:val="23"/>
        </w:rPr>
        <w:t>y_i | beta, sigma^2, w_i ~ N(x_i' beta, sigma^2 / w_i),   w_i ~ Gamma(nu/2, nu/2)</w:t>
      </w:r>
    </w:p>
    <w:p>
      <w:pPr>
        <w:keepNext w:val="0"/>
        <w:spacing w:after="120"/>
      </w:pPr>
      <w:r>
        <w:rPr>
          <w:b w:val="0"/>
          <w:i w:val="0"/>
          <w:sz w:val="22"/>
        </w:rPr>
        <w:t>Marginalising the weights w_i recovers a Student-t with nu degrees of freedom and scale sigma. Conditional on the weights the model is a weighted Gaussian regression, so the sampler remains a tuning-free Gibbs sampler in which an observation with a large standardised residual receives a small weight and is automatically down-weighted.</w:t>
      </w:r>
    </w:p>
    <w:p>
      <w:pPr>
        <w:pStyle w:val="Heading2"/>
        <w:keepNext/>
      </w:pPr>
      <w:r>
        <w:t>2.7 Convergence Diagnostics</w:t>
      </w:r>
    </w:p>
    <w:p>
      <w:pPr>
        <w:keepNext w:val="0"/>
        <w:spacing w:after="120"/>
      </w:pPr>
      <w:r>
        <w:rPr>
          <w:b w:val="0"/>
          <w:i w:val="0"/>
          <w:sz w:val="22"/>
        </w:rPr>
        <w:t>Notation. Each of the C sampled chains is split in half, giving M = 2C split chains of length N, so the total number of draws is S = M N. Write W for the mean within-split-chain variance, B for the between-split-chain variance, rho_t for the autocorrelation at lag t and tau for the integrated autocorrelation time.</w:t>
      </w:r>
    </w:p>
    <w:p>
      <w:pPr>
        <w:keepNext w:val="0"/>
        <w:spacing w:after="120"/>
      </w:pPr>
      <w:r>
        <w:rPr>
          <w:b/>
          <w:i w:val="0"/>
          <w:sz w:val="22"/>
        </w:rPr>
        <w:t>Rank-normalised and folded R-hat.</w:t>
      </w:r>
    </w:p>
    <w:p>
      <w:pPr>
        <w:keepNext w:val="0"/>
        <w:spacing w:after="120"/>
      </w:pPr>
      <w:r>
        <w:rPr>
          <w:b w:val="0"/>
          <w:i w:val="0"/>
          <w:sz w:val="22"/>
        </w:rPr>
        <w:t>The classical statistic [11] compares between-chain and within-chain variance, R-hat = sqrt(V / W) with V = ((N-1)/N) W + B/N. It assumes finite variance and is not invariant to monotone transformations. We therefore use the rank-normalised version [2]: draws are pooled, replaced by their ranks with ties averaged, and mapped through the inverse normal cdf with the Blom transform z = Phi^-1((r - 3/8)/(S - 1/4)) before the classical formula is applied. The folded variant applies the same procedure to |theta - median(theta)|, which makes it sensitive to disagreement in scale rather than location. The reported value is the larger of the two. The threshold used throughout is 1.01.</w:t>
      </w:r>
    </w:p>
    <w:p>
      <w:pPr>
        <w:keepNext w:val="0"/>
        <w:spacing w:after="120"/>
      </w:pPr>
      <w:r>
        <w:rPr>
          <w:b/>
          <w:i w:val="0"/>
          <w:sz w:val="22"/>
        </w:rPr>
        <w:t>Bulk and tail effective sample size.</w:t>
      </w:r>
    </w:p>
    <w:p>
      <w:pPr>
        <w:keepNext w:val="0"/>
        <w:spacing w:after="120"/>
      </w:pPr>
      <w:r>
        <w:rPr>
          <w:b w:val="0"/>
          <w:i w:val="0"/>
          <w:sz w:val="22"/>
        </w:rPr>
        <w:t>ESS = S / tau, where tau = 1 + 2 sum_{t&gt;=1} rho_t. The autocorrelations are estimated jointly across chains through rho_t = 1 - (W - mean_m[s_m^2 rho_{t,m}]) / V, so that between-chain variation enters the estimate, and the sum is truncated by Geyer's initial monotone positive sequence rule [12]. Bulk-ESS applies this to the rank-normalised draws and describes the centre of the distribution; tail-ESS is the smaller of the ESS values for the 5 percent and 95 percent quantile indicator series and describes the tails. Both are single numbers computed from all S draws jointly, never per-chain values that are then averaged.</w:t>
      </w:r>
    </w:p>
    <w:p>
      <w:pPr>
        <w:keepNext w:val="0"/>
        <w:spacing w:after="120"/>
      </w:pPr>
      <w:r>
        <w:rPr>
          <w:b/>
          <w:i w:val="0"/>
          <w:sz w:val="22"/>
        </w:rPr>
        <w:t>Aggregation across parameters.</w:t>
      </w:r>
    </w:p>
    <w:p>
      <w:pPr>
        <w:keepNext w:val="0"/>
        <w:spacing w:after="120"/>
      </w:pPr>
      <w:r>
        <w:rPr>
          <w:b w:val="0"/>
          <w:i w:val="0"/>
          <w:sz w:val="22"/>
        </w:rPr>
        <w:t>Each diagnostic is computed for one parameter at a time, for all 11 regression coefficients and the noise variance sigma^2, 12 parameters in total. The single number reported for a sampler is the worst case: the maximum R-hat and the minimum bulk and tail ESS over those parameters. Taking the worst rather than an average prevents one badly behaved coordinate from being hidden by well behaved ones. Efficiency per second uses the same minimum bulk ESS and the same total runtime, so the ratio is internally consistent.</w:t>
      </w:r>
    </w:p>
    <w:p>
      <w:pPr>
        <w:keepNext w:val="0"/>
        <w:spacing w:after="120"/>
      </w:pPr>
      <w:r>
        <w:rPr>
          <w:b/>
          <w:i w:val="0"/>
          <w:sz w:val="22"/>
        </w:rPr>
        <w:t>Monte Carlo standard error.</w:t>
      </w:r>
    </w:p>
    <w:p>
      <w:pPr>
        <w:keepNext w:val="0"/>
        <w:spacing w:after="120"/>
      </w:pPr>
      <w:r>
        <w:rPr>
          <w:b w:val="0"/>
          <w:i w:val="0"/>
          <w:sz w:val="22"/>
        </w:rPr>
        <w:t>MCSE is the posterior standard deviation divided by the square root of the joint bulk ESS, and expresses how precisely a posterior mean has been located by a finite run. It is reported only for chains that converged, because for a chain that has not converged the estimate is biased and its standard error understates the true error.</w:t>
      </w:r>
    </w:p>
    <w:p>
      <w:pPr>
        <w:keepNext w:val="0"/>
        <w:spacing w:after="120"/>
      </w:pPr>
      <w:r>
        <w:rPr>
          <w:b/>
          <w:i w:val="0"/>
          <w:sz w:val="22"/>
        </w:rPr>
        <w:t>Implementation check.</w:t>
      </w:r>
    </w:p>
    <w:p>
      <w:pPr>
        <w:keepNext w:val="0"/>
        <w:spacing w:after="120"/>
      </w:pPr>
      <w:r>
        <w:rPr>
          <w:b w:val="0"/>
          <w:i w:val="0"/>
          <w:sz w:val="22"/>
        </w:rPr>
        <w:t>All diagnostics are implemented from scratch. To confirm the implementation rather than assert it, the estimators were compared with ArviZ [13], the reference implementation of the same paper. For the Gibbs intercept our R-hat is 0.99997 against ArviZ 0.99997, and our bulk ESS is 40111.4 against 40111.8. Across a set of synthetic stress cases including independent draws, a strongly autocorrelated series, offset chains and heavy-tailed draws, the two agreed to within 0.4 percent on ESS.</w:t>
      </w:r>
    </w:p>
    <w:p>
      <w:pPr>
        <w:pStyle w:val="Heading2"/>
        <w:keepNext/>
      </w:pPr>
      <w:r>
        <w:t>2.8 Computational Complexity</w:t>
      </w:r>
    </w:p>
    <w:p>
      <w:pPr>
        <w:keepNext w:val="0"/>
        <w:spacing w:after="120"/>
      </w:pPr>
      <w:r>
        <w:rPr>
          <w:b w:val="0"/>
          <w:i w:val="0"/>
          <w:sz w:val="22"/>
        </w:rPr>
        <w:t>With n observations, p parameters, L leapfrog steps and T retained iterations:</w:t>
      </w:r>
    </w:p>
    <w:p>
      <w:pPr>
        <w:keepNext/>
        <w:spacing w:after="60"/>
      </w:pPr>
      <w:r>
        <w:rPr>
          <w:i/>
          <w:sz w:val="19"/>
        </w:rPr>
        <w:t>Table 1. Per-iteration time and total space complexity of each sampler.</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tblHeader w:val="true"/>
          <w:cantSplit/>
        </w:trPr>
        <w:tc>
          <w:tcPr>
            <w:tcW w:type="dxa" w:w="2381"/>
          </w:tcPr>
          <w:p>
            <w:pPr>
              <w:spacing w:after="40"/>
            </w:pPr>
            <w:r>
              <w:rPr>
                <w:b/>
                <w:sz w:val="19"/>
              </w:rPr>
              <w:t>Sampler</w:t>
            </w:r>
          </w:p>
        </w:tc>
        <w:tc>
          <w:tcPr>
            <w:tcW w:type="dxa" w:w="1928"/>
          </w:tcPr>
          <w:p>
            <w:pPr>
              <w:spacing w:after="40"/>
            </w:pPr>
            <w:r>
              <w:rPr>
                <w:b/>
                <w:sz w:val="19"/>
              </w:rPr>
              <w:t>Time per iteration</w:t>
            </w:r>
          </w:p>
        </w:tc>
        <w:tc>
          <w:tcPr>
            <w:tcW w:type="dxa" w:w="2381"/>
          </w:tcPr>
          <w:p>
            <w:pPr>
              <w:spacing w:after="40"/>
            </w:pPr>
            <w:r>
              <w:rPr>
                <w:b/>
                <w:sz w:val="19"/>
              </w:rPr>
              <w:t>Space</w:t>
            </w:r>
          </w:p>
        </w:tc>
        <w:tc>
          <w:tcPr>
            <w:tcW w:type="dxa" w:w="2948"/>
          </w:tcPr>
          <w:p>
            <w:pPr>
              <w:spacing w:after="40"/>
            </w:pPr>
            <w:r>
              <w:rPr>
                <w:b/>
                <w:sz w:val="19"/>
              </w:rPr>
              <w:t>Dominant cost</w:t>
            </w:r>
          </w:p>
        </w:tc>
      </w:tr>
      <w:tr>
        <w:tc>
          <w:tcPr>
            <w:tcW w:type="dxa" w:w="2381"/>
          </w:tcPr>
          <w:p>
            <w:pPr>
              <w:spacing w:after="40"/>
            </w:pPr>
            <w:r>
              <w:rPr>
                <w:sz w:val="19"/>
              </w:rPr>
              <w:t>Metropolis-Hastings</w:t>
            </w:r>
          </w:p>
        </w:tc>
        <w:tc>
          <w:tcPr>
            <w:tcW w:type="dxa" w:w="1928"/>
          </w:tcPr>
          <w:p>
            <w:pPr>
              <w:spacing w:after="40"/>
            </w:pPr>
            <w:r>
              <w:rPr>
                <w:sz w:val="19"/>
              </w:rPr>
              <w:t>O(np)</w:t>
            </w:r>
          </w:p>
        </w:tc>
        <w:tc>
          <w:tcPr>
            <w:tcW w:type="dxa" w:w="2381"/>
          </w:tcPr>
          <w:p>
            <w:pPr>
              <w:spacing w:after="40"/>
            </w:pPr>
            <w:r>
              <w:rPr>
                <w:sz w:val="19"/>
              </w:rPr>
              <w:t>O(np + Tp)</w:t>
            </w:r>
          </w:p>
        </w:tc>
        <w:tc>
          <w:tcPr>
            <w:tcW w:type="dxa" w:w="2948"/>
          </w:tcPr>
          <w:p>
            <w:pPr>
              <w:spacing w:after="40"/>
            </w:pPr>
            <w:r>
              <w:rPr>
                <w:sz w:val="19"/>
              </w:rPr>
              <w:t>one likelihood evaluation</w:t>
            </w:r>
          </w:p>
        </w:tc>
      </w:tr>
      <w:tr>
        <w:tc>
          <w:tcPr>
            <w:tcW w:type="dxa" w:w="2381"/>
          </w:tcPr>
          <w:p>
            <w:pPr>
              <w:spacing w:after="40"/>
            </w:pPr>
            <w:r>
              <w:rPr>
                <w:sz w:val="19"/>
              </w:rPr>
              <w:t>Adaptive Metropolis</w:t>
            </w:r>
          </w:p>
        </w:tc>
        <w:tc>
          <w:tcPr>
            <w:tcW w:type="dxa" w:w="1928"/>
          </w:tcPr>
          <w:p>
            <w:pPr>
              <w:spacing w:after="40"/>
            </w:pPr>
            <w:r>
              <w:rPr>
                <w:sz w:val="19"/>
              </w:rPr>
              <w:t>O(np + p^2)</w:t>
            </w:r>
          </w:p>
        </w:tc>
        <w:tc>
          <w:tcPr>
            <w:tcW w:type="dxa" w:w="2381"/>
          </w:tcPr>
          <w:p>
            <w:pPr>
              <w:spacing w:after="40"/>
            </w:pPr>
            <w:r>
              <w:rPr>
                <w:sz w:val="19"/>
              </w:rPr>
              <w:t>O(np + p^2 + Tp)</w:t>
            </w:r>
          </w:p>
        </w:tc>
        <w:tc>
          <w:tcPr>
            <w:tcW w:type="dxa" w:w="2948"/>
          </w:tcPr>
          <w:p>
            <w:pPr>
              <w:spacing w:after="40"/>
            </w:pPr>
            <w:r>
              <w:rPr>
                <w:sz w:val="19"/>
              </w:rPr>
              <w:t>likelihood and proposal</w:t>
            </w:r>
          </w:p>
        </w:tc>
      </w:tr>
      <w:tr>
        <w:tc>
          <w:tcPr>
            <w:tcW w:type="dxa" w:w="2381"/>
          </w:tcPr>
          <w:p>
            <w:pPr>
              <w:spacing w:after="40"/>
            </w:pPr>
            <w:r>
              <w:rPr>
                <w:sz w:val="19"/>
              </w:rPr>
              <w:t>Preconditioned MH</w:t>
            </w:r>
          </w:p>
        </w:tc>
        <w:tc>
          <w:tcPr>
            <w:tcW w:type="dxa" w:w="1928"/>
          </w:tcPr>
          <w:p>
            <w:pPr>
              <w:spacing w:after="40"/>
            </w:pPr>
            <w:r>
              <w:rPr>
                <w:sz w:val="19"/>
              </w:rPr>
              <w:t>O(np + p^2)</w:t>
            </w:r>
          </w:p>
        </w:tc>
        <w:tc>
          <w:tcPr>
            <w:tcW w:type="dxa" w:w="2381"/>
          </w:tcPr>
          <w:p>
            <w:pPr>
              <w:spacing w:after="40"/>
            </w:pPr>
            <w:r>
              <w:rPr>
                <w:sz w:val="19"/>
              </w:rPr>
              <w:t>O(np + p^2 + Tp)</w:t>
            </w:r>
          </w:p>
        </w:tc>
        <w:tc>
          <w:tcPr>
            <w:tcW w:type="dxa" w:w="2948"/>
          </w:tcPr>
          <w:p>
            <w:pPr>
              <w:spacing w:after="40"/>
            </w:pPr>
            <w:r>
              <w:rPr>
                <w:sz w:val="19"/>
              </w:rPr>
              <w:t>likelihood and proposal</w:t>
            </w:r>
          </w:p>
        </w:tc>
      </w:tr>
      <w:tr>
        <w:tc>
          <w:tcPr>
            <w:tcW w:type="dxa" w:w="2381"/>
          </w:tcPr>
          <w:p>
            <w:pPr>
              <w:spacing w:after="40"/>
            </w:pPr>
            <w:r>
              <w:rPr>
                <w:sz w:val="19"/>
              </w:rPr>
              <w:t>Gibbs</w:t>
            </w:r>
          </w:p>
        </w:tc>
        <w:tc>
          <w:tcPr>
            <w:tcW w:type="dxa" w:w="1928"/>
          </w:tcPr>
          <w:p>
            <w:pPr>
              <w:spacing w:after="40"/>
            </w:pPr>
            <w:r>
              <w:rPr>
                <w:sz w:val="19"/>
              </w:rPr>
              <w:t>O(np + p^3)</w:t>
            </w:r>
          </w:p>
        </w:tc>
        <w:tc>
          <w:tcPr>
            <w:tcW w:type="dxa" w:w="2381"/>
          </w:tcPr>
          <w:p>
            <w:pPr>
              <w:spacing w:after="40"/>
            </w:pPr>
            <w:r>
              <w:rPr>
                <w:sz w:val="19"/>
              </w:rPr>
              <w:t>O(np + p^2 + Tp)</w:t>
            </w:r>
          </w:p>
        </w:tc>
        <w:tc>
          <w:tcPr>
            <w:tcW w:type="dxa" w:w="2948"/>
          </w:tcPr>
          <w:p>
            <w:pPr>
              <w:spacing w:after="40"/>
            </w:pPr>
            <w:r>
              <w:rPr>
                <w:sz w:val="19"/>
              </w:rPr>
              <w:t>p by p solve for beta</w:t>
            </w:r>
          </w:p>
        </w:tc>
      </w:tr>
      <w:tr>
        <w:tc>
          <w:tcPr>
            <w:tcW w:type="dxa" w:w="2381"/>
          </w:tcPr>
          <w:p>
            <w:pPr>
              <w:spacing w:after="40"/>
            </w:pPr>
            <w:r>
              <w:rPr>
                <w:sz w:val="19"/>
              </w:rPr>
              <w:t>HMC</w:t>
            </w:r>
          </w:p>
        </w:tc>
        <w:tc>
          <w:tcPr>
            <w:tcW w:type="dxa" w:w="1928"/>
          </w:tcPr>
          <w:p>
            <w:pPr>
              <w:spacing w:after="40"/>
            </w:pPr>
            <w:r>
              <w:rPr>
                <w:sz w:val="19"/>
              </w:rPr>
              <w:t>O(L np)</w:t>
            </w:r>
          </w:p>
        </w:tc>
        <w:tc>
          <w:tcPr>
            <w:tcW w:type="dxa" w:w="2381"/>
          </w:tcPr>
          <w:p>
            <w:pPr>
              <w:spacing w:after="40"/>
            </w:pPr>
            <w:r>
              <w:rPr>
                <w:sz w:val="19"/>
              </w:rPr>
              <w:t>O(np + Tp)</w:t>
            </w:r>
          </w:p>
        </w:tc>
        <w:tc>
          <w:tcPr>
            <w:tcW w:type="dxa" w:w="2948"/>
          </w:tcPr>
          <w:p>
            <w:pPr>
              <w:spacing w:after="40"/>
            </w:pPr>
            <w:r>
              <w:rPr>
                <w:sz w:val="19"/>
              </w:rPr>
              <w:t>L gradient evaluations</w:t>
            </w:r>
          </w:p>
        </w:tc>
      </w:tr>
      <w:tr>
        <w:tc>
          <w:tcPr>
            <w:tcW w:type="dxa" w:w="2381"/>
          </w:tcPr>
          <w:p>
            <w:pPr>
              <w:spacing w:after="40"/>
            </w:pPr>
            <w:r>
              <w:rPr>
                <w:sz w:val="19"/>
              </w:rPr>
              <w:t>Student-t Gibbs</w:t>
            </w:r>
          </w:p>
        </w:tc>
        <w:tc>
          <w:tcPr>
            <w:tcW w:type="dxa" w:w="1928"/>
          </w:tcPr>
          <w:p>
            <w:pPr>
              <w:spacing w:after="40"/>
            </w:pPr>
            <w:r>
              <w:rPr>
                <w:sz w:val="19"/>
              </w:rPr>
              <w:t>O(np^2 + p^3)</w:t>
            </w:r>
          </w:p>
        </w:tc>
        <w:tc>
          <w:tcPr>
            <w:tcW w:type="dxa" w:w="2381"/>
          </w:tcPr>
          <w:p>
            <w:pPr>
              <w:spacing w:after="40"/>
            </w:pPr>
            <w:r>
              <w:rPr>
                <w:sz w:val="19"/>
              </w:rPr>
              <w:t>O(np + p^2 + Tp)</w:t>
            </w:r>
          </w:p>
        </w:tc>
        <w:tc>
          <w:tcPr>
            <w:tcW w:type="dxa" w:w="2948"/>
          </w:tcPr>
          <w:p>
            <w:pPr>
              <w:spacing w:after="40"/>
            </w:pPr>
            <w:r>
              <w:rPr>
                <w:sz w:val="19"/>
              </w:rPr>
              <w:t>reweighted X'WX each sweep</w:t>
            </w:r>
          </w:p>
        </w:tc>
      </w:tr>
    </w:tbl>
    <w:p>
      <w:pPr>
        <w:keepNext w:val="0"/>
        <w:spacing w:after="160"/>
      </w:pPr>
      <w:r>
        <w:rPr>
          <w:b w:val="0"/>
          <w:i w:val="0"/>
          <w:sz w:val="22"/>
        </w:rPr>
      </w:r>
    </w:p>
    <w:p>
      <w:pPr>
        <w:keepNext w:val="0"/>
        <w:spacing w:after="120"/>
      </w:pPr>
      <w:r>
        <w:rPr>
          <w:b w:val="0"/>
          <w:i w:val="0"/>
          <w:sz w:val="22"/>
        </w:rPr>
        <w:t>Preconditioning adds only an O(p^2) multiplication by a Cholesky factor, negligible beside the O(np) likelihood, so the efficiency it buys is close to free. The Student-t sampler is the most expensive per sweep because the weights change every iteration, so X'WX cannot be cached. With n = 3,000 and p = 11, np = 33,000 dominates p^3 = 1,331.</w:t>
      </w:r>
    </w:p>
    <w:p>
      <w:pPr>
        <w:pStyle w:val="Heading1"/>
        <w:keepNext/>
      </w:pPr>
      <w:r>
        <w:t>3. Data and Experimental Design</w:t>
      </w:r>
    </w:p>
    <w:p>
      <w:pPr>
        <w:pStyle w:val="Heading2"/>
        <w:keepNext/>
      </w:pPr>
      <w:r>
        <w:t>3.1 Dataset</w:t>
      </w:r>
    </w:p>
    <w:p>
      <w:pPr>
        <w:keepNext w:val="0"/>
        <w:spacing w:after="120"/>
      </w:pPr>
      <w:r>
        <w:rPr>
          <w:b w:val="0"/>
          <w:i w:val="0"/>
          <w:sz w:val="22"/>
        </w:rPr>
        <w:t>The Bitbrains GWA-T-12 traces [1] were collected from a managed hosting datacenter operated by Bitbrains IT Services in the Netherlands, and are distributed through the Grid Workloads Archive. The fastStorage trace records eleven telemetry channels for 1,250 virtual machines at five-minute resolution over roughly thirty days in August and September 2013. We use 48 machines.</w:t>
      </w:r>
    </w:p>
    <w:p>
      <w:pPr>
        <w:keepNext/>
        <w:spacing w:after="40"/>
        <w:jc w:val="center"/>
      </w:pPr>
      <w:r>
        <w:drawing>
          <wp:inline xmlns:a="http://schemas.openxmlformats.org/drawingml/2006/main" xmlns:pic="http://schemas.openxmlformats.org/drawingml/2006/picture">
            <wp:extent cx="5577840" cy="2933842"/>
            <wp:docPr id="1" name="Picture 1" descr="Six histograms of telemetry channels with logarithmic count axes, showing strongly right-skewed distributions for memory, disk and network activity." title="Six histograms of telemetry channels with logarithmic count axes, showing strong"/>
            <wp:cNvGraphicFramePr>
              <a:graphicFrameLocks noChangeAspect="1"/>
            </wp:cNvGraphicFramePr>
            <a:graphic>
              <a:graphicData uri="http://schemas.openxmlformats.org/drawingml/2006/picture">
                <pic:pic>
                  <pic:nvPicPr>
                    <pic:cNvPr id="0" name="fig_eda.png"/>
                    <pic:cNvPicPr/>
                  </pic:nvPicPr>
                  <pic:blipFill>
                    <a:blip r:embed="rId9"/>
                    <a:stretch>
                      <a:fillRect/>
                    </a:stretch>
                  </pic:blipFill>
                  <pic:spPr>
                    <a:xfrm>
                      <a:off x="0" y="0"/>
                      <a:ext cx="5577840" cy="2933842"/>
                    </a:xfrm>
                    <a:prstGeom prst="rect"/>
                  </pic:spPr>
                </pic:pic>
              </a:graphicData>
            </a:graphic>
          </wp:inline>
        </w:drawing>
      </w:r>
    </w:p>
    <w:p>
      <w:pPr>
        <w:spacing w:after="240"/>
        <w:jc w:val="center"/>
      </w:pPr>
      <w:r>
        <w:rPr>
          <w:i/>
          <w:sz w:val="19"/>
        </w:rPr>
        <w:t>Figure 1. Distributions of the six telemetry channels used as predictors. Counts are on a logarithmic scale, and the five strictly positive channels also use a logarithmic horizontal axis, because on linear axes every distribution collapses into a single bar at the left edge.</w:t>
      </w:r>
    </w:p>
    <w:p>
      <w:pPr>
        <w:pStyle w:val="Heading2"/>
        <w:keepNext/>
      </w:pPr>
      <w:r>
        <w:t>3.2 Forecasting Task and Feature Construction</w:t>
      </w:r>
    </w:p>
    <w:p>
      <w:pPr>
        <w:keepNext w:val="0"/>
        <w:spacing w:after="120"/>
      </w:pPr>
      <w:r>
        <w:rPr>
          <w:b w:val="0"/>
          <w:i w:val="0"/>
          <w:sz w:val="22"/>
        </w:rPr>
        <w:t>The task is one-step-ahead forecasting at a horizon of 5 minutes: the target is CPU utilisation at time t, and every predictor is a function of information available strictly before t. This is stated explicitly because it constrains the design. The contemporaneous memory, disk and network channels are not observable when the forecast is issued, so each is lagged by one interval. Had they been used at time t the exercise would have been nowcasting rather than forecasting.</w:t>
      </w:r>
    </w:p>
    <w:p>
      <w:pPr>
        <w:keepNext w:val="0"/>
        <w:spacing w:after="120"/>
      </w:pPr>
      <w:r>
        <w:rPr>
          <w:b w:val="0"/>
          <w:i w:val="0"/>
          <w:sz w:val="22"/>
        </w:rPr>
        <w:t>The 10 predictors, plus an intercept, are:</w:t>
      </w:r>
    </w:p>
    <w:p>
      <w:pPr>
        <w:pStyle w:val="ListBullet"/>
        <w:ind w:left="720"/>
      </w:pPr>
      <w:r>
        <w:t>Exogenous load at t-1: memory usage, disk read and write throughput, network received and transmitted throughput.</w:t>
      </w:r>
    </w:p>
    <w:p>
      <w:pPr>
        <w:pStyle w:val="ListBullet"/>
        <w:ind w:left="720"/>
      </w:pPr>
      <w:r>
        <w:t>Autoregressive terms: CPU utilisation at t-1, t-2 and t-3.</w:t>
      </w:r>
    </w:p>
    <w:p>
      <w:pPr>
        <w:pStyle w:val="ListBullet"/>
        <w:ind w:left="720"/>
      </w:pPr>
      <w:r>
        <w:t>Rolling statistics of CPU utilisation over the six intervals ending at t-1: mean and standard deviation.</w:t>
      </w:r>
    </w:p>
    <w:p>
      <w:pPr>
        <w:pStyle w:val="Heading2"/>
        <w:keepNext/>
      </w:pPr>
      <w:r>
        <w:t>3.3 Chronological Splitting and Leakage Control</w:t>
      </w:r>
    </w:p>
    <w:p>
      <w:pPr>
        <w:keepNext w:val="0"/>
        <w:spacing w:after="120"/>
      </w:pPr>
      <w:r>
        <w:rPr>
          <w:b w:val="0"/>
          <w:i w:val="0"/>
          <w:sz w:val="22"/>
        </w:rPr>
        <w:t>Observations from all machines are ordered by timestamp and divided chronologically into training, validation and test periods in proportions 60, 20 and 20 percent. Three separate measures guard against leakage.</w:t>
      </w:r>
    </w:p>
    <w:p>
      <w:pPr>
        <w:pStyle w:val="ListBullet"/>
        <w:ind w:left="720"/>
      </w:pPr>
      <w:r>
        <w:t>Feature windows may not straddle a boundary. Each row depends on the six intervals preceding it, so any row whose earliest required observation falls in an earlier split is discarded. This embargo removed 632 rows.</w:t>
      </w:r>
    </w:p>
    <w:p>
      <w:pPr>
        <w:pStyle w:val="ListBullet"/>
        <w:ind w:left="720"/>
      </w:pPr>
      <w:r>
        <w:t>All scaling constants, the predictor means and standard deviations and those of the target, are estimated on the training rows only and then applied unchanged to validation and test.</w:t>
      </w:r>
    </w:p>
    <w:p>
      <w:pPr>
        <w:pStyle w:val="ListBullet"/>
        <w:ind w:left="720"/>
      </w:pPr>
      <w:r>
        <w:t>The validation split is used to choose the likelihood and its degrees of freedom. The test split is used once, for the final numbers in Section 6, and for nothing else.</w:t>
      </w:r>
    </w:p>
    <w:p>
      <w:pPr>
        <w:keepNext/>
        <w:spacing w:after="60"/>
      </w:pPr>
      <w:r>
        <w:rPr>
          <w:i/>
          <w:sz w:val="19"/>
        </w:rPr>
        <w:t>Table 2. Split sizes after the embargo.</w:t>
      </w:r>
    </w:p>
    <w:tbl>
      <w:tblPr>
        <w:tblStyle w:val="LightGrid-Accent1"/>
        <w:tblW w:type="auto" w:w="0"/>
        <w:jc w:val="center"/>
        <w:tblLayout w:type="fixed"/>
        <w:tblLook w:firstColumn="1" w:firstRow="1" w:lastColumn="0" w:lastRow="0" w:noHBand="0" w:noVBand="1" w:val="04A0"/>
      </w:tblPr>
      <w:tblGrid>
        <w:gridCol w:w="2880"/>
        <w:gridCol w:w="2880"/>
        <w:gridCol w:w="2880"/>
      </w:tblGrid>
      <w:tr>
        <w:trPr>
          <w:tblHeader w:val="true"/>
          <w:cantSplit/>
        </w:trPr>
        <w:tc>
          <w:tcPr>
            <w:tcW w:type="dxa" w:w="2041"/>
          </w:tcPr>
          <w:p>
            <w:pPr>
              <w:spacing w:after="40"/>
            </w:pPr>
            <w:r>
              <w:rPr>
                <w:b/>
                <w:sz w:val="19"/>
              </w:rPr>
              <w:t>Split</w:t>
            </w:r>
          </w:p>
        </w:tc>
        <w:tc>
          <w:tcPr>
            <w:tcW w:type="dxa" w:w="1474"/>
          </w:tcPr>
          <w:p>
            <w:pPr>
              <w:spacing w:after="40"/>
            </w:pPr>
            <w:r>
              <w:rPr>
                <w:b/>
                <w:sz w:val="19"/>
              </w:rPr>
              <w:t>Rows</w:t>
            </w:r>
          </w:p>
        </w:tc>
        <w:tc>
          <w:tcPr>
            <w:tcW w:type="dxa" w:w="5102"/>
          </w:tcPr>
          <w:p>
            <w:pPr>
              <w:spacing w:after="40"/>
            </w:pPr>
            <w:r>
              <w:rPr>
                <w:b/>
                <w:sz w:val="19"/>
              </w:rPr>
              <w:t>Role</w:t>
            </w:r>
          </w:p>
        </w:tc>
      </w:tr>
      <w:tr>
        <w:tc>
          <w:tcPr>
            <w:tcW w:type="dxa" w:w="2041"/>
          </w:tcPr>
          <w:p>
            <w:pPr>
              <w:spacing w:after="40"/>
            </w:pPr>
            <w:r>
              <w:rPr>
                <w:sz w:val="19"/>
              </w:rPr>
              <w:t>Training</w:t>
            </w:r>
          </w:p>
        </w:tc>
        <w:tc>
          <w:tcPr>
            <w:tcW w:type="dxa" w:w="1474"/>
          </w:tcPr>
          <w:p>
            <w:pPr>
              <w:spacing w:after="40"/>
            </w:pPr>
            <w:r>
              <w:rPr>
                <w:sz w:val="19"/>
              </w:rPr>
              <w:t>3,000</w:t>
            </w:r>
          </w:p>
        </w:tc>
        <w:tc>
          <w:tcPr>
            <w:tcW w:type="dxa" w:w="5102"/>
          </w:tcPr>
          <w:p>
            <w:pPr>
              <w:spacing w:after="40"/>
            </w:pPr>
            <w:r>
              <w:rPr>
                <w:sz w:val="19"/>
              </w:rPr>
              <w:t>Posterior sampling</w:t>
            </w:r>
          </w:p>
        </w:tc>
      </w:tr>
      <w:tr>
        <w:tc>
          <w:tcPr>
            <w:tcW w:type="dxa" w:w="2041"/>
          </w:tcPr>
          <w:p>
            <w:pPr>
              <w:spacing w:after="40"/>
            </w:pPr>
            <w:r>
              <w:rPr>
                <w:sz w:val="19"/>
              </w:rPr>
              <w:t>Validation</w:t>
            </w:r>
          </w:p>
        </w:tc>
        <w:tc>
          <w:tcPr>
            <w:tcW w:type="dxa" w:w="1474"/>
          </w:tcPr>
          <w:p>
            <w:pPr>
              <w:spacing w:after="40"/>
            </w:pPr>
            <w:r>
              <w:rPr>
                <w:sz w:val="19"/>
              </w:rPr>
              <w:t>688</w:t>
            </w:r>
          </w:p>
        </w:tc>
        <w:tc>
          <w:tcPr>
            <w:tcW w:type="dxa" w:w="5102"/>
          </w:tcPr>
          <w:p>
            <w:pPr>
              <w:spacing w:after="40"/>
            </w:pPr>
            <w:r>
              <w:rPr>
                <w:sz w:val="19"/>
              </w:rPr>
              <w:t>Likelihood and degrees-of-freedom selection</w:t>
            </w:r>
          </w:p>
        </w:tc>
      </w:tr>
      <w:tr>
        <w:tc>
          <w:tcPr>
            <w:tcW w:type="dxa" w:w="2041"/>
          </w:tcPr>
          <w:p>
            <w:pPr>
              <w:spacing w:after="40"/>
            </w:pPr>
            <w:r>
              <w:rPr>
                <w:sz w:val="19"/>
              </w:rPr>
              <w:t>Test</w:t>
            </w:r>
          </w:p>
        </w:tc>
        <w:tc>
          <w:tcPr>
            <w:tcW w:type="dxa" w:w="1474"/>
          </w:tcPr>
          <w:p>
            <w:pPr>
              <w:spacing w:after="40"/>
            </w:pPr>
            <w:r>
              <w:rPr>
                <w:sz w:val="19"/>
              </w:rPr>
              <w:t>680</w:t>
            </w:r>
          </w:p>
        </w:tc>
        <w:tc>
          <w:tcPr>
            <w:tcW w:type="dxa" w:w="5102"/>
          </w:tcPr>
          <w:p>
            <w:pPr>
              <w:spacing w:after="40"/>
            </w:pPr>
            <w:r>
              <w:rPr>
                <w:sz w:val="19"/>
              </w:rPr>
              <w:t>Final reported performance only</w:t>
            </w:r>
          </w:p>
        </w:tc>
      </w:tr>
      <w:tr>
        <w:tc>
          <w:tcPr>
            <w:tcW w:type="dxa" w:w="2041"/>
          </w:tcPr>
          <w:p>
            <w:pPr>
              <w:spacing w:after="40"/>
            </w:pPr>
            <w:r>
              <w:rPr>
                <w:sz w:val="19"/>
              </w:rPr>
              <w:t>Embargoed</w:t>
            </w:r>
          </w:p>
        </w:tc>
        <w:tc>
          <w:tcPr>
            <w:tcW w:type="dxa" w:w="1474"/>
          </w:tcPr>
          <w:p>
            <w:pPr>
              <w:spacing w:after="40"/>
            </w:pPr>
            <w:r>
              <w:rPr>
                <w:sz w:val="19"/>
              </w:rPr>
              <w:t>632</w:t>
            </w:r>
          </w:p>
        </w:tc>
        <w:tc>
          <w:tcPr>
            <w:tcW w:type="dxa" w:w="5102"/>
          </w:tcPr>
          <w:p>
            <w:pPr>
              <w:spacing w:after="40"/>
            </w:pPr>
            <w:r>
              <w:rPr>
                <w:sz w:val="19"/>
              </w:rPr>
              <w:t>Discarded to prevent window crossing</w:t>
            </w:r>
          </w:p>
        </w:tc>
      </w:tr>
    </w:tbl>
    <w:p>
      <w:pPr>
        <w:keepNext w:val="0"/>
        <w:spacing w:after="160"/>
      </w:pPr>
      <w:r>
        <w:rPr>
          <w:b w:val="0"/>
          <w:i w:val="0"/>
          <w:sz w:val="22"/>
        </w:rPr>
      </w:r>
    </w:p>
    <w:p>
      <w:pPr>
        <w:keepNext w:val="0"/>
        <w:spacing w:after="120"/>
      </w:pPr>
      <w:r>
        <w:rPr>
          <w:b w:val="0"/>
          <w:i w:val="0"/>
          <w:sz w:val="22"/>
        </w:rPr>
        <w:t>One qualification should be stated plainly. The same machine appears in more than one split, at different times. For time-series forecasting this is the intended design, since the point is to predict a machine's future from its past, and the embargo ensures no individual prediction uses information from across a boundary. It does mean the splits are not independent in the sense of disjoint machines, so the results describe forecasting for machines already observed, not generalisation to unseen machines.</w:t>
      </w:r>
    </w:p>
    <w:p>
      <w:pPr>
        <w:pStyle w:val="Heading2"/>
        <w:keepNext/>
      </w:pPr>
      <w:r>
        <w:t>3.4 Sample Size</w:t>
      </w:r>
    </w:p>
    <w:p>
      <w:pPr>
        <w:keepNext w:val="0"/>
        <w:spacing w:after="120"/>
      </w:pPr>
      <w:r>
        <w:rPr>
          <w:b w:val="0"/>
          <w:i w:val="0"/>
          <w:sz w:val="22"/>
        </w:rPr>
        <w:t>Of roughly 468,341 raw records available across the selected machines, the study uses the earliest 5,000 engineered observations. The restriction is computational rather than statistical. Each sampler is run with 4 chains, 10,000 draws per chain and 3 independent repeats, and the per-iteration cost of every sampler is O(np); the full experiment already requires several hundred thousand likelihood or gradient evaluations at n = 3,000. Using the whole trace would multiply that by roughly two orders of magnitude without changing what the experiment is designed to measure, which is the relative behaviour of the samplers on a fixed posterior. The consequence is that the test split contains only 680 rows, so the coverage estimates in Section 6 carry appreciable uncertainty, which is why they are reported with bootstrap intervals.</w:t>
      </w:r>
    </w:p>
    <w:p>
      <w:pPr>
        <w:pStyle w:val="Heading2"/>
        <w:keepNext/>
      </w:pPr>
      <w:r>
        <w:t>3.5 Pooling Across Machines</w:t>
      </w:r>
    </w:p>
    <w:p>
      <w:pPr>
        <w:keepNext w:val="0"/>
        <w:spacing w:after="120"/>
      </w:pPr>
      <w:r>
        <w:rPr>
          <w:b w:val="0"/>
          <w:i w:val="0"/>
          <w:sz w:val="22"/>
        </w:rPr>
        <w:t>All machines share a single coefficient vector. This is a modelling assumption, and the residuals show it is only approximately right: across the 48 machines with at least ten training rows, the per-machine residual standard deviation ranges from 0.000 to 1.575 with a median of 0.049, against a pooled value of 0.349. A machine at the upper end therefore has noise several times larger than one at the lower end, and a single sigma^2 splits the difference, over-stating uncertainty for quiet machines and under-stating it for volatile ones. A hierarchical model with per-machine coefficients and variances is the natural remedy and is left to further work; it would also make the comparison between Gibbs and HMC considerably more interesting, since conjugacy alone no longer suffices there.</w:t>
      </w:r>
    </w:p>
    <w:p>
      <w:pPr>
        <w:pStyle w:val="Heading1"/>
        <w:keepNext/>
      </w:pPr>
      <w:r>
        <w:t>4. Methodology</w:t>
      </w:r>
    </w:p>
    <w:p>
      <w:pPr>
        <w:keepNext w:val="0"/>
        <w:spacing w:after="120"/>
      </w:pPr>
      <w:r>
        <w:rPr>
          <w:b w:val="0"/>
          <w:i w:val="0"/>
          <w:sz w:val="22"/>
        </w:rPr>
        <w:t>All samplers are implemented from scratch in NumPy and SciPy. No probabilistic programming library is used inside any implementation; emcee appears only as an external reference in Section 5.5, and ArviZ only to verify the diagnostic code.</w:t>
      </w:r>
    </w:p>
    <w:p>
      <w:pPr>
        <w:keepNext w:val="0"/>
        <w:spacing w:after="120"/>
      </w:pPr>
      <w:r>
        <w:rPr>
          <w:b w:val="0"/>
          <w:i w:val="0"/>
          <w:sz w:val="22"/>
        </w:rPr>
        <w:t>Each sampler is run with 4 chains from overdispersed starting points, drawn as beta ~ N(0, 2^2) and log sigma^2 ~ N(0, 1.5^2), which are far wider than the posterior. Overdispersed starts are what split R-hat assumes: if every chain began near the mode, agreement between chains would demonstrate little. Each chain retains 10,000 draws after 2,000 burn-in iterations, and the whole procedure is repeated 3 times with different seeds so that run-to-run variability in runtime and ESS can be reported.</w:t>
      </w:r>
    </w:p>
    <w:p>
      <w:pPr>
        <w:keepNext/>
        <w:spacing w:after="60"/>
      </w:pPr>
      <w:r>
        <w:rPr>
          <w:i/>
          <w:sz w:val="19"/>
        </w:rPr>
        <w:t>Table 3. Tuning parameters. Gibbs samplers have none.</w:t>
      </w:r>
    </w:p>
    <w:tbl>
      <w:tblPr>
        <w:tblStyle w:val="LightGrid-Accent1"/>
        <w:tblW w:type="auto" w:w="0"/>
        <w:jc w:val="center"/>
        <w:tblLayout w:type="fixed"/>
        <w:tblLook w:firstColumn="1" w:firstRow="1" w:lastColumn="0" w:lastRow="0" w:noHBand="0" w:noVBand="1" w:val="04A0"/>
      </w:tblPr>
      <w:tblGrid>
        <w:gridCol w:w="2880"/>
        <w:gridCol w:w="2880"/>
        <w:gridCol w:w="2880"/>
      </w:tblGrid>
      <w:tr>
        <w:trPr>
          <w:tblHeader w:val="true"/>
          <w:cantSplit/>
        </w:trPr>
        <w:tc>
          <w:tcPr>
            <w:tcW w:type="dxa" w:w="2268"/>
          </w:tcPr>
          <w:p>
            <w:pPr>
              <w:spacing w:after="40"/>
            </w:pPr>
            <w:r>
              <w:rPr>
                <w:b/>
                <w:sz w:val="19"/>
              </w:rPr>
              <w:t>Sampler</w:t>
            </w:r>
          </w:p>
        </w:tc>
        <w:tc>
          <w:tcPr>
            <w:tcW w:type="dxa" w:w="3628"/>
          </w:tcPr>
          <w:p>
            <w:pPr>
              <w:spacing w:after="40"/>
            </w:pPr>
            <w:r>
              <w:rPr>
                <w:b/>
                <w:sz w:val="19"/>
              </w:rPr>
              <w:t>Tuning parameters</w:t>
            </w:r>
          </w:p>
        </w:tc>
        <w:tc>
          <w:tcPr>
            <w:tcW w:type="dxa" w:w="2835"/>
          </w:tcPr>
          <w:p>
            <w:pPr>
              <w:spacing w:after="40"/>
            </w:pPr>
            <w:r>
              <w:rPr>
                <w:b/>
                <w:sz w:val="19"/>
              </w:rPr>
              <w:t>Setting</w:t>
            </w:r>
          </w:p>
        </w:tc>
      </w:tr>
      <w:tr>
        <w:tc>
          <w:tcPr>
            <w:tcW w:type="dxa" w:w="2268"/>
          </w:tcPr>
          <w:p>
            <w:pPr>
              <w:spacing w:after="40"/>
            </w:pPr>
            <w:r>
              <w:rPr>
                <w:sz w:val="19"/>
              </w:rPr>
              <w:t>Metropolis-Hastings</w:t>
            </w:r>
          </w:p>
        </w:tc>
        <w:tc>
          <w:tcPr>
            <w:tcW w:type="dxa" w:w="3628"/>
          </w:tcPr>
          <w:p>
            <w:pPr>
              <w:spacing w:after="40"/>
            </w:pPr>
            <w:r>
              <w:rPr>
                <w:sz w:val="19"/>
              </w:rPr>
              <w:t>proposal scales for beta and log sigma^2</w:t>
            </w:r>
          </w:p>
        </w:tc>
        <w:tc>
          <w:tcPr>
            <w:tcW w:type="dxa" w:w="2835"/>
          </w:tcPr>
          <w:p>
            <w:pPr>
              <w:spacing w:after="40"/>
            </w:pPr>
            <w:r>
              <w:rPr>
                <w:sz w:val="19"/>
              </w:rPr>
              <w:t>0.001, 0.05</w:t>
            </w:r>
          </w:p>
        </w:tc>
      </w:tr>
      <w:tr>
        <w:tc>
          <w:tcPr>
            <w:tcW w:type="dxa" w:w="2268"/>
          </w:tcPr>
          <w:p>
            <w:pPr>
              <w:spacing w:after="40"/>
            </w:pPr>
            <w:r>
              <w:rPr>
                <w:sz w:val="19"/>
              </w:rPr>
              <w:t>Adaptive Metropolis</w:t>
            </w:r>
          </w:p>
        </w:tc>
        <w:tc>
          <w:tcPr>
            <w:tcW w:type="dxa" w:w="3628"/>
          </w:tcPr>
          <w:p>
            <w:pPr>
              <w:spacing w:after="40"/>
            </w:pPr>
            <w:r>
              <w:rPr>
                <w:sz w:val="19"/>
              </w:rPr>
              <w:t>adaptation interval, scaling</w:t>
            </w:r>
          </w:p>
        </w:tc>
        <w:tc>
          <w:tcPr>
            <w:tcW w:type="dxa" w:w="2835"/>
          </w:tcPr>
          <w:p>
            <w:pPr>
              <w:spacing w:after="40"/>
            </w:pPr>
            <w:r>
              <w:rPr>
                <w:sz w:val="19"/>
              </w:rPr>
              <w:t>200 iterations, 2.38^2/d</w:t>
            </w:r>
          </w:p>
        </w:tc>
      </w:tr>
      <w:tr>
        <w:tc>
          <w:tcPr>
            <w:tcW w:type="dxa" w:w="2268"/>
          </w:tcPr>
          <w:p>
            <w:pPr>
              <w:spacing w:after="40"/>
            </w:pPr>
            <w:r>
              <w:rPr>
                <w:sz w:val="19"/>
              </w:rPr>
              <w:t>Preconditioned MH</w:t>
            </w:r>
          </w:p>
        </w:tc>
        <w:tc>
          <w:tcPr>
            <w:tcW w:type="dxa" w:w="3628"/>
          </w:tcPr>
          <w:p>
            <w:pPr>
              <w:spacing w:after="40"/>
            </w:pPr>
            <w:r>
              <w:rPr>
                <w:sz w:val="19"/>
              </w:rPr>
              <w:t>target acceptance, adaptation interval</w:t>
            </w:r>
          </w:p>
        </w:tc>
        <w:tc>
          <w:tcPr>
            <w:tcW w:type="dxa" w:w="2835"/>
          </w:tcPr>
          <w:p>
            <w:pPr>
              <w:spacing w:after="40"/>
            </w:pPr>
            <w:r>
              <w:rPr>
                <w:sz w:val="19"/>
              </w:rPr>
              <w:t>0.234, 100</w:t>
            </w:r>
          </w:p>
        </w:tc>
      </w:tr>
      <w:tr>
        <w:tc>
          <w:tcPr>
            <w:tcW w:type="dxa" w:w="2268"/>
          </w:tcPr>
          <w:p>
            <w:pPr>
              <w:spacing w:after="40"/>
            </w:pPr>
            <w:r>
              <w:rPr>
                <w:sz w:val="19"/>
              </w:rPr>
              <w:t>Gibbs</w:t>
            </w:r>
          </w:p>
        </w:tc>
        <w:tc>
          <w:tcPr>
            <w:tcW w:type="dxa" w:w="3628"/>
          </w:tcPr>
          <w:p>
            <w:pPr>
              <w:spacing w:after="40"/>
            </w:pPr>
            <w:r>
              <w:rPr>
                <w:sz w:val="19"/>
              </w:rPr>
              <w:t>none</w:t>
            </w:r>
          </w:p>
        </w:tc>
        <w:tc>
          <w:tcPr>
            <w:tcW w:type="dxa" w:w="2835"/>
          </w:tcPr>
          <w:p>
            <w:pPr>
              <w:spacing w:after="40"/>
            </w:pPr>
            <w:r>
              <w:rPr>
                <w:sz w:val="19"/>
              </w:rPr>
              <w:t>not applicable</w:t>
            </w:r>
          </w:p>
        </w:tc>
      </w:tr>
      <w:tr>
        <w:tc>
          <w:tcPr>
            <w:tcW w:type="dxa" w:w="2268"/>
          </w:tcPr>
          <w:p>
            <w:pPr>
              <w:spacing w:after="40"/>
            </w:pPr>
            <w:r>
              <w:rPr>
                <w:sz w:val="19"/>
              </w:rPr>
              <w:t>HMC</w:t>
            </w:r>
          </w:p>
        </w:tc>
        <w:tc>
          <w:tcPr>
            <w:tcW w:type="dxa" w:w="3628"/>
          </w:tcPr>
          <w:p>
            <w:pPr>
              <w:spacing w:after="40"/>
            </w:pPr>
            <w:r>
              <w:rPr>
                <w:sz w:val="19"/>
              </w:rPr>
              <w:t>step size, leapfrog steps</w:t>
            </w:r>
          </w:p>
        </w:tc>
        <w:tc>
          <w:tcPr>
            <w:tcW w:type="dxa" w:w="2835"/>
          </w:tcPr>
          <w:p>
            <w:pPr>
              <w:spacing w:after="40"/>
            </w:pPr>
            <w:r>
              <w:rPr>
                <w:sz w:val="19"/>
              </w:rPr>
              <w:t>0.002, 15</w:t>
            </w:r>
          </w:p>
        </w:tc>
      </w:tr>
      <w:tr>
        <w:tc>
          <w:tcPr>
            <w:tcW w:type="dxa" w:w="2268"/>
          </w:tcPr>
          <w:p>
            <w:pPr>
              <w:spacing w:after="40"/>
            </w:pPr>
            <w:r>
              <w:rPr>
                <w:sz w:val="19"/>
              </w:rPr>
              <w:t>Student-t Gibbs</w:t>
            </w:r>
          </w:p>
        </w:tc>
        <w:tc>
          <w:tcPr>
            <w:tcW w:type="dxa" w:w="3628"/>
          </w:tcPr>
          <w:p>
            <w:pPr>
              <w:spacing w:after="40"/>
            </w:pPr>
            <w:r>
              <w:rPr>
                <w:sz w:val="19"/>
              </w:rPr>
              <w:t>degrees of freedom nu</w:t>
            </w:r>
          </w:p>
        </w:tc>
        <w:tc>
          <w:tcPr>
            <w:tcW w:type="dxa" w:w="2835"/>
          </w:tcPr>
          <w:p>
            <w:pPr>
              <w:spacing w:after="40"/>
            </w:pPr>
            <w:r>
              <w:rPr>
                <w:sz w:val="19"/>
              </w:rPr>
              <w:t>selected on validation</w:t>
            </w:r>
          </w:p>
        </w:tc>
      </w:tr>
    </w:tbl>
    <w:p>
      <w:pPr>
        <w:keepNext w:val="0"/>
        <w:spacing w:after="160"/>
      </w:pPr>
      <w:r>
        <w:rPr>
          <w:b w:val="0"/>
          <w:i w:val="0"/>
          <w:sz w:val="22"/>
        </w:rPr>
      </w:r>
    </w:p>
    <w:p>
      <w:pPr>
        <w:pStyle w:val="Heading1"/>
        <w:keepNext/>
      </w:pPr>
      <w:r>
        <w:t>5. Results: Convergence and Efficiency</w:t>
      </w:r>
    </w:p>
    <w:p>
      <w:pPr>
        <w:pStyle w:val="Heading2"/>
        <w:keepNext/>
      </w:pPr>
      <w:r>
        <w:t>5.1 Posterior Geometry</w:t>
      </w:r>
    </w:p>
    <w:p>
      <w:pPr>
        <w:keepNext w:val="0"/>
        <w:spacing w:after="120"/>
      </w:pPr>
      <w:r>
        <w:rPr>
          <w:b w:val="0"/>
          <w:i w:val="0"/>
          <w:sz w:val="22"/>
        </w:rPr>
        <w:t>Because the conditional posterior of beta given sigma^2 is Gaussian, its covariance is available in closed form. Evaluated at the fitted noise level it has condition number 313.8 and a largest absolute correlation between coefficients of 0.686, with standard deviations along the extreme directions of 0.0028 and 0.0499. The correlation is a direct consequence of the design: three consecutive CPU lags and a rolling mean of the same series measure nearly the same quantity. A single isotropic step size must be small enough to be accepted along the narrow direction while the chain has to travel roughly 18 times further to cross the wide one.</w:t>
      </w:r>
    </w:p>
    <w:p>
      <w:pPr>
        <w:pStyle w:val="Heading2"/>
        <w:keepNext/>
      </w:pPr>
      <w:r>
        <w:t>5.2 Convergence</w:t>
      </w:r>
    </w:p>
    <w:p>
      <w:pPr>
        <w:keepNext/>
        <w:spacing w:after="60"/>
      </w:pPr>
      <w:r>
        <w:rPr>
          <w:i/>
          <w:sz w:val="19"/>
        </w:rPr>
        <w:t>Table 4. Convergence diagnostics from 4 dispersed chains of 10,000 draws. R-hat is the larger of the rank-normalised and folded statistics, maximised over monitored parameters; ESS values are minima over the same parameters. The criterion is R-hat below 1.01 and bulk ESS at least 400.</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2608"/>
          </w:tcPr>
          <w:p>
            <w:pPr>
              <w:spacing w:after="40"/>
            </w:pPr>
            <w:r>
              <w:rPr>
                <w:b/>
                <w:sz w:val="19"/>
              </w:rPr>
              <w:t>Sampler</w:t>
            </w:r>
          </w:p>
        </w:tc>
        <w:tc>
          <w:tcPr>
            <w:tcW w:type="dxa" w:w="1361"/>
          </w:tcPr>
          <w:p>
            <w:pPr>
              <w:spacing w:after="40"/>
            </w:pPr>
            <w:r>
              <w:rPr>
                <w:b/>
                <w:sz w:val="19"/>
              </w:rPr>
              <w:t>R-hat</w:t>
            </w:r>
          </w:p>
        </w:tc>
        <w:tc>
          <w:tcPr>
            <w:tcW w:type="dxa" w:w="1474"/>
          </w:tcPr>
          <w:p>
            <w:pPr>
              <w:spacing w:after="40"/>
            </w:pPr>
            <w:r>
              <w:rPr>
                <w:b/>
                <w:sz w:val="19"/>
              </w:rPr>
              <w:t>Bulk ESS</w:t>
            </w:r>
          </w:p>
        </w:tc>
        <w:tc>
          <w:tcPr>
            <w:tcW w:type="dxa" w:w="1474"/>
          </w:tcPr>
          <w:p>
            <w:pPr>
              <w:spacing w:after="40"/>
            </w:pPr>
            <w:r>
              <w:rPr>
                <w:b/>
                <w:sz w:val="19"/>
              </w:rPr>
              <w:t>Tail ESS</w:t>
            </w:r>
          </w:p>
        </w:tc>
        <w:tc>
          <w:tcPr>
            <w:tcW w:type="dxa" w:w="1474"/>
          </w:tcPr>
          <w:p>
            <w:pPr>
              <w:spacing w:after="40"/>
            </w:pPr>
            <w:r>
              <w:rPr>
                <w:b/>
                <w:sz w:val="19"/>
              </w:rPr>
              <w:t>Converged</w:t>
            </w:r>
          </w:p>
        </w:tc>
      </w:tr>
      <w:tr>
        <w:tc>
          <w:tcPr>
            <w:tcW w:type="dxa" w:w="2608"/>
          </w:tcPr>
          <w:p>
            <w:pPr>
              <w:spacing w:after="40"/>
            </w:pPr>
            <w:r>
              <w:rPr>
                <w:sz w:val="19"/>
              </w:rPr>
              <w:t>MH</w:t>
            </w:r>
          </w:p>
        </w:tc>
        <w:tc>
          <w:tcPr>
            <w:tcW w:type="dxa" w:w="1361"/>
          </w:tcPr>
          <w:p>
            <w:pPr>
              <w:spacing w:after="40"/>
            </w:pPr>
            <w:r>
              <w:rPr>
                <w:sz w:val="19"/>
              </w:rPr>
              <w:t>4.5314</w:t>
            </w:r>
          </w:p>
        </w:tc>
        <w:tc>
          <w:tcPr>
            <w:tcW w:type="dxa" w:w="1474"/>
          </w:tcPr>
          <w:p>
            <w:pPr>
              <w:spacing w:after="40"/>
            </w:pPr>
            <w:r>
              <w:rPr>
                <w:sz w:val="19"/>
              </w:rPr>
              <w:t>4</w:t>
            </w:r>
          </w:p>
        </w:tc>
        <w:tc>
          <w:tcPr>
            <w:tcW w:type="dxa" w:w="1474"/>
          </w:tcPr>
          <w:p>
            <w:pPr>
              <w:spacing w:after="40"/>
            </w:pPr>
            <w:r>
              <w:rPr>
                <w:sz w:val="19"/>
              </w:rPr>
              <w:t>11</w:t>
            </w:r>
          </w:p>
        </w:tc>
        <w:tc>
          <w:tcPr>
            <w:tcW w:type="dxa" w:w="1474"/>
          </w:tcPr>
          <w:p>
            <w:pPr>
              <w:spacing w:after="40"/>
            </w:pPr>
            <w:r>
              <w:rPr>
                <w:sz w:val="19"/>
              </w:rPr>
              <w:t>no</w:t>
            </w:r>
          </w:p>
        </w:tc>
      </w:tr>
      <w:tr>
        <w:tc>
          <w:tcPr>
            <w:tcW w:type="dxa" w:w="2608"/>
          </w:tcPr>
          <w:p>
            <w:pPr>
              <w:spacing w:after="40"/>
            </w:pPr>
            <w:r>
              <w:rPr>
                <w:sz w:val="19"/>
              </w:rPr>
              <w:t>Adaptive MH (naive)</w:t>
            </w:r>
          </w:p>
        </w:tc>
        <w:tc>
          <w:tcPr>
            <w:tcW w:type="dxa" w:w="1361"/>
          </w:tcPr>
          <w:p>
            <w:pPr>
              <w:spacing w:after="40"/>
            </w:pPr>
            <w:r>
              <w:rPr>
                <w:sz w:val="19"/>
              </w:rPr>
              <w:t>3.4831</w:t>
            </w:r>
          </w:p>
        </w:tc>
        <w:tc>
          <w:tcPr>
            <w:tcW w:type="dxa" w:w="1474"/>
          </w:tcPr>
          <w:p>
            <w:pPr>
              <w:spacing w:after="40"/>
            </w:pPr>
            <w:r>
              <w:rPr>
                <w:sz w:val="19"/>
              </w:rPr>
              <w:t>4</w:t>
            </w:r>
          </w:p>
        </w:tc>
        <w:tc>
          <w:tcPr>
            <w:tcW w:type="dxa" w:w="1474"/>
          </w:tcPr>
          <w:p>
            <w:pPr>
              <w:spacing w:after="40"/>
            </w:pPr>
            <w:r>
              <w:rPr>
                <w:sz w:val="19"/>
              </w:rPr>
              <w:t>10</w:t>
            </w:r>
          </w:p>
        </w:tc>
        <w:tc>
          <w:tcPr>
            <w:tcW w:type="dxa" w:w="1474"/>
          </w:tcPr>
          <w:p>
            <w:pPr>
              <w:spacing w:after="40"/>
            </w:pPr>
            <w:r>
              <w:rPr>
                <w:sz w:val="19"/>
              </w:rPr>
              <w:t>no</w:t>
            </w:r>
          </w:p>
        </w:tc>
      </w:tr>
      <w:tr>
        <w:tc>
          <w:tcPr>
            <w:tcW w:type="dxa" w:w="2608"/>
          </w:tcPr>
          <w:p>
            <w:pPr>
              <w:spacing w:after="40"/>
            </w:pPr>
            <w:r>
              <w:rPr>
                <w:sz w:val="19"/>
              </w:rPr>
              <w:t>Preconditioned MH</w:t>
            </w:r>
          </w:p>
        </w:tc>
        <w:tc>
          <w:tcPr>
            <w:tcW w:type="dxa" w:w="1361"/>
          </w:tcPr>
          <w:p>
            <w:pPr>
              <w:spacing w:after="40"/>
            </w:pPr>
            <w:r>
              <w:rPr>
                <w:sz w:val="19"/>
              </w:rPr>
              <w:t>1.0109</w:t>
            </w:r>
          </w:p>
        </w:tc>
        <w:tc>
          <w:tcPr>
            <w:tcW w:type="dxa" w:w="1474"/>
          </w:tcPr>
          <w:p>
            <w:pPr>
              <w:spacing w:after="40"/>
            </w:pPr>
            <w:r>
              <w:rPr>
                <w:sz w:val="19"/>
              </w:rPr>
              <w:t>599</w:t>
            </w:r>
          </w:p>
        </w:tc>
        <w:tc>
          <w:tcPr>
            <w:tcW w:type="dxa" w:w="1474"/>
          </w:tcPr>
          <w:p>
            <w:pPr>
              <w:spacing w:after="40"/>
            </w:pPr>
            <w:r>
              <w:rPr>
                <w:sz w:val="19"/>
              </w:rPr>
              <w:t>1059</w:t>
            </w:r>
          </w:p>
        </w:tc>
        <w:tc>
          <w:tcPr>
            <w:tcW w:type="dxa" w:w="1474"/>
          </w:tcPr>
          <w:p>
            <w:pPr>
              <w:spacing w:after="40"/>
            </w:pPr>
            <w:r>
              <w:rPr>
                <w:sz w:val="19"/>
              </w:rPr>
              <w:t>no</w:t>
            </w:r>
          </w:p>
        </w:tc>
      </w:tr>
      <w:tr>
        <w:tc>
          <w:tcPr>
            <w:tcW w:type="dxa" w:w="2608"/>
          </w:tcPr>
          <w:p>
            <w:pPr>
              <w:spacing w:after="40"/>
            </w:pPr>
            <w:r>
              <w:rPr>
                <w:sz w:val="19"/>
              </w:rPr>
              <w:t>Gibbs</w:t>
            </w:r>
          </w:p>
        </w:tc>
        <w:tc>
          <w:tcPr>
            <w:tcW w:type="dxa" w:w="1361"/>
          </w:tcPr>
          <w:p>
            <w:pPr>
              <w:spacing w:after="40"/>
            </w:pPr>
            <w:r>
              <w:rPr>
                <w:sz w:val="19"/>
              </w:rPr>
              <w:t>1.0001</w:t>
            </w:r>
          </w:p>
        </w:tc>
        <w:tc>
          <w:tcPr>
            <w:tcW w:type="dxa" w:w="1474"/>
          </w:tcPr>
          <w:p>
            <w:pPr>
              <w:spacing w:after="40"/>
            </w:pPr>
            <w:r>
              <w:rPr>
                <w:sz w:val="19"/>
              </w:rPr>
              <w:t>39068</w:t>
            </w:r>
          </w:p>
        </w:tc>
        <w:tc>
          <w:tcPr>
            <w:tcW w:type="dxa" w:w="1474"/>
          </w:tcPr>
          <w:p>
            <w:pPr>
              <w:spacing w:after="40"/>
            </w:pPr>
            <w:r>
              <w:rPr>
                <w:sz w:val="19"/>
              </w:rPr>
              <w:t>37627</w:t>
            </w:r>
          </w:p>
        </w:tc>
        <w:tc>
          <w:tcPr>
            <w:tcW w:type="dxa" w:w="1474"/>
          </w:tcPr>
          <w:p>
            <w:pPr>
              <w:spacing w:after="40"/>
            </w:pPr>
            <w:r>
              <w:rPr>
                <w:sz w:val="19"/>
              </w:rPr>
              <w:t>yes</w:t>
            </w:r>
          </w:p>
        </w:tc>
      </w:tr>
      <w:tr>
        <w:tc>
          <w:tcPr>
            <w:tcW w:type="dxa" w:w="2608"/>
          </w:tcPr>
          <w:p>
            <w:pPr>
              <w:spacing w:after="40"/>
            </w:pPr>
            <w:r>
              <w:rPr>
                <w:sz w:val="19"/>
              </w:rPr>
              <w:t>HMC</w:t>
            </w:r>
          </w:p>
        </w:tc>
        <w:tc>
          <w:tcPr>
            <w:tcW w:type="dxa" w:w="1361"/>
          </w:tcPr>
          <w:p>
            <w:pPr>
              <w:spacing w:after="40"/>
            </w:pPr>
            <w:r>
              <w:rPr>
                <w:sz w:val="19"/>
              </w:rPr>
              <w:t>1.0008</w:t>
            </w:r>
          </w:p>
        </w:tc>
        <w:tc>
          <w:tcPr>
            <w:tcW w:type="dxa" w:w="1474"/>
          </w:tcPr>
          <w:p>
            <w:pPr>
              <w:spacing w:after="40"/>
            </w:pPr>
            <w:r>
              <w:rPr>
                <w:sz w:val="19"/>
              </w:rPr>
              <w:t>3670</w:t>
            </w:r>
          </w:p>
        </w:tc>
        <w:tc>
          <w:tcPr>
            <w:tcW w:type="dxa" w:w="1474"/>
          </w:tcPr>
          <w:p>
            <w:pPr>
              <w:spacing w:after="40"/>
            </w:pPr>
            <w:r>
              <w:rPr>
                <w:sz w:val="19"/>
              </w:rPr>
              <w:t>8209</w:t>
            </w:r>
          </w:p>
        </w:tc>
        <w:tc>
          <w:tcPr>
            <w:tcW w:type="dxa" w:w="1474"/>
          </w:tcPr>
          <w:p>
            <w:pPr>
              <w:spacing w:after="40"/>
            </w:pPr>
            <w:r>
              <w:rPr>
                <w:sz w:val="19"/>
              </w:rPr>
              <w:t>yes</w:t>
            </w:r>
          </w:p>
        </w:tc>
      </w:tr>
    </w:tbl>
    <w:p>
      <w:pPr>
        <w:keepNext w:val="0"/>
        <w:spacing w:after="160"/>
      </w:pPr>
      <w:r>
        <w:rPr>
          <w:b w:val="0"/>
          <w:i w:val="0"/>
          <w:sz w:val="22"/>
        </w:rPr>
      </w:r>
    </w:p>
    <w:p>
      <w:pPr>
        <w:keepNext w:val="0"/>
        <w:spacing w:after="120"/>
      </w:pPr>
      <w:r>
        <w:rPr>
          <w:b w:val="0"/>
          <w:i w:val="0"/>
          <w:sz w:val="22"/>
        </w:rPr>
        <w:t>Two samplers meet the criterion at the standard run length and three do not. Plain Metropolis reaches R-hat 4.53 and adaptive Metropolis 3.48, both far above the threshold, with bulk ESS in single figures out of 40,000 draws. Neither has converged, and no quantity derived from them, whether a posterior mean, an efficiency figure or a predictive score, can be interpreted as an estimate of the target.</w:t>
      </w:r>
    </w:p>
    <w:p>
      <w:pPr>
        <w:keepNext w:val="0"/>
        <w:spacing w:after="120"/>
      </w:pPr>
      <w:r>
        <w:rPr>
          <w:b w:val="0"/>
          <w:i w:val="0"/>
          <w:sz w:val="22"/>
        </w:rPr>
        <w:t>Preconditioned Metropolis does not converge at 10,000 draws per chain, with R-hat 1.0109 exceeding the 1.01 threshold. Monitoring all 12 parameters exposed a coordinate that was not visible in a smaller diagnostic set. Extending to 40,000 draws per chain gives R-hat 1.0033 and bulk ESS 2117, which does converge, confirming that the standard run length was insufficient rather than the method itself failing.</w:t>
      </w:r>
    </w:p>
    <w:p>
      <w:pPr>
        <w:keepNext/>
        <w:spacing w:after="40"/>
        <w:jc w:val="center"/>
      </w:pPr>
      <w:r>
        <w:drawing>
          <wp:inline xmlns:a="http://schemas.openxmlformats.org/drawingml/2006/main" xmlns:pic="http://schemas.openxmlformats.org/drawingml/2006/picture">
            <wp:extent cx="5577840" cy="1899988"/>
            <wp:docPr id="2" name="Picture 2" descr="Two bar charts. The left shows R-hat by sampler against a threshold of 1.01, with Metropolis and adaptive Metropolis far above it. The right shows bulk effective sample size, with Gibbs and Hamiltonian Monte Carlo orders of magnitude above the others." title="Two bar charts. The left shows R-hat by sampler against a threshold of 1.01, wit"/>
            <wp:cNvGraphicFramePr>
              <a:graphicFrameLocks noChangeAspect="1"/>
            </wp:cNvGraphicFramePr>
            <a:graphic>
              <a:graphicData uri="http://schemas.openxmlformats.org/drawingml/2006/picture">
                <pic:pic>
                  <pic:nvPicPr>
                    <pic:cNvPr id="0" name="fig_convergence.png"/>
                    <pic:cNvPicPr/>
                  </pic:nvPicPr>
                  <pic:blipFill>
                    <a:blip r:embed="rId10"/>
                    <a:stretch>
                      <a:fillRect/>
                    </a:stretch>
                  </pic:blipFill>
                  <pic:spPr>
                    <a:xfrm>
                      <a:off x="0" y="0"/>
                      <a:ext cx="5577840" cy="1899988"/>
                    </a:xfrm>
                    <a:prstGeom prst="rect"/>
                  </pic:spPr>
                </pic:pic>
              </a:graphicData>
            </a:graphic>
          </wp:inline>
        </w:drawing>
      </w:r>
    </w:p>
    <w:p>
      <w:pPr>
        <w:spacing w:after="240"/>
        <w:jc w:val="center"/>
      </w:pPr>
      <w:r>
        <w:rPr>
          <w:i/>
          <w:sz w:val="19"/>
        </w:rPr>
        <w:t>Figure 2. Worst-case R-hat and minimum bulk ESS for each sampler, both on logarithmic scales, with dashed lines marking the thresholds. Error bars on the ESS panel span the standard deviation across 3 independent repeats.</w:t>
      </w:r>
    </w:p>
    <w:p>
      <w:pPr>
        <w:keepNext w:val="0"/>
        <w:spacing w:after="120"/>
      </w:pPr>
      <w:r>
        <w:rPr>
          <w:b w:val="0"/>
          <w:i w:val="0"/>
          <w:sz w:val="22"/>
        </w:rPr>
        <w:t>The consequences are visible in the estimates themselves. Compared with the deterministic quadrature reference of Section 5.5, the converged samplers agree to within 0.0010, while plain Metropolis is wrong by 1.36 and adaptive Metropolis by 1.44. For scale, the widest direction of the posterior has standard deviation 0.0499, so both errors exceed the entire spread of the posterior.</w:t>
      </w:r>
    </w:p>
    <w:p>
      <w:pPr>
        <w:keepNext/>
        <w:spacing w:after="40"/>
        <w:jc w:val="center"/>
      </w:pPr>
      <w:r>
        <w:drawing>
          <wp:inline xmlns:a="http://schemas.openxmlformats.org/drawingml/2006/main" xmlns:pic="http://schemas.openxmlformats.org/drawingml/2006/picture">
            <wp:extent cx="5577840" cy="3330129"/>
            <wp:docPr id="3" name="Picture 3" descr="Four overlaid histogram panels comparing posterior distributions from five samplers, showing close agreement among three of them and visible displacement of the other two." title="Four overlaid histogram panels comparing posterior distributions from five sampl"/>
            <wp:cNvGraphicFramePr>
              <a:graphicFrameLocks noChangeAspect="1"/>
            </wp:cNvGraphicFramePr>
            <a:graphic>
              <a:graphicData uri="http://schemas.openxmlformats.org/drawingml/2006/picture">
                <pic:pic>
                  <pic:nvPicPr>
                    <pic:cNvPr id="0" name="fig_posteriors.png"/>
                    <pic:cNvPicPr/>
                  </pic:nvPicPr>
                  <pic:blipFill>
                    <a:blip r:embed="rId11"/>
                    <a:stretch>
                      <a:fillRect/>
                    </a:stretch>
                  </pic:blipFill>
                  <pic:spPr>
                    <a:xfrm>
                      <a:off x="0" y="0"/>
                      <a:ext cx="5577840" cy="3330129"/>
                    </a:xfrm>
                    <a:prstGeom prst="rect"/>
                  </pic:spPr>
                </pic:pic>
              </a:graphicData>
            </a:graphic>
          </wp:inline>
        </w:drawing>
      </w:r>
    </w:p>
    <w:p>
      <w:pPr>
        <w:spacing w:after="240"/>
        <w:jc w:val="center"/>
      </w:pPr>
      <w:r>
        <w:rPr>
          <w:i/>
          <w:sz w:val="19"/>
        </w:rPr>
        <w:t>Figure 3. Posterior distributions by sampler for three coefficients and the noise variance. The converged samplers produce indistinguishable densities; the two that did not converge are displaced and too narrow.</w:t>
      </w:r>
    </w:p>
    <w:p>
      <w:pPr>
        <w:pStyle w:val="Heading2"/>
        <w:keepNext/>
      </w:pPr>
      <w:r>
        <w:t>5.3 Why Metropolis Fails, and What Repairs It</w:t>
      </w:r>
    </w:p>
    <w:p>
      <w:pPr>
        <w:keepNext w:val="0"/>
        <w:spacing w:after="120"/>
      </w:pPr>
      <w:r>
        <w:rPr>
          <w:b w:val="0"/>
          <w:i w:val="0"/>
          <w:sz w:val="22"/>
        </w:rPr>
        <w:t>The failure of plain Metropolis follows from the geometry of Section 5.1 rather than from random-walk behaviour in the abstract. Two repairs were attempted and only one worked.</w:t>
      </w:r>
    </w:p>
    <w:p>
      <w:pPr>
        <w:keepNext w:val="0"/>
        <w:spacing w:after="120"/>
      </w:pPr>
      <w:r>
        <w:rPr>
          <w:b w:val="0"/>
          <w:i w:val="0"/>
          <w:sz w:val="22"/>
        </w:rPr>
        <w:t>Estimating the proposal covariance from the chain's own history, the textbook adaptive recipe, made matters worse: acceptance collapsed to 1.1% and R-hat rose to 3.48. The reason is a bootstrap problem. Adaptation needs the chain to have explored enough to estimate its own covariance, but the unpreconditioned chain has an integrated autocorrelation time of the order of the run length, so across 2,000 burn-in iterations it supplies only a handful of effectively independent points from which to estimate a 12-dimensional covariance. What the estimate captures instead is the transient drift from the dispersed start toward the mode, whose spread along the direction of travel is much larger than the posterior; scaling that by 2.38^2/d produces proposals so large that almost everything is rejected.</w:t>
      </w:r>
    </w:p>
    <w:p>
      <w:pPr>
        <w:keepNext w:val="0"/>
        <w:spacing w:after="120"/>
      </w:pPr>
      <w:r>
        <w:rPr>
          <w:b w:val="0"/>
          <w:i w:val="0"/>
          <w:sz w:val="22"/>
        </w:rPr>
        <w:t>This should be read as a statement about this configuration, not about adaptive Metropolis in general. The method is standard and effective in many settings [5]. What this experiment shows is that it cannot bootstrap itself when the initial proposal mixes too slowly relative to the burn-in budget; a longer adaptation phase, or a better initial proposal, would be expected to rescue it.</w:t>
      </w:r>
    </w:p>
    <w:p>
      <w:pPr>
        <w:keepNext w:val="0"/>
        <w:spacing w:after="120"/>
      </w:pPr>
      <w:r>
        <w:rPr>
          <w:b w:val="0"/>
          <w:i w:val="0"/>
          <w:sz w:val="22"/>
        </w:rPr>
        <w:t>Taking the metric from outside the chain does work. Preconditioning with the observed Fisher information brings acceptance to 24.6%, against the theoretical optimum of 23.4 percent, and raises bulk ESS from 4.2 to 599, a factor of 142, for essentially no additional cost per iteration (7.7 seconds against 6.9 for the full multi-chain run).</w:t>
      </w:r>
    </w:p>
    <w:p>
      <w:pPr>
        <w:keepNext w:val="0"/>
        <w:spacing w:after="120"/>
      </w:pPr>
      <w:r>
        <w:rPr>
          <w:b w:val="0"/>
          <w:i w:val="0"/>
          <w:sz w:val="22"/>
        </w:rPr>
        <w:t>The gain should not be overstated. At 599 effective draws out of 40,000, preconditioned Metropolis remains an order of magnitude behind Gibbs and HMC. Matching the metric to the posterior removes the penalty for anisotropy; it does not remove the random walk.</w:t>
      </w:r>
    </w:p>
    <w:p>
      <w:pPr>
        <w:keepNext/>
        <w:spacing w:after="40"/>
        <w:jc w:val="center"/>
      </w:pPr>
      <w:r>
        <w:drawing>
          <wp:inline xmlns:a="http://schemas.openxmlformats.org/drawingml/2006/main" xmlns:pic="http://schemas.openxmlformats.org/drawingml/2006/picture">
            <wp:extent cx="5577840" cy="1650236"/>
            <wp:docPr id="4" name="Picture 4" descr="Three panels: a correlation heat map, a bar chart comparing effective sample size before and after preconditioning, and autocorrelation curves showing much faster decay after preconditioning." title="Three panels: a correlation heat map, a bar chart comparing effective sample siz"/>
            <wp:cNvGraphicFramePr>
              <a:graphicFrameLocks noChangeAspect="1"/>
            </wp:cNvGraphicFramePr>
            <a:graphic>
              <a:graphicData uri="http://schemas.openxmlformats.org/drawingml/2006/picture">
                <pic:pic>
                  <pic:nvPicPr>
                    <pic:cNvPr id="0" name="fig_preconditioning.png"/>
                    <pic:cNvPicPr/>
                  </pic:nvPicPr>
                  <pic:blipFill>
                    <a:blip r:embed="rId12"/>
                    <a:stretch>
                      <a:fillRect/>
                    </a:stretch>
                  </pic:blipFill>
                  <pic:spPr>
                    <a:xfrm>
                      <a:off x="0" y="0"/>
                      <a:ext cx="5577840" cy="1650236"/>
                    </a:xfrm>
                    <a:prstGeom prst="rect"/>
                  </pic:spPr>
                </pic:pic>
              </a:graphicData>
            </a:graphic>
          </wp:inline>
        </w:drawing>
      </w:r>
    </w:p>
    <w:p>
      <w:pPr>
        <w:spacing w:after="240"/>
        <w:jc w:val="center"/>
      </w:pPr>
      <w:r>
        <w:rPr>
          <w:i/>
          <w:sz w:val="19"/>
        </w:rPr>
        <w:t>Figure 4. Left: posterior correlation between coefficients, showing the block of correlated lag and rolling features. Centre: bulk ESS before and after preconditioning, on a logarithmic scale. Right: autocorrelation of the intercept.</w:t>
      </w:r>
    </w:p>
    <w:p>
      <w:pPr>
        <w:pStyle w:val="Heading2"/>
        <w:keepNext/>
      </w:pPr>
      <w:r>
        <w:t>5.4 Efficiency</w:t>
      </w:r>
    </w:p>
    <w:p>
      <w:pPr>
        <w:keepNext/>
        <w:spacing w:after="60"/>
      </w:pPr>
      <w:r>
        <w:rPr>
          <w:i/>
          <w:sz w:val="19"/>
        </w:rPr>
        <w:t>Table 5. Efficiency of the converged samplers. Runtime is the total for 4 chains of 10,000 draws, reported as mean and standard deviation over 3 repeats. ESS per second uses the same minimum bulk ESS and the same total runtime.</w:t>
      </w:r>
    </w:p>
    <w:tbl>
      <w:tblPr>
        <w:tblStyle w:val="LightGrid-Accent1"/>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2381"/>
          </w:tcPr>
          <w:p>
            <w:pPr>
              <w:spacing w:after="40"/>
            </w:pPr>
            <w:r>
              <w:rPr>
                <w:b/>
                <w:sz w:val="19"/>
              </w:rPr>
              <w:t>Sampler</w:t>
            </w:r>
          </w:p>
        </w:tc>
        <w:tc>
          <w:tcPr>
            <w:tcW w:type="dxa" w:w="1361"/>
          </w:tcPr>
          <w:p>
            <w:pPr>
              <w:spacing w:after="40"/>
            </w:pPr>
            <w:r>
              <w:rPr>
                <w:b/>
                <w:sz w:val="19"/>
              </w:rPr>
              <w:t>Acceptance</w:t>
            </w:r>
          </w:p>
        </w:tc>
        <w:tc>
          <w:tcPr>
            <w:tcW w:type="dxa" w:w="1247"/>
          </w:tcPr>
          <w:p>
            <w:pPr>
              <w:spacing w:after="40"/>
            </w:pPr>
            <w:r>
              <w:rPr>
                <w:b/>
                <w:sz w:val="19"/>
              </w:rPr>
              <w:t>Bulk ESS</w:t>
            </w:r>
          </w:p>
        </w:tc>
        <w:tc>
          <w:tcPr>
            <w:tcW w:type="dxa" w:w="1587"/>
          </w:tcPr>
          <w:p>
            <w:pPr>
              <w:spacing w:after="40"/>
            </w:pPr>
            <w:r>
              <w:rPr>
                <w:b/>
                <w:sz w:val="19"/>
              </w:rPr>
              <w:t>Runtime (s)</w:t>
            </w:r>
          </w:p>
        </w:tc>
        <w:tc>
          <w:tcPr>
            <w:tcW w:type="dxa" w:w="1361"/>
          </w:tcPr>
          <w:p>
            <w:pPr>
              <w:spacing w:after="40"/>
            </w:pPr>
            <w:r>
              <w:rPr>
                <w:b/>
                <w:sz w:val="19"/>
              </w:rPr>
              <w:t>Bulk ESS/s</w:t>
            </w:r>
          </w:p>
        </w:tc>
        <w:tc>
          <w:tcPr>
            <w:tcW w:type="dxa" w:w="1587"/>
          </w:tcPr>
          <w:p>
            <w:pPr>
              <w:spacing w:after="40"/>
            </w:pPr>
            <w:r>
              <w:rPr>
                <w:b/>
                <w:sz w:val="19"/>
              </w:rPr>
              <w:t>MCSE (intercept)</w:t>
            </w:r>
          </w:p>
        </w:tc>
      </w:tr>
      <w:tr>
        <w:tc>
          <w:tcPr>
            <w:tcW w:type="dxa" w:w="2381"/>
          </w:tcPr>
          <w:p>
            <w:pPr>
              <w:spacing w:after="40"/>
            </w:pPr>
            <w:r>
              <w:rPr>
                <w:sz w:val="19"/>
              </w:rPr>
              <w:t>Gibbs</w:t>
            </w:r>
          </w:p>
        </w:tc>
        <w:tc>
          <w:tcPr>
            <w:tcW w:type="dxa" w:w="1361"/>
          </w:tcPr>
          <w:p>
            <w:pPr>
              <w:spacing w:after="40"/>
            </w:pPr>
            <w:r>
              <w:rPr>
                <w:sz w:val="19"/>
              </w:rPr>
              <w:t>N/A</w:t>
            </w:r>
          </w:p>
        </w:tc>
        <w:tc>
          <w:tcPr>
            <w:tcW w:type="dxa" w:w="1247"/>
          </w:tcPr>
          <w:p>
            <w:pPr>
              <w:spacing w:after="40"/>
            </w:pPr>
            <w:r>
              <w:rPr>
                <w:sz w:val="19"/>
              </w:rPr>
              <w:t>39068</w:t>
            </w:r>
          </w:p>
        </w:tc>
        <w:tc>
          <w:tcPr>
            <w:tcW w:type="dxa" w:w="1587"/>
          </w:tcPr>
          <w:p>
            <w:pPr>
              <w:spacing w:after="40"/>
            </w:pPr>
            <w:r>
              <w:rPr>
                <w:sz w:val="19"/>
              </w:rPr>
              <w:t>21.3 +/- 1.5</w:t>
            </w:r>
          </w:p>
        </w:tc>
        <w:tc>
          <w:tcPr>
            <w:tcW w:type="dxa" w:w="1361"/>
          </w:tcPr>
          <w:p>
            <w:pPr>
              <w:spacing w:after="40"/>
            </w:pPr>
            <w:r>
              <w:rPr>
                <w:sz w:val="19"/>
              </w:rPr>
              <w:t>1923</w:t>
            </w:r>
          </w:p>
        </w:tc>
        <w:tc>
          <w:tcPr>
            <w:tcW w:type="dxa" w:w="1587"/>
          </w:tcPr>
          <w:p>
            <w:pPr>
              <w:spacing w:after="40"/>
            </w:pPr>
            <w:r>
              <w:rPr>
                <w:sz w:val="19"/>
              </w:rPr>
              <w:t>3.19e-05</w:t>
            </w:r>
          </w:p>
        </w:tc>
      </w:tr>
      <w:tr>
        <w:tc>
          <w:tcPr>
            <w:tcW w:type="dxa" w:w="2381"/>
          </w:tcPr>
          <w:p>
            <w:pPr>
              <w:spacing w:after="40"/>
            </w:pPr>
            <w:r>
              <w:rPr>
                <w:sz w:val="19"/>
              </w:rPr>
              <w:t>HMC</w:t>
            </w:r>
          </w:p>
        </w:tc>
        <w:tc>
          <w:tcPr>
            <w:tcW w:type="dxa" w:w="1361"/>
          </w:tcPr>
          <w:p>
            <w:pPr>
              <w:spacing w:after="40"/>
            </w:pPr>
            <w:r>
              <w:rPr>
                <w:sz w:val="19"/>
              </w:rPr>
              <w:t>95.1%</w:t>
            </w:r>
          </w:p>
        </w:tc>
        <w:tc>
          <w:tcPr>
            <w:tcW w:type="dxa" w:w="1247"/>
          </w:tcPr>
          <w:p>
            <w:pPr>
              <w:spacing w:after="40"/>
            </w:pPr>
            <w:r>
              <w:rPr>
                <w:sz w:val="19"/>
              </w:rPr>
              <w:t>3670</w:t>
            </w:r>
          </w:p>
        </w:tc>
        <w:tc>
          <w:tcPr>
            <w:tcW w:type="dxa" w:w="1587"/>
          </w:tcPr>
          <w:p>
            <w:pPr>
              <w:spacing w:after="40"/>
            </w:pPr>
            <w:r>
              <w:rPr>
                <w:sz w:val="19"/>
              </w:rPr>
              <w:t>85.3 +/- 3.3</w:t>
            </w:r>
          </w:p>
        </w:tc>
        <w:tc>
          <w:tcPr>
            <w:tcW w:type="dxa" w:w="1361"/>
          </w:tcPr>
          <w:p>
            <w:pPr>
              <w:spacing w:after="40"/>
            </w:pPr>
            <w:r>
              <w:rPr>
                <w:sz w:val="19"/>
              </w:rPr>
              <w:t>43</w:t>
            </w:r>
          </w:p>
        </w:tc>
        <w:tc>
          <w:tcPr>
            <w:tcW w:type="dxa" w:w="1587"/>
          </w:tcPr>
          <w:p>
            <w:pPr>
              <w:spacing w:after="40"/>
            </w:pPr>
            <w:r>
              <w:rPr>
                <w:sz w:val="19"/>
              </w:rPr>
              <w:t>3.40e-05</w:t>
            </w:r>
          </w:p>
        </w:tc>
      </w:tr>
    </w:tbl>
    <w:p>
      <w:pPr>
        <w:keepNext w:val="0"/>
        <w:spacing w:after="160"/>
      </w:pPr>
      <w:r>
        <w:rPr>
          <w:b w:val="0"/>
          <w:i w:val="0"/>
          <w:sz w:val="22"/>
        </w:rPr>
      </w:r>
    </w:p>
    <w:p>
      <w:pPr>
        <w:keepNext w:val="0"/>
        <w:spacing w:after="120"/>
      </w:pPr>
      <w:r>
        <w:rPr>
          <w:b w:val="0"/>
          <w:i w:val="0"/>
          <w:sz w:val="22"/>
        </w:rPr>
        <w:t>Only the converged samplers are ranked. Including Metropolis or adaptive Metropolis in an efficiency table would invite a false comparison, because an ESS per second computed from a chain that is sampling the wrong distribution measures the rate at which it produces unusable draws. Their diagnostics appear in Table 3 and their runtimes in the accompanying results file, but they are excluded from every ranking in this section and from the predictive comparison in Section 6.</w:t>
      </w:r>
    </w:p>
    <w:p>
      <w:pPr>
        <w:keepNext w:val="0"/>
        <w:spacing w:after="120"/>
      </w:pPr>
      <w:r>
        <w:rPr>
          <w:b w:val="0"/>
          <w:i w:val="0"/>
          <w:sz w:val="22"/>
        </w:rPr>
        <w:t>The ranking by bulk ESS per second is Gibbs (1923), HMC (43). Gibbs leads because each draw is exact and cheap and because its ESS per draw is close to one; HMC produces nearly uncorrelated draws but pays for 15 gradient evaluations per iteration. The Monte Carlo standard errors tell the same story in the units that matter for reporting a posterior mean.</w:t>
      </w:r>
    </w:p>
    <w:p>
      <w:pPr>
        <w:pStyle w:val="Heading2"/>
        <w:keepNext/>
      </w:pPr>
      <w:r>
        <w:t>5.5 Validation Against Independent References</w:t>
      </w:r>
    </w:p>
    <w:p>
      <w:pPr>
        <w:keepNext w:val="0"/>
        <w:spacing w:after="120"/>
      </w:pPr>
      <w:r>
        <w:rPr>
          <w:b w:val="0"/>
          <w:i w:val="0"/>
          <w:sz w:val="22"/>
        </w:rPr>
        <w:t>Agreement among our own samplers is reassuring but limited, because all of them were written by the same authors from the same equations. Two independent references are therefore used, and they check different things.</w:t>
      </w:r>
    </w:p>
    <w:p>
      <w:pPr>
        <w:keepNext w:val="0"/>
        <w:spacing w:after="120"/>
      </w:pPr>
      <w:r>
        <w:rPr>
          <w:b/>
          <w:i w:val="0"/>
          <w:sz w:val="22"/>
        </w:rPr>
        <w:t>An analytical reference.</w:t>
      </w:r>
    </w:p>
    <w:p>
      <w:pPr>
        <w:keepNext w:val="0"/>
        <w:spacing w:after="120"/>
      </w:pPr>
      <w:r>
        <w:rPr>
          <w:b w:val="0"/>
          <w:i w:val="0"/>
          <w:sz w:val="22"/>
        </w:rPr>
        <w:t>Although the joint posterior has no standard closed form, beta can be integrated out analytically: marginally, y | sigma^2 ~ N(0, sigma^2 I + tau^2 X X'), whose log density is evaluated with Sylvester's determinant identity and the Woodbury identity. The remaining one-dimensional density over sigma^2 is then integrated on a grid of 6,000 points, and the posterior mean of beta recovered as the corresponding mixture of conditional means. This reference involves no sampling whatsoever, so it validates the transcription of the likelihood and the priors, not merely our sampling of them. Gibbs reproduces it to within 0.00014 and the reference posterior mean of sigma^2 is 0.12273.</w:t>
      </w:r>
    </w:p>
    <w:p>
      <w:pPr>
        <w:keepNext w:val="0"/>
        <w:spacing w:after="120"/>
      </w:pPr>
      <w:r>
        <w:rPr>
          <w:b/>
          <w:i w:val="0"/>
          <w:sz w:val="22"/>
        </w:rPr>
        <w:t>An external sampler.</w:t>
      </w:r>
    </w:p>
    <w:p>
      <w:pPr>
        <w:keepNext w:val="0"/>
        <w:spacing w:after="120"/>
      </w:pPr>
      <w:r>
        <w:rPr>
          <w:b w:val="0"/>
          <w:i w:val="0"/>
          <w:sz w:val="22"/>
        </w:rPr>
        <w:t>The same posterior was also sampled with emcee 3.1.6 [14], which implements the affine-invariant ensemble algorithm of Goodman and Weare [15]. It shares nothing with our methods: no conditional structure, no gradients and no proposal covariance, and it is written by others. Running 40 walkers for 12,000 steps and discarding 4,000 produced 320,000 draws in 60.3 seconds, with worst R-hat 1.0242 and minimum bulk ESS 1669. Its posterior means agree with Gibbs to within 0.00041.</w:t>
      </w:r>
    </w:p>
    <w:p>
      <w:pPr>
        <w:keepNext w:val="0"/>
        <w:spacing w:after="120"/>
      </w:pPr>
      <w:r>
        <w:rPr>
          <w:b w:val="0"/>
          <w:i w:val="0"/>
          <w:sz w:val="22"/>
        </w:rPr>
        <w:t>The scope of this second check should be stated precisely. Agreement with emcee provides independent evidence that our custom samplers correctly target the supplied log-posterior. Because emcee evaluates the same user-defined log-posterior function, the comparison does not independently validate the transcription of the likelihood and the priors. That is the role of the analytical reference above, which is constructed from the model algebra rather than from our code path.</w:t>
      </w:r>
    </w:p>
    <w:p>
      <w:pPr>
        <w:keepNext w:val="0"/>
        <w:spacing w:after="120"/>
      </w:pPr>
      <w:r>
        <w:rPr>
          <w:b w:val="0"/>
          <w:i w:val="0"/>
          <w:sz w:val="22"/>
        </w:rPr>
        <w:t>One caveat: at R-hat 1.0242 the emcee run is itself slightly above the 1.01 threshold used for our own samplers. Ensemble samplers correlate their walkers by construction, so the split-chain diagnostic is conservative when applied to them, but the agreement it supports is correspondingly approximate and is quoted here to four decimal places rather than more.</w:t>
      </w:r>
    </w:p>
    <w:p>
      <w:pPr>
        <w:keepNext w:val="0"/>
        <w:spacing w:after="120"/>
      </w:pPr>
      <w:r>
        <w:rPr>
          <w:b w:val="0"/>
          <w:i w:val="0"/>
          <w:sz w:val="22"/>
        </w:rPr>
        <w:t>The No-U-Turn Sampler was not used as a reference; no NUTS results are reported in this study.</w:t>
      </w:r>
    </w:p>
    <w:p>
      <w:pPr>
        <w:pStyle w:val="Heading2"/>
        <w:keepNext/>
      </w:pPr>
      <w:r>
        <w:t>5.6 Sensitivity to Tuning Parameters</w:t>
      </w:r>
    </w:p>
    <w:p>
      <w:pPr>
        <w:keepNext w:val="0"/>
        <w:spacing w:after="120"/>
      </w:pPr>
      <w:r>
        <w:rPr>
          <w:b w:val="0"/>
          <w:i w:val="0"/>
          <w:sz w:val="22"/>
        </w:rPr>
        <w:t>Metropolis and HMC both require tuning; the Gibbs samplers do not. For HMC the step size epsilon and the number of leapfrog steps L are varied jointly, because they trade off against one another and neither is interpretable alone. Efficiency is reported as bulk ESS per gradient evaluation, which is the natural currency for a gradient method, alongside acceptance rate and R-hat.</w:t>
      </w:r>
    </w:p>
    <w:p>
      <w:pPr>
        <w:keepNext w:val="0"/>
        <w:spacing w:after="120"/>
      </w:pPr>
      <w:r>
        <w:rPr>
          <w:b w:val="0"/>
          <w:i w:val="0"/>
          <w:sz w:val="22"/>
        </w:rPr>
        <w:t>The grid runs differ from the main experiment in one respect that should be stated. They are warm started at the least-squares fit with small random perturbations, rather than from the overdispersed points used in Section 5.2. Short runs from dispersed starts would spend most of their length travelling to the posterior, so the resulting diagnostics would measure burn-in rather than the effect of the tuning parameters, which is what the grid is meant to isolate. The cost of that choice is that split R-hat is a weaker guarantee here than in Table 4, because chains that begin close together can agree without having explored the posterior. The grid should therefore be read as ranking configurations against one another, not as certifying any of them as converged.</w:t>
      </w:r>
    </w:p>
    <w:p>
      <w:pPr>
        <w:keepNext/>
        <w:spacing w:after="60"/>
      </w:pPr>
      <w:r>
        <w:rPr>
          <w:i/>
          <w:sz w:val="19"/>
        </w:rPr>
        <w:t>Table 6. HMC sensitivity to step size and trajectory length. Cells that did not converge are marked; their ESS values are not interpretable and are shown only for completeness.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134"/>
          </w:tcPr>
          <w:p>
            <w:pPr>
              <w:spacing w:after="40"/>
            </w:pPr>
            <w:r>
              <w:rPr>
                <w:b/>
                <w:sz w:val="19"/>
              </w:rPr>
              <w:t>epsilon</w:t>
            </w:r>
          </w:p>
        </w:tc>
        <w:tc>
          <w:tcPr>
            <w:tcW w:type="dxa" w:w="794"/>
          </w:tcPr>
          <w:p>
            <w:pPr>
              <w:spacing w:after="40"/>
            </w:pPr>
            <w:r>
              <w:rPr>
                <w:b/>
                <w:sz w:val="19"/>
              </w:rPr>
              <w:t>L</w:t>
            </w:r>
          </w:p>
        </w:tc>
        <w:tc>
          <w:tcPr>
            <w:tcW w:type="dxa" w:w="1361"/>
          </w:tcPr>
          <w:p>
            <w:pPr>
              <w:spacing w:after="40"/>
            </w:pPr>
            <w:r>
              <w:rPr>
                <w:b/>
                <w:sz w:val="19"/>
              </w:rPr>
              <w:t>Acceptance</w:t>
            </w:r>
          </w:p>
        </w:tc>
        <w:tc>
          <w:tcPr>
            <w:tcW w:type="dxa" w:w="1247"/>
          </w:tcPr>
          <w:p>
            <w:pPr>
              <w:spacing w:after="40"/>
            </w:pPr>
            <w:r>
              <w:rPr>
                <w:b/>
                <w:sz w:val="19"/>
              </w:rPr>
              <w:t>R-hat</w:t>
            </w:r>
          </w:p>
        </w:tc>
        <w:tc>
          <w:tcPr>
            <w:tcW w:type="dxa" w:w="1247"/>
          </w:tcPr>
          <w:p>
            <w:pPr>
              <w:spacing w:after="40"/>
            </w:pPr>
            <w:r>
              <w:rPr>
                <w:b/>
                <w:sz w:val="19"/>
              </w:rPr>
              <w:t>Bulk ESS</w:t>
            </w:r>
          </w:p>
        </w:tc>
        <w:tc>
          <w:tcPr>
            <w:tcW w:type="dxa" w:w="1814"/>
          </w:tcPr>
          <w:p>
            <w:pPr>
              <w:spacing w:after="40"/>
            </w:pPr>
            <w:r>
              <w:rPr>
                <w:b/>
                <w:sz w:val="19"/>
              </w:rPr>
              <w:t>Bulk ESS/gradient</w:t>
            </w:r>
          </w:p>
        </w:tc>
        <w:tc>
          <w:tcPr>
            <w:tcW w:type="dxa" w:w="1247"/>
          </w:tcPr>
          <w:p>
            <w:pPr>
              <w:spacing w:after="40"/>
            </w:pPr>
            <w:r>
              <w:rPr>
                <w:b/>
                <w:sz w:val="19"/>
              </w:rPr>
              <w:t>Converged</w:t>
            </w:r>
          </w:p>
        </w:tc>
      </w:tr>
      <w:tr>
        <w:tc>
          <w:tcPr>
            <w:tcW w:type="dxa" w:w="1134"/>
          </w:tcPr>
          <w:p>
            <w:pPr>
              <w:spacing w:after="40"/>
            </w:pPr>
            <w:r>
              <w:rPr>
                <w:sz w:val="19"/>
              </w:rPr>
              <w:t>0.001</w:t>
            </w:r>
          </w:p>
        </w:tc>
        <w:tc>
          <w:tcPr>
            <w:tcW w:type="dxa" w:w="794"/>
          </w:tcPr>
          <w:p>
            <w:pPr>
              <w:spacing w:after="40"/>
            </w:pPr>
            <w:r>
              <w:rPr>
                <w:sz w:val="19"/>
              </w:rPr>
              <w:t>5</w:t>
            </w:r>
          </w:p>
        </w:tc>
        <w:tc>
          <w:tcPr>
            <w:tcW w:type="dxa" w:w="1361"/>
          </w:tcPr>
          <w:p>
            <w:pPr>
              <w:spacing w:after="40"/>
            </w:pPr>
            <w:r>
              <w:rPr>
                <w:sz w:val="19"/>
              </w:rPr>
              <w:t>98.8%</w:t>
            </w:r>
          </w:p>
        </w:tc>
        <w:tc>
          <w:tcPr>
            <w:tcW w:type="dxa" w:w="1247"/>
          </w:tcPr>
          <w:p>
            <w:pPr>
              <w:spacing w:after="40"/>
            </w:pPr>
            <w:r>
              <w:rPr>
                <w:sz w:val="19"/>
              </w:rPr>
              <w:t>1.1251</w:t>
            </w:r>
          </w:p>
        </w:tc>
        <w:tc>
          <w:tcPr>
            <w:tcW w:type="dxa" w:w="1247"/>
          </w:tcPr>
          <w:p>
            <w:pPr>
              <w:spacing w:after="40"/>
            </w:pPr>
            <w:r>
              <w:rPr>
                <w:sz w:val="19"/>
              </w:rPr>
              <w:t>38</w:t>
            </w:r>
          </w:p>
        </w:tc>
        <w:tc>
          <w:tcPr>
            <w:tcW w:type="dxa" w:w="1814"/>
          </w:tcPr>
          <w:p>
            <w:pPr>
              <w:spacing w:after="40"/>
            </w:pPr>
            <w:r>
              <w:rPr>
                <w:sz w:val="19"/>
              </w:rPr>
              <w:t>2.90e-04</w:t>
            </w:r>
          </w:p>
        </w:tc>
        <w:tc>
          <w:tcPr>
            <w:tcW w:type="dxa" w:w="1247"/>
          </w:tcPr>
          <w:p>
            <w:pPr>
              <w:spacing w:after="40"/>
            </w:pPr>
            <w:r>
              <w:rPr>
                <w:sz w:val="19"/>
              </w:rPr>
              <w:t>no</w:t>
            </w:r>
          </w:p>
        </w:tc>
      </w:tr>
      <w:tr>
        <w:tc>
          <w:tcPr>
            <w:tcW w:type="dxa" w:w="1134"/>
          </w:tcPr>
          <w:p>
            <w:pPr>
              <w:spacing w:after="40"/>
            </w:pPr>
            <w:r>
              <w:rPr>
                <w:sz w:val="19"/>
              </w:rPr>
              <w:t>0.001</w:t>
            </w:r>
          </w:p>
        </w:tc>
        <w:tc>
          <w:tcPr>
            <w:tcW w:type="dxa" w:w="794"/>
          </w:tcPr>
          <w:p>
            <w:pPr>
              <w:spacing w:after="40"/>
            </w:pPr>
            <w:r>
              <w:rPr>
                <w:sz w:val="19"/>
              </w:rPr>
              <w:t>10</w:t>
            </w:r>
          </w:p>
        </w:tc>
        <w:tc>
          <w:tcPr>
            <w:tcW w:type="dxa" w:w="1361"/>
          </w:tcPr>
          <w:p>
            <w:pPr>
              <w:spacing w:after="40"/>
            </w:pPr>
            <w:r>
              <w:rPr>
                <w:sz w:val="19"/>
              </w:rPr>
              <w:t>99.2%</w:t>
            </w:r>
          </w:p>
        </w:tc>
        <w:tc>
          <w:tcPr>
            <w:tcW w:type="dxa" w:w="1247"/>
          </w:tcPr>
          <w:p>
            <w:pPr>
              <w:spacing w:after="40"/>
            </w:pPr>
            <w:r>
              <w:rPr>
                <w:sz w:val="19"/>
              </w:rPr>
              <w:t>1.0272</w:t>
            </w:r>
          </w:p>
        </w:tc>
        <w:tc>
          <w:tcPr>
            <w:tcW w:type="dxa" w:w="1247"/>
          </w:tcPr>
          <w:p>
            <w:pPr>
              <w:spacing w:after="40"/>
            </w:pPr>
            <w:r>
              <w:rPr>
                <w:sz w:val="19"/>
              </w:rPr>
              <w:t>195</w:t>
            </w:r>
          </w:p>
        </w:tc>
        <w:tc>
          <w:tcPr>
            <w:tcW w:type="dxa" w:w="1814"/>
          </w:tcPr>
          <w:p>
            <w:pPr>
              <w:spacing w:after="40"/>
            </w:pPr>
            <w:r>
              <w:rPr>
                <w:sz w:val="19"/>
              </w:rPr>
              <w:t>8.07e-04</w:t>
            </w:r>
          </w:p>
        </w:tc>
        <w:tc>
          <w:tcPr>
            <w:tcW w:type="dxa" w:w="1247"/>
          </w:tcPr>
          <w:p>
            <w:pPr>
              <w:spacing w:after="40"/>
            </w:pPr>
            <w:r>
              <w:rPr>
                <w:sz w:val="19"/>
              </w:rPr>
              <w:t>no</w:t>
            </w:r>
          </w:p>
        </w:tc>
      </w:tr>
      <w:tr>
        <w:tc>
          <w:tcPr>
            <w:tcW w:type="dxa" w:w="1134"/>
          </w:tcPr>
          <w:p>
            <w:pPr>
              <w:spacing w:after="40"/>
            </w:pPr>
            <w:r>
              <w:rPr>
                <w:sz w:val="19"/>
              </w:rPr>
              <w:t>0.001</w:t>
            </w:r>
          </w:p>
        </w:tc>
        <w:tc>
          <w:tcPr>
            <w:tcW w:type="dxa" w:w="794"/>
          </w:tcPr>
          <w:p>
            <w:pPr>
              <w:spacing w:after="40"/>
            </w:pPr>
            <w:r>
              <w:rPr>
                <w:sz w:val="19"/>
              </w:rPr>
              <w:t>15</w:t>
            </w:r>
          </w:p>
        </w:tc>
        <w:tc>
          <w:tcPr>
            <w:tcW w:type="dxa" w:w="1361"/>
          </w:tcPr>
          <w:p>
            <w:pPr>
              <w:spacing w:after="40"/>
            </w:pPr>
            <w:r>
              <w:rPr>
                <w:sz w:val="19"/>
              </w:rPr>
              <w:t>98.9%</w:t>
            </w:r>
          </w:p>
        </w:tc>
        <w:tc>
          <w:tcPr>
            <w:tcW w:type="dxa" w:w="1247"/>
          </w:tcPr>
          <w:p>
            <w:pPr>
              <w:spacing w:after="40"/>
            </w:pPr>
            <w:r>
              <w:rPr>
                <w:sz w:val="19"/>
              </w:rPr>
              <w:t>1.0119</w:t>
            </w:r>
          </w:p>
        </w:tc>
        <w:tc>
          <w:tcPr>
            <w:tcW w:type="dxa" w:w="1247"/>
          </w:tcPr>
          <w:p>
            <w:pPr>
              <w:spacing w:after="40"/>
            </w:pPr>
            <w:r>
              <w:rPr>
                <w:sz w:val="19"/>
              </w:rPr>
              <w:t>405</w:t>
            </w:r>
          </w:p>
        </w:tc>
        <w:tc>
          <w:tcPr>
            <w:tcW w:type="dxa" w:w="1814"/>
          </w:tcPr>
          <w:p>
            <w:pPr>
              <w:spacing w:after="40"/>
            </w:pPr>
            <w:r>
              <w:rPr>
                <w:sz w:val="19"/>
              </w:rPr>
              <w:t>1.15e-03</w:t>
            </w:r>
          </w:p>
        </w:tc>
        <w:tc>
          <w:tcPr>
            <w:tcW w:type="dxa" w:w="1247"/>
          </w:tcPr>
          <w:p>
            <w:pPr>
              <w:spacing w:after="40"/>
            </w:pPr>
            <w:r>
              <w:rPr>
                <w:sz w:val="19"/>
              </w:rPr>
              <w:t>no</w:t>
            </w:r>
          </w:p>
        </w:tc>
      </w:tr>
      <w:tr>
        <w:tc>
          <w:tcPr>
            <w:tcW w:type="dxa" w:w="1134"/>
          </w:tcPr>
          <w:p>
            <w:pPr>
              <w:spacing w:after="40"/>
            </w:pPr>
            <w:r>
              <w:rPr>
                <w:sz w:val="19"/>
              </w:rPr>
              <w:t>0.001</w:t>
            </w:r>
          </w:p>
        </w:tc>
        <w:tc>
          <w:tcPr>
            <w:tcW w:type="dxa" w:w="794"/>
          </w:tcPr>
          <w:p>
            <w:pPr>
              <w:spacing w:after="40"/>
            </w:pPr>
            <w:r>
              <w:rPr>
                <w:sz w:val="19"/>
              </w:rPr>
              <w:t>20</w:t>
            </w:r>
          </w:p>
        </w:tc>
        <w:tc>
          <w:tcPr>
            <w:tcW w:type="dxa" w:w="1361"/>
          </w:tcPr>
          <w:p>
            <w:pPr>
              <w:spacing w:after="40"/>
            </w:pPr>
            <w:r>
              <w:rPr>
                <w:sz w:val="19"/>
              </w:rPr>
              <w:t>99.2%</w:t>
            </w:r>
          </w:p>
        </w:tc>
        <w:tc>
          <w:tcPr>
            <w:tcW w:type="dxa" w:w="1247"/>
          </w:tcPr>
          <w:p>
            <w:pPr>
              <w:spacing w:after="40"/>
            </w:pPr>
            <w:r>
              <w:rPr>
                <w:sz w:val="19"/>
              </w:rPr>
              <w:t>1.2814</w:t>
            </w:r>
          </w:p>
        </w:tc>
        <w:tc>
          <w:tcPr>
            <w:tcW w:type="dxa" w:w="1247"/>
          </w:tcPr>
          <w:p>
            <w:pPr>
              <w:spacing w:after="40"/>
            </w:pPr>
            <w:r>
              <w:rPr>
                <w:sz w:val="19"/>
              </w:rPr>
              <w:t>729</w:t>
            </w:r>
          </w:p>
        </w:tc>
        <w:tc>
          <w:tcPr>
            <w:tcW w:type="dxa" w:w="1814"/>
          </w:tcPr>
          <w:p>
            <w:pPr>
              <w:spacing w:after="40"/>
            </w:pPr>
            <w:r>
              <w:rPr>
                <w:sz w:val="19"/>
              </w:rPr>
              <w:t>1.58e-03</w:t>
            </w:r>
          </w:p>
        </w:tc>
        <w:tc>
          <w:tcPr>
            <w:tcW w:type="dxa" w:w="1247"/>
          </w:tcPr>
          <w:p>
            <w:pPr>
              <w:spacing w:after="40"/>
            </w:pPr>
            <w:r>
              <w:rPr>
                <w:sz w:val="19"/>
              </w:rPr>
              <w:t>no</w:t>
            </w:r>
          </w:p>
        </w:tc>
      </w:tr>
      <w:tr>
        <w:tc>
          <w:tcPr>
            <w:tcW w:type="dxa" w:w="1134"/>
          </w:tcPr>
          <w:p>
            <w:pPr>
              <w:spacing w:after="40"/>
            </w:pPr>
            <w:r>
              <w:rPr>
                <w:sz w:val="19"/>
              </w:rPr>
              <w:t>0.002</w:t>
            </w:r>
          </w:p>
        </w:tc>
        <w:tc>
          <w:tcPr>
            <w:tcW w:type="dxa" w:w="794"/>
          </w:tcPr>
          <w:p>
            <w:pPr>
              <w:spacing w:after="40"/>
            </w:pPr>
            <w:r>
              <w:rPr>
                <w:sz w:val="19"/>
              </w:rPr>
              <w:t>5</w:t>
            </w:r>
          </w:p>
        </w:tc>
        <w:tc>
          <w:tcPr>
            <w:tcW w:type="dxa" w:w="1361"/>
          </w:tcPr>
          <w:p>
            <w:pPr>
              <w:spacing w:after="40"/>
            </w:pPr>
            <w:r>
              <w:rPr>
                <w:sz w:val="19"/>
              </w:rPr>
              <w:t>96.8%</w:t>
            </w:r>
          </w:p>
        </w:tc>
        <w:tc>
          <w:tcPr>
            <w:tcW w:type="dxa" w:w="1247"/>
          </w:tcPr>
          <w:p>
            <w:pPr>
              <w:spacing w:after="40"/>
            </w:pPr>
            <w:r>
              <w:rPr>
                <w:sz w:val="19"/>
              </w:rPr>
              <w:t>1.0282</w:t>
            </w:r>
          </w:p>
        </w:tc>
        <w:tc>
          <w:tcPr>
            <w:tcW w:type="dxa" w:w="1247"/>
          </w:tcPr>
          <w:p>
            <w:pPr>
              <w:spacing w:after="40"/>
            </w:pPr>
            <w:r>
              <w:rPr>
                <w:sz w:val="19"/>
              </w:rPr>
              <w:t>181</w:t>
            </w:r>
          </w:p>
        </w:tc>
        <w:tc>
          <w:tcPr>
            <w:tcW w:type="dxa" w:w="1814"/>
          </w:tcPr>
          <w:p>
            <w:pPr>
              <w:spacing w:after="40"/>
            </w:pPr>
            <w:r>
              <w:rPr>
                <w:sz w:val="19"/>
              </w:rPr>
              <w:t>1.37e-03</w:t>
            </w:r>
          </w:p>
        </w:tc>
        <w:tc>
          <w:tcPr>
            <w:tcW w:type="dxa" w:w="1247"/>
          </w:tcPr>
          <w:p>
            <w:pPr>
              <w:spacing w:after="40"/>
            </w:pPr>
            <w:r>
              <w:rPr>
                <w:sz w:val="19"/>
              </w:rPr>
              <w:t>no</w:t>
            </w:r>
          </w:p>
        </w:tc>
      </w:tr>
      <w:tr>
        <w:tc>
          <w:tcPr>
            <w:tcW w:type="dxa" w:w="1134"/>
          </w:tcPr>
          <w:p>
            <w:pPr>
              <w:spacing w:after="40"/>
            </w:pPr>
            <w:r>
              <w:rPr>
                <w:sz w:val="19"/>
              </w:rPr>
              <w:t>0.002</w:t>
            </w:r>
          </w:p>
        </w:tc>
        <w:tc>
          <w:tcPr>
            <w:tcW w:type="dxa" w:w="794"/>
          </w:tcPr>
          <w:p>
            <w:pPr>
              <w:spacing w:after="40"/>
            </w:pPr>
            <w:r>
              <w:rPr>
                <w:sz w:val="19"/>
              </w:rPr>
              <w:t>10</w:t>
            </w:r>
          </w:p>
        </w:tc>
        <w:tc>
          <w:tcPr>
            <w:tcW w:type="dxa" w:w="1361"/>
          </w:tcPr>
          <w:p>
            <w:pPr>
              <w:spacing w:after="40"/>
            </w:pPr>
            <w:r>
              <w:rPr>
                <w:sz w:val="19"/>
              </w:rPr>
              <w:t>96.3%</w:t>
            </w:r>
          </w:p>
        </w:tc>
        <w:tc>
          <w:tcPr>
            <w:tcW w:type="dxa" w:w="1247"/>
          </w:tcPr>
          <w:p>
            <w:pPr>
              <w:spacing w:after="40"/>
            </w:pPr>
            <w:r>
              <w:rPr>
                <w:sz w:val="19"/>
              </w:rPr>
              <w:t>1.2864</w:t>
            </w:r>
          </w:p>
        </w:tc>
        <w:tc>
          <w:tcPr>
            <w:tcW w:type="dxa" w:w="1247"/>
          </w:tcPr>
          <w:p>
            <w:pPr>
              <w:spacing w:after="40"/>
            </w:pPr>
            <w:r>
              <w:rPr>
                <w:sz w:val="19"/>
              </w:rPr>
              <w:t>692</w:t>
            </w:r>
          </w:p>
        </w:tc>
        <w:tc>
          <w:tcPr>
            <w:tcW w:type="dxa" w:w="1814"/>
          </w:tcPr>
          <w:p>
            <w:pPr>
              <w:spacing w:after="40"/>
            </w:pPr>
            <w:r>
              <w:rPr>
                <w:sz w:val="19"/>
              </w:rPr>
              <w:t>2.86e-03</w:t>
            </w:r>
          </w:p>
        </w:tc>
        <w:tc>
          <w:tcPr>
            <w:tcW w:type="dxa" w:w="1247"/>
          </w:tcPr>
          <w:p>
            <w:pPr>
              <w:spacing w:after="40"/>
            </w:pPr>
            <w:r>
              <w:rPr>
                <w:sz w:val="19"/>
              </w:rPr>
              <w:t>no</w:t>
            </w:r>
          </w:p>
        </w:tc>
      </w:tr>
      <w:tr>
        <w:tc>
          <w:tcPr>
            <w:tcW w:type="dxa" w:w="1134"/>
          </w:tcPr>
          <w:p>
            <w:pPr>
              <w:spacing w:after="40"/>
            </w:pPr>
            <w:r>
              <w:rPr>
                <w:sz w:val="19"/>
              </w:rPr>
              <w:t>0.002</w:t>
            </w:r>
          </w:p>
        </w:tc>
        <w:tc>
          <w:tcPr>
            <w:tcW w:type="dxa" w:w="794"/>
          </w:tcPr>
          <w:p>
            <w:pPr>
              <w:spacing w:after="40"/>
            </w:pPr>
            <w:r>
              <w:rPr>
                <w:sz w:val="19"/>
              </w:rPr>
              <w:t>15</w:t>
            </w:r>
          </w:p>
        </w:tc>
        <w:tc>
          <w:tcPr>
            <w:tcW w:type="dxa" w:w="1361"/>
          </w:tcPr>
          <w:p>
            <w:pPr>
              <w:spacing w:after="40"/>
            </w:pPr>
            <w:r>
              <w:rPr>
                <w:sz w:val="19"/>
              </w:rPr>
              <w:t>95.1%</w:t>
            </w:r>
          </w:p>
        </w:tc>
        <w:tc>
          <w:tcPr>
            <w:tcW w:type="dxa" w:w="1247"/>
          </w:tcPr>
          <w:p>
            <w:pPr>
              <w:spacing w:after="40"/>
            </w:pPr>
            <w:r>
              <w:rPr>
                <w:sz w:val="19"/>
              </w:rPr>
              <w:t>1.0024</w:t>
            </w:r>
          </w:p>
        </w:tc>
        <w:tc>
          <w:tcPr>
            <w:tcW w:type="dxa" w:w="1247"/>
          </w:tcPr>
          <w:p>
            <w:pPr>
              <w:spacing w:after="40"/>
            </w:pPr>
            <w:r>
              <w:rPr>
                <w:sz w:val="19"/>
              </w:rPr>
              <w:t>1582</w:t>
            </w:r>
          </w:p>
        </w:tc>
        <w:tc>
          <w:tcPr>
            <w:tcW w:type="dxa" w:w="1814"/>
          </w:tcPr>
          <w:p>
            <w:pPr>
              <w:spacing w:after="40"/>
            </w:pPr>
            <w:r>
              <w:rPr>
                <w:sz w:val="19"/>
              </w:rPr>
              <w:t>4.49e-03</w:t>
            </w:r>
          </w:p>
        </w:tc>
        <w:tc>
          <w:tcPr>
            <w:tcW w:type="dxa" w:w="1247"/>
          </w:tcPr>
          <w:p>
            <w:pPr>
              <w:spacing w:after="40"/>
            </w:pPr>
            <w:r>
              <w:rPr>
                <w:sz w:val="19"/>
              </w:rPr>
              <w:t>yes</w:t>
            </w:r>
          </w:p>
        </w:tc>
      </w:tr>
      <w:tr>
        <w:tc>
          <w:tcPr>
            <w:tcW w:type="dxa" w:w="1134"/>
          </w:tcPr>
          <w:p>
            <w:pPr>
              <w:spacing w:after="40"/>
            </w:pPr>
            <w:r>
              <w:rPr>
                <w:sz w:val="19"/>
              </w:rPr>
              <w:t>0.002</w:t>
            </w:r>
          </w:p>
        </w:tc>
        <w:tc>
          <w:tcPr>
            <w:tcW w:type="dxa" w:w="794"/>
          </w:tcPr>
          <w:p>
            <w:pPr>
              <w:spacing w:after="40"/>
            </w:pPr>
            <w:r>
              <w:rPr>
                <w:sz w:val="19"/>
              </w:rPr>
              <w:t>20</w:t>
            </w:r>
          </w:p>
        </w:tc>
        <w:tc>
          <w:tcPr>
            <w:tcW w:type="dxa" w:w="1361"/>
          </w:tcPr>
          <w:p>
            <w:pPr>
              <w:spacing w:after="40"/>
            </w:pPr>
            <w:r>
              <w:rPr>
                <w:sz w:val="19"/>
              </w:rPr>
              <w:t>95.7%</w:t>
            </w:r>
          </w:p>
        </w:tc>
        <w:tc>
          <w:tcPr>
            <w:tcW w:type="dxa" w:w="1247"/>
          </w:tcPr>
          <w:p>
            <w:pPr>
              <w:spacing w:after="40"/>
            </w:pPr>
            <w:r>
              <w:rPr>
                <w:sz w:val="19"/>
              </w:rPr>
              <w:t>1.1540</w:t>
            </w:r>
          </w:p>
        </w:tc>
        <w:tc>
          <w:tcPr>
            <w:tcW w:type="dxa" w:w="1247"/>
          </w:tcPr>
          <w:p>
            <w:pPr>
              <w:spacing w:after="40"/>
            </w:pPr>
            <w:r>
              <w:rPr>
                <w:sz w:val="19"/>
              </w:rPr>
              <w:t>23</w:t>
            </w:r>
          </w:p>
        </w:tc>
        <w:tc>
          <w:tcPr>
            <w:tcW w:type="dxa" w:w="1814"/>
          </w:tcPr>
          <w:p>
            <w:pPr>
              <w:spacing w:after="40"/>
            </w:pPr>
            <w:r>
              <w:rPr>
                <w:sz w:val="19"/>
              </w:rPr>
              <w:t>4.97e-05</w:t>
            </w:r>
          </w:p>
        </w:tc>
        <w:tc>
          <w:tcPr>
            <w:tcW w:type="dxa" w:w="1247"/>
          </w:tcPr>
          <w:p>
            <w:pPr>
              <w:spacing w:after="40"/>
            </w:pPr>
            <w:r>
              <w:rPr>
                <w:sz w:val="19"/>
              </w:rPr>
              <w:t>no</w:t>
            </w:r>
          </w:p>
        </w:tc>
      </w:tr>
      <w:tr>
        <w:tc>
          <w:tcPr>
            <w:tcW w:type="dxa" w:w="1134"/>
          </w:tcPr>
          <w:p>
            <w:pPr>
              <w:spacing w:after="40"/>
            </w:pPr>
            <w:r>
              <w:rPr>
                <w:sz w:val="19"/>
              </w:rPr>
              <w:t>0.004</w:t>
            </w:r>
          </w:p>
        </w:tc>
        <w:tc>
          <w:tcPr>
            <w:tcW w:type="dxa" w:w="794"/>
          </w:tcPr>
          <w:p>
            <w:pPr>
              <w:spacing w:after="40"/>
            </w:pPr>
            <w:r>
              <w:rPr>
                <w:sz w:val="19"/>
              </w:rPr>
              <w:t>5</w:t>
            </w:r>
          </w:p>
        </w:tc>
        <w:tc>
          <w:tcPr>
            <w:tcW w:type="dxa" w:w="1361"/>
          </w:tcPr>
          <w:p>
            <w:pPr>
              <w:spacing w:after="40"/>
            </w:pPr>
            <w:r>
              <w:rPr>
                <w:sz w:val="19"/>
              </w:rPr>
              <w:t>78.0%</w:t>
            </w:r>
          </w:p>
        </w:tc>
        <w:tc>
          <w:tcPr>
            <w:tcW w:type="dxa" w:w="1247"/>
          </w:tcPr>
          <w:p>
            <w:pPr>
              <w:spacing w:after="40"/>
            </w:pPr>
            <w:r>
              <w:rPr>
                <w:sz w:val="19"/>
              </w:rPr>
              <w:t>1.1845</w:t>
            </w:r>
          </w:p>
        </w:tc>
        <w:tc>
          <w:tcPr>
            <w:tcW w:type="dxa" w:w="1247"/>
          </w:tcPr>
          <w:p>
            <w:pPr>
              <w:spacing w:after="40"/>
            </w:pPr>
            <w:r>
              <w:rPr>
                <w:sz w:val="19"/>
              </w:rPr>
              <w:t>551</w:t>
            </w:r>
          </w:p>
        </w:tc>
        <w:tc>
          <w:tcPr>
            <w:tcW w:type="dxa" w:w="1814"/>
          </w:tcPr>
          <w:p>
            <w:pPr>
              <w:spacing w:after="40"/>
            </w:pPr>
            <w:r>
              <w:rPr>
                <w:sz w:val="19"/>
              </w:rPr>
              <w:t>4.17e-03</w:t>
            </w:r>
          </w:p>
        </w:tc>
        <w:tc>
          <w:tcPr>
            <w:tcW w:type="dxa" w:w="1247"/>
          </w:tcPr>
          <w:p>
            <w:pPr>
              <w:spacing w:after="40"/>
            </w:pPr>
            <w:r>
              <w:rPr>
                <w:sz w:val="19"/>
              </w:rPr>
              <w:t>no</w:t>
            </w:r>
          </w:p>
        </w:tc>
      </w:tr>
      <w:tr>
        <w:tc>
          <w:tcPr>
            <w:tcW w:type="dxa" w:w="1134"/>
          </w:tcPr>
          <w:p>
            <w:pPr>
              <w:spacing w:after="40"/>
            </w:pPr>
            <w:r>
              <w:rPr>
                <w:sz w:val="19"/>
              </w:rPr>
              <w:t>0.004</w:t>
            </w:r>
          </w:p>
        </w:tc>
        <w:tc>
          <w:tcPr>
            <w:tcW w:type="dxa" w:w="794"/>
          </w:tcPr>
          <w:p>
            <w:pPr>
              <w:spacing w:after="40"/>
            </w:pPr>
            <w:r>
              <w:rPr>
                <w:sz w:val="19"/>
              </w:rPr>
              <w:t>10</w:t>
            </w:r>
          </w:p>
        </w:tc>
        <w:tc>
          <w:tcPr>
            <w:tcW w:type="dxa" w:w="1361"/>
          </w:tcPr>
          <w:p>
            <w:pPr>
              <w:spacing w:after="40"/>
            </w:pPr>
            <w:r>
              <w:rPr>
                <w:sz w:val="19"/>
              </w:rPr>
              <w:t>93.0%</w:t>
            </w:r>
          </w:p>
        </w:tc>
        <w:tc>
          <w:tcPr>
            <w:tcW w:type="dxa" w:w="1247"/>
          </w:tcPr>
          <w:p>
            <w:pPr>
              <w:spacing w:after="40"/>
            </w:pPr>
            <w:r>
              <w:rPr>
                <w:sz w:val="19"/>
              </w:rPr>
              <w:t>1.1419</w:t>
            </w:r>
          </w:p>
        </w:tc>
        <w:tc>
          <w:tcPr>
            <w:tcW w:type="dxa" w:w="1247"/>
          </w:tcPr>
          <w:p>
            <w:pPr>
              <w:spacing w:after="40"/>
            </w:pPr>
            <w:r>
              <w:rPr>
                <w:sz w:val="19"/>
              </w:rPr>
              <w:t>23</w:t>
            </w:r>
          </w:p>
        </w:tc>
        <w:tc>
          <w:tcPr>
            <w:tcW w:type="dxa" w:w="1814"/>
          </w:tcPr>
          <w:p>
            <w:pPr>
              <w:spacing w:after="40"/>
            </w:pPr>
            <w:r>
              <w:rPr>
                <w:sz w:val="19"/>
              </w:rPr>
              <w:t>9.46e-05</w:t>
            </w:r>
          </w:p>
        </w:tc>
        <w:tc>
          <w:tcPr>
            <w:tcW w:type="dxa" w:w="1247"/>
          </w:tcPr>
          <w:p>
            <w:pPr>
              <w:spacing w:after="40"/>
            </w:pPr>
            <w:r>
              <w:rPr>
                <w:sz w:val="19"/>
              </w:rPr>
              <w:t>no</w:t>
            </w:r>
          </w:p>
        </w:tc>
      </w:tr>
      <w:tr>
        <w:tc>
          <w:tcPr>
            <w:tcW w:type="dxa" w:w="1134"/>
          </w:tcPr>
          <w:p>
            <w:pPr>
              <w:spacing w:after="40"/>
            </w:pPr>
            <w:r>
              <w:rPr>
                <w:sz w:val="19"/>
              </w:rPr>
              <w:t>0.004</w:t>
            </w:r>
          </w:p>
        </w:tc>
        <w:tc>
          <w:tcPr>
            <w:tcW w:type="dxa" w:w="794"/>
          </w:tcPr>
          <w:p>
            <w:pPr>
              <w:spacing w:after="40"/>
            </w:pPr>
            <w:r>
              <w:rPr>
                <w:sz w:val="19"/>
              </w:rPr>
              <w:t>15</w:t>
            </w:r>
          </w:p>
        </w:tc>
        <w:tc>
          <w:tcPr>
            <w:tcW w:type="dxa" w:w="1361"/>
          </w:tcPr>
          <w:p>
            <w:pPr>
              <w:spacing w:after="40"/>
            </w:pPr>
            <w:r>
              <w:rPr>
                <w:sz w:val="19"/>
              </w:rPr>
              <w:t>78.3%</w:t>
            </w:r>
          </w:p>
        </w:tc>
        <w:tc>
          <w:tcPr>
            <w:tcW w:type="dxa" w:w="1247"/>
          </w:tcPr>
          <w:p>
            <w:pPr>
              <w:spacing w:after="40"/>
            </w:pPr>
            <w:r>
              <w:rPr>
                <w:sz w:val="19"/>
              </w:rPr>
              <w:t>1.0121</w:t>
            </w:r>
          </w:p>
        </w:tc>
        <w:tc>
          <w:tcPr>
            <w:tcW w:type="dxa" w:w="1247"/>
          </w:tcPr>
          <w:p>
            <w:pPr>
              <w:spacing w:after="40"/>
            </w:pPr>
            <w:r>
              <w:rPr>
                <w:sz w:val="19"/>
              </w:rPr>
              <w:t>5439</w:t>
            </w:r>
          </w:p>
        </w:tc>
        <w:tc>
          <w:tcPr>
            <w:tcW w:type="dxa" w:w="1814"/>
          </w:tcPr>
          <w:p>
            <w:pPr>
              <w:spacing w:after="40"/>
            </w:pPr>
            <w:r>
              <w:rPr>
                <w:sz w:val="19"/>
              </w:rPr>
              <w:t>1.55e-02</w:t>
            </w:r>
          </w:p>
        </w:tc>
        <w:tc>
          <w:tcPr>
            <w:tcW w:type="dxa" w:w="1247"/>
          </w:tcPr>
          <w:p>
            <w:pPr>
              <w:spacing w:after="40"/>
            </w:pPr>
            <w:r>
              <w:rPr>
                <w:sz w:val="19"/>
              </w:rPr>
              <w:t>no</w:t>
            </w:r>
          </w:p>
        </w:tc>
      </w:tr>
      <w:tr>
        <w:tc>
          <w:tcPr>
            <w:tcW w:type="dxa" w:w="1134"/>
          </w:tcPr>
          <w:p>
            <w:pPr>
              <w:spacing w:after="40"/>
            </w:pPr>
            <w:r>
              <w:rPr>
                <w:sz w:val="19"/>
              </w:rPr>
              <w:t>0.004</w:t>
            </w:r>
          </w:p>
        </w:tc>
        <w:tc>
          <w:tcPr>
            <w:tcW w:type="dxa" w:w="794"/>
          </w:tcPr>
          <w:p>
            <w:pPr>
              <w:spacing w:after="40"/>
            </w:pPr>
            <w:r>
              <w:rPr>
                <w:sz w:val="19"/>
              </w:rPr>
              <w:t>20</w:t>
            </w:r>
          </w:p>
        </w:tc>
        <w:tc>
          <w:tcPr>
            <w:tcW w:type="dxa" w:w="1361"/>
          </w:tcPr>
          <w:p>
            <w:pPr>
              <w:spacing w:after="40"/>
            </w:pPr>
            <w:r>
              <w:rPr>
                <w:sz w:val="19"/>
              </w:rPr>
              <w:t>90.6%</w:t>
            </w:r>
          </w:p>
        </w:tc>
        <w:tc>
          <w:tcPr>
            <w:tcW w:type="dxa" w:w="1247"/>
          </w:tcPr>
          <w:p>
            <w:pPr>
              <w:spacing w:after="40"/>
            </w:pPr>
            <w:r>
              <w:rPr>
                <w:sz w:val="19"/>
              </w:rPr>
              <w:t>1.0490</w:t>
            </w:r>
          </w:p>
        </w:tc>
        <w:tc>
          <w:tcPr>
            <w:tcW w:type="dxa" w:w="1247"/>
          </w:tcPr>
          <w:p>
            <w:pPr>
              <w:spacing w:after="40"/>
            </w:pPr>
            <w:r>
              <w:rPr>
                <w:sz w:val="19"/>
              </w:rPr>
              <w:t>107</w:t>
            </w:r>
          </w:p>
        </w:tc>
        <w:tc>
          <w:tcPr>
            <w:tcW w:type="dxa" w:w="1814"/>
          </w:tcPr>
          <w:p>
            <w:pPr>
              <w:spacing w:after="40"/>
            </w:pPr>
            <w:r>
              <w:rPr>
                <w:sz w:val="19"/>
              </w:rPr>
              <w:t>2.33e-04</w:t>
            </w:r>
          </w:p>
        </w:tc>
        <w:tc>
          <w:tcPr>
            <w:tcW w:type="dxa" w:w="1247"/>
          </w:tcPr>
          <w:p>
            <w:pPr>
              <w:spacing w:after="40"/>
            </w:pPr>
            <w:r>
              <w:rPr>
                <w:sz w:val="19"/>
              </w:rPr>
              <w:t>no</w:t>
            </w:r>
          </w:p>
        </w:tc>
      </w:tr>
      <w:tr>
        <w:tc>
          <w:tcPr>
            <w:tcW w:type="dxa" w:w="1134"/>
          </w:tcPr>
          <w:p>
            <w:pPr>
              <w:spacing w:after="40"/>
            </w:pPr>
            <w:r>
              <w:rPr>
                <w:sz w:val="19"/>
              </w:rPr>
              <w:t>0.008</w:t>
            </w:r>
          </w:p>
        </w:tc>
        <w:tc>
          <w:tcPr>
            <w:tcW w:type="dxa" w:w="794"/>
          </w:tcPr>
          <w:p>
            <w:pPr>
              <w:spacing w:after="40"/>
            </w:pPr>
            <w:r>
              <w:rPr>
                <w:sz w:val="19"/>
              </w:rPr>
              <w:t>5</w:t>
            </w:r>
          </w:p>
        </w:tc>
        <w:tc>
          <w:tcPr>
            <w:tcW w:type="dxa" w:w="1361"/>
          </w:tcPr>
          <w:p>
            <w:pPr>
              <w:spacing w:after="40"/>
            </w:pPr>
            <w:r>
              <w:rPr>
                <w:sz w:val="19"/>
              </w:rPr>
              <w:t>0.0%</w:t>
            </w:r>
          </w:p>
        </w:tc>
        <w:tc>
          <w:tcPr>
            <w:tcW w:type="dxa" w:w="1247"/>
          </w:tcPr>
          <w:p>
            <w:pPr>
              <w:spacing w:after="40"/>
            </w:pPr>
            <w:r>
              <w:rPr>
                <w:sz w:val="19"/>
              </w:rPr>
              <w:t>10.7330</w:t>
            </w:r>
          </w:p>
        </w:tc>
        <w:tc>
          <w:tcPr>
            <w:tcW w:type="dxa" w:w="1247"/>
          </w:tcPr>
          <w:p>
            <w:pPr>
              <w:spacing w:after="40"/>
            </w:pPr>
            <w:r>
              <w:rPr>
                <w:sz w:val="19"/>
              </w:rPr>
              <w:t>4</w:t>
            </w:r>
          </w:p>
        </w:tc>
        <w:tc>
          <w:tcPr>
            <w:tcW w:type="dxa" w:w="1814"/>
          </w:tcPr>
          <w:p>
            <w:pPr>
              <w:spacing w:after="40"/>
            </w:pPr>
            <w:r>
              <w:rPr>
                <w:sz w:val="19"/>
              </w:rPr>
              <w:t>3.07e-05</w:t>
            </w:r>
          </w:p>
        </w:tc>
        <w:tc>
          <w:tcPr>
            <w:tcW w:type="dxa" w:w="1247"/>
          </w:tcPr>
          <w:p>
            <w:pPr>
              <w:spacing w:after="40"/>
            </w:pPr>
            <w:r>
              <w:rPr>
                <w:sz w:val="19"/>
              </w:rPr>
              <w:t>no</w:t>
            </w:r>
          </w:p>
        </w:tc>
      </w:tr>
      <w:tr>
        <w:tc>
          <w:tcPr>
            <w:tcW w:type="dxa" w:w="1134"/>
          </w:tcPr>
          <w:p>
            <w:pPr>
              <w:spacing w:after="40"/>
            </w:pPr>
            <w:r>
              <w:rPr>
                <w:sz w:val="19"/>
              </w:rPr>
              <w:t>0.008</w:t>
            </w:r>
          </w:p>
        </w:tc>
        <w:tc>
          <w:tcPr>
            <w:tcW w:type="dxa" w:w="794"/>
          </w:tcPr>
          <w:p>
            <w:pPr>
              <w:spacing w:after="40"/>
            </w:pPr>
            <w:r>
              <w:rPr>
                <w:sz w:val="19"/>
              </w:rPr>
              <w:t>10</w:t>
            </w:r>
          </w:p>
        </w:tc>
        <w:tc>
          <w:tcPr>
            <w:tcW w:type="dxa" w:w="1361"/>
          </w:tcPr>
          <w:p>
            <w:pPr>
              <w:spacing w:after="40"/>
            </w:pPr>
            <w:r>
              <w:rPr>
                <w:sz w:val="19"/>
              </w:rPr>
              <w:t>0.0%</w:t>
            </w:r>
          </w:p>
        </w:tc>
        <w:tc>
          <w:tcPr>
            <w:tcW w:type="dxa" w:w="1247"/>
          </w:tcPr>
          <w:p>
            <w:pPr>
              <w:spacing w:after="40"/>
            </w:pPr>
            <w:r>
              <w:rPr>
                <w:sz w:val="19"/>
              </w:rPr>
              <w:t>degenerate</w:t>
            </w:r>
          </w:p>
        </w:tc>
        <w:tc>
          <w:tcPr>
            <w:tcW w:type="dxa" w:w="1247"/>
          </w:tcPr>
          <w:p>
            <w:pPr>
              <w:spacing w:after="40"/>
            </w:pPr>
            <w:r>
              <w:rPr>
                <w:sz w:val="19"/>
              </w:rPr>
              <w:t>4</w:t>
            </w:r>
          </w:p>
        </w:tc>
        <w:tc>
          <w:tcPr>
            <w:tcW w:type="dxa" w:w="1814"/>
          </w:tcPr>
          <w:p>
            <w:pPr>
              <w:spacing w:after="40"/>
            </w:pPr>
            <w:r>
              <w:rPr>
                <w:sz w:val="19"/>
              </w:rPr>
              <w:t>1.65e-05</w:t>
            </w:r>
          </w:p>
        </w:tc>
        <w:tc>
          <w:tcPr>
            <w:tcW w:type="dxa" w:w="1247"/>
          </w:tcPr>
          <w:p>
            <w:pPr>
              <w:spacing w:after="40"/>
            </w:pPr>
            <w:r>
              <w:rPr>
                <w:sz w:val="19"/>
              </w:rPr>
              <w:t>no</w:t>
            </w:r>
          </w:p>
        </w:tc>
      </w:tr>
      <w:tr>
        <w:tc>
          <w:tcPr>
            <w:tcW w:type="dxa" w:w="1134"/>
          </w:tcPr>
          <w:p>
            <w:pPr>
              <w:spacing w:after="40"/>
            </w:pPr>
            <w:r>
              <w:rPr>
                <w:sz w:val="19"/>
              </w:rPr>
              <w:t>0.008</w:t>
            </w:r>
          </w:p>
        </w:tc>
        <w:tc>
          <w:tcPr>
            <w:tcW w:type="dxa" w:w="794"/>
          </w:tcPr>
          <w:p>
            <w:pPr>
              <w:spacing w:after="40"/>
            </w:pPr>
            <w:r>
              <w:rPr>
                <w:sz w:val="19"/>
              </w:rPr>
              <w:t>15</w:t>
            </w:r>
          </w:p>
        </w:tc>
        <w:tc>
          <w:tcPr>
            <w:tcW w:type="dxa" w:w="1361"/>
          </w:tcPr>
          <w:p>
            <w:pPr>
              <w:spacing w:after="40"/>
            </w:pPr>
            <w:r>
              <w:rPr>
                <w:sz w:val="19"/>
              </w:rPr>
              <w:t>0.0%</w:t>
            </w:r>
          </w:p>
        </w:tc>
        <w:tc>
          <w:tcPr>
            <w:tcW w:type="dxa" w:w="1247"/>
          </w:tcPr>
          <w:p>
            <w:pPr>
              <w:spacing w:after="40"/>
            </w:pPr>
            <w:r>
              <w:rPr>
                <w:sz w:val="19"/>
              </w:rPr>
              <w:t>degenerate</w:t>
            </w:r>
          </w:p>
        </w:tc>
        <w:tc>
          <w:tcPr>
            <w:tcW w:type="dxa" w:w="1247"/>
          </w:tcPr>
          <w:p>
            <w:pPr>
              <w:spacing w:after="40"/>
            </w:pPr>
            <w:r>
              <w:rPr>
                <w:sz w:val="19"/>
              </w:rPr>
              <w:t>4</w:t>
            </w:r>
          </w:p>
        </w:tc>
        <w:tc>
          <w:tcPr>
            <w:tcW w:type="dxa" w:w="1814"/>
          </w:tcPr>
          <w:p>
            <w:pPr>
              <w:spacing w:after="40"/>
            </w:pPr>
            <w:r>
              <w:rPr>
                <w:sz w:val="19"/>
              </w:rPr>
              <w:t>1.14e-05</w:t>
            </w:r>
          </w:p>
        </w:tc>
        <w:tc>
          <w:tcPr>
            <w:tcW w:type="dxa" w:w="1247"/>
          </w:tcPr>
          <w:p>
            <w:pPr>
              <w:spacing w:after="40"/>
            </w:pPr>
            <w:r>
              <w:rPr>
                <w:sz w:val="19"/>
              </w:rPr>
              <w:t>no</w:t>
            </w:r>
          </w:p>
        </w:tc>
      </w:tr>
      <w:tr>
        <w:tc>
          <w:tcPr>
            <w:tcW w:type="dxa" w:w="1134"/>
          </w:tcPr>
          <w:p>
            <w:pPr>
              <w:spacing w:after="40"/>
            </w:pPr>
            <w:r>
              <w:rPr>
                <w:sz w:val="19"/>
              </w:rPr>
              <w:t>0.008</w:t>
            </w:r>
          </w:p>
        </w:tc>
        <w:tc>
          <w:tcPr>
            <w:tcW w:type="dxa" w:w="794"/>
          </w:tcPr>
          <w:p>
            <w:pPr>
              <w:spacing w:after="40"/>
            </w:pPr>
            <w:r>
              <w:rPr>
                <w:sz w:val="19"/>
              </w:rPr>
              <w:t>20</w:t>
            </w:r>
          </w:p>
        </w:tc>
        <w:tc>
          <w:tcPr>
            <w:tcW w:type="dxa" w:w="1361"/>
          </w:tcPr>
          <w:p>
            <w:pPr>
              <w:spacing w:after="40"/>
            </w:pPr>
            <w:r>
              <w:rPr>
                <w:sz w:val="19"/>
              </w:rPr>
              <w:t>0.0%</w:t>
            </w:r>
          </w:p>
        </w:tc>
        <w:tc>
          <w:tcPr>
            <w:tcW w:type="dxa" w:w="1247"/>
          </w:tcPr>
          <w:p>
            <w:pPr>
              <w:spacing w:after="40"/>
            </w:pPr>
            <w:r>
              <w:rPr>
                <w:sz w:val="19"/>
              </w:rPr>
              <w:t>degenerate</w:t>
            </w:r>
          </w:p>
        </w:tc>
        <w:tc>
          <w:tcPr>
            <w:tcW w:type="dxa" w:w="1247"/>
          </w:tcPr>
          <w:p>
            <w:pPr>
              <w:spacing w:after="40"/>
            </w:pPr>
            <w:r>
              <w:rPr>
                <w:sz w:val="19"/>
              </w:rPr>
              <w:t>4</w:t>
            </w:r>
          </w:p>
        </w:tc>
        <w:tc>
          <w:tcPr>
            <w:tcW w:type="dxa" w:w="1814"/>
          </w:tcPr>
          <w:p>
            <w:pPr>
              <w:spacing w:after="40"/>
            </w:pPr>
            <w:r>
              <w:rPr>
                <w:sz w:val="19"/>
              </w:rPr>
              <w:t>8.67e-06</w:t>
            </w:r>
          </w:p>
        </w:tc>
        <w:tc>
          <w:tcPr>
            <w:tcW w:type="dxa" w:w="1247"/>
          </w:tcPr>
          <w:p>
            <w:pPr>
              <w:spacing w:after="40"/>
            </w:pPr>
            <w:r>
              <w:rPr>
                <w:sz w:val="19"/>
              </w:rPr>
              <w:t>no</w:t>
            </w:r>
          </w:p>
        </w:tc>
      </w:tr>
    </w:tbl>
    <w:p>
      <w:pPr>
        <w:keepNext w:val="0"/>
        <w:spacing w:after="160"/>
      </w:pPr>
      <w:r>
        <w:rPr>
          <w:b w:val="0"/>
          <w:i w:val="0"/>
          <w:sz w:val="22"/>
        </w:rPr>
      </w:r>
    </w:p>
    <w:p>
      <w:pPr>
        <w:keepNext w:val="0"/>
        <w:spacing w:after="120"/>
      </w:pPr>
      <w:r>
        <w:rPr>
          <w:b w:val="0"/>
          <w:i w:val="0"/>
          <w:sz w:val="22"/>
        </w:rPr>
        <w:t>Only 1 of the 16 configurations converged, and the comparison is restricted to those. Among them the most efficient is epsilon = 0.002 with L = 15, at 4.49e-03 bulk ESS per gradient evaluation and an acceptance rate of 95.1%.</w:t>
      </w:r>
    </w:p>
    <w:p>
      <w:pPr>
        <w:keepNext w:val="0"/>
        <w:spacing w:after="120"/>
      </w:pPr>
      <w:r>
        <w:rPr>
          <w:b w:val="0"/>
          <w:i w:val="0"/>
          <w:sz w:val="22"/>
        </w:rPr>
        <w:t>This directly contradicts the reading of a high acceptance rate as a sign of good tuning. The highest acceptance in the grid, 99.2% at epsilon = 0.001 and L = 10, is not the most efficient configuration; a step size that small buys near-certain acceptance by proposing moves so short that the trajectory barely advances, and the gradient budget is spent for little gain. The theoretically motivated target for HMC is roughly 65 to 80 percent [16], and every acceptance rate in this grid above 0.004 exceeds it, indicating that the step size used elsewhere in the study is conservative. At the other extreme, epsilon = 0.008 breaks the leapfrog integrator entirely and acceptance falls to zero.</w:t>
      </w:r>
    </w:p>
    <w:p>
      <w:pPr>
        <w:keepNext/>
        <w:spacing w:after="60"/>
      </w:pPr>
      <w:r>
        <w:rPr>
          <w:i/>
          <w:sz w:val="19"/>
        </w:rPr>
        <w:t>Table 7. Metropolis acceptance against proposal scale, at fixed scale 0.05 for log sigma^2.</w:t>
      </w:r>
    </w:p>
    <w:tbl>
      <w:tblPr>
        <w:tblStyle w:val="LightGrid-Accent1"/>
        <w:tblW w:type="auto" w:w="0"/>
        <w:jc w:val="center"/>
        <w:tblLayout w:type="fixed"/>
        <w:tblLook w:firstColumn="1" w:firstRow="1" w:lastColumn="0" w:lastRow="0" w:noHBand="0" w:noVBand="1" w:val="04A0"/>
      </w:tblPr>
      <w:tblGrid>
        <w:gridCol w:w="4320"/>
        <w:gridCol w:w="4320"/>
      </w:tblGrid>
      <w:tr>
        <w:trPr>
          <w:tblHeader w:val="true"/>
          <w:cantSplit/>
        </w:trPr>
        <w:tc>
          <w:tcPr>
            <w:tcW w:type="dxa" w:w="3061"/>
          </w:tcPr>
          <w:p>
            <w:pPr>
              <w:spacing w:after="40"/>
            </w:pPr>
            <w:r>
              <w:rPr>
                <w:b/>
                <w:sz w:val="19"/>
              </w:rPr>
              <w:t>Proposal scale for beta</w:t>
            </w:r>
          </w:p>
        </w:tc>
        <w:tc>
          <w:tcPr>
            <w:tcW w:type="dxa" w:w="2494"/>
          </w:tcPr>
          <w:p>
            <w:pPr>
              <w:spacing w:after="40"/>
            </w:pPr>
            <w:r>
              <w:rPr>
                <w:b/>
                <w:sz w:val="19"/>
              </w:rPr>
              <w:t>Acceptance rate</w:t>
            </w:r>
          </w:p>
        </w:tc>
      </w:tr>
      <w:tr>
        <w:tc>
          <w:tcPr>
            <w:tcW w:type="dxa" w:w="3061"/>
          </w:tcPr>
          <w:p>
            <w:pPr>
              <w:spacing w:after="40"/>
            </w:pPr>
            <w:r>
              <w:rPr>
                <w:sz w:val="19"/>
              </w:rPr>
              <w:t>0.0005</w:t>
            </w:r>
          </w:p>
        </w:tc>
        <w:tc>
          <w:tcPr>
            <w:tcW w:type="dxa" w:w="2494"/>
          </w:tcPr>
          <w:p>
            <w:pPr>
              <w:spacing w:after="40"/>
            </w:pPr>
            <w:r>
              <w:rPr>
                <w:sz w:val="19"/>
              </w:rPr>
              <w:t>49.7%</w:t>
            </w:r>
          </w:p>
        </w:tc>
      </w:tr>
      <w:tr>
        <w:tc>
          <w:tcPr>
            <w:tcW w:type="dxa" w:w="3061"/>
          </w:tcPr>
          <w:p>
            <w:pPr>
              <w:spacing w:after="40"/>
            </w:pPr>
            <w:r>
              <w:rPr>
                <w:sz w:val="19"/>
              </w:rPr>
              <w:t>0.0010</w:t>
            </w:r>
          </w:p>
        </w:tc>
        <w:tc>
          <w:tcPr>
            <w:tcW w:type="dxa" w:w="2494"/>
          </w:tcPr>
          <w:p>
            <w:pPr>
              <w:spacing w:after="40"/>
            </w:pPr>
            <w:r>
              <w:rPr>
                <w:sz w:val="19"/>
              </w:rPr>
              <w:t>48.5%</w:t>
            </w:r>
          </w:p>
        </w:tc>
      </w:tr>
      <w:tr>
        <w:tc>
          <w:tcPr>
            <w:tcW w:type="dxa" w:w="3061"/>
          </w:tcPr>
          <w:p>
            <w:pPr>
              <w:spacing w:after="40"/>
            </w:pPr>
            <w:r>
              <w:rPr>
                <w:sz w:val="19"/>
              </w:rPr>
              <w:t>0.0050</w:t>
            </w:r>
          </w:p>
        </w:tc>
        <w:tc>
          <w:tcPr>
            <w:tcW w:type="dxa" w:w="2494"/>
          </w:tcPr>
          <w:p>
            <w:pPr>
              <w:spacing w:after="40"/>
            </w:pPr>
            <w:r>
              <w:rPr>
                <w:sz w:val="19"/>
              </w:rPr>
              <w:t>46.6%</w:t>
            </w:r>
          </w:p>
        </w:tc>
      </w:tr>
      <w:tr>
        <w:tc>
          <w:tcPr>
            <w:tcW w:type="dxa" w:w="3061"/>
          </w:tcPr>
          <w:p>
            <w:pPr>
              <w:spacing w:after="40"/>
            </w:pPr>
            <w:r>
              <w:rPr>
                <w:sz w:val="19"/>
              </w:rPr>
              <w:t>0.0100</w:t>
            </w:r>
          </w:p>
        </w:tc>
        <w:tc>
          <w:tcPr>
            <w:tcW w:type="dxa" w:w="2494"/>
          </w:tcPr>
          <w:p>
            <w:pPr>
              <w:spacing w:after="40"/>
            </w:pPr>
            <w:r>
              <w:rPr>
                <w:sz w:val="19"/>
              </w:rPr>
              <w:t>35.9%</w:t>
            </w:r>
          </w:p>
        </w:tc>
      </w:tr>
      <w:tr>
        <w:tc>
          <w:tcPr>
            <w:tcW w:type="dxa" w:w="3061"/>
          </w:tcPr>
          <w:p>
            <w:pPr>
              <w:spacing w:after="40"/>
            </w:pPr>
            <w:r>
              <w:rPr>
                <w:sz w:val="19"/>
              </w:rPr>
              <w:t>0.0200</w:t>
            </w:r>
          </w:p>
        </w:tc>
        <w:tc>
          <w:tcPr>
            <w:tcW w:type="dxa" w:w="2494"/>
          </w:tcPr>
          <w:p>
            <w:pPr>
              <w:spacing w:after="40"/>
            </w:pPr>
            <w:r>
              <w:rPr>
                <w:sz w:val="19"/>
              </w:rPr>
              <w:t>14.8%</w:t>
            </w:r>
          </w:p>
        </w:tc>
      </w:tr>
      <w:tr>
        <w:tc>
          <w:tcPr>
            <w:tcW w:type="dxa" w:w="3061"/>
          </w:tcPr>
          <w:p>
            <w:pPr>
              <w:spacing w:after="40"/>
            </w:pPr>
            <w:r>
              <w:rPr>
                <w:sz w:val="19"/>
              </w:rPr>
              <w:t>0.0500</w:t>
            </w:r>
          </w:p>
        </w:tc>
        <w:tc>
          <w:tcPr>
            <w:tcW w:type="dxa" w:w="2494"/>
          </w:tcPr>
          <w:p>
            <w:pPr>
              <w:spacing w:after="40"/>
            </w:pPr>
            <w:r>
              <w:rPr>
                <w:sz w:val="19"/>
              </w:rPr>
              <w:t>3.8%</w:t>
            </w:r>
          </w:p>
        </w:tc>
      </w:tr>
    </w:tbl>
    <w:p>
      <w:pPr>
        <w:keepNext w:val="0"/>
        <w:spacing w:after="160"/>
      </w:pPr>
      <w:r>
        <w:rPr>
          <w:b w:val="0"/>
          <w:i w:val="0"/>
          <w:sz w:val="22"/>
        </w:rPr>
      </w:r>
    </w:p>
    <w:p>
      <w:pPr>
        <w:keepNext w:val="0"/>
        <w:spacing w:after="120"/>
      </w:pPr>
      <w:r>
        <w:rPr>
          <w:b w:val="0"/>
          <w:i w:val="0"/>
          <w:sz w:val="22"/>
        </w:rPr>
        <w:t>The Metropolis grid shows the familiar trade-off, but it is worth reading together with Section 5.1: no scalar step size performs well, because the search is over a one-dimensional family for a problem that requires a matrix.</w:t>
      </w:r>
    </w:p>
    <w:p>
      <w:pPr>
        <w:keepNext/>
        <w:spacing w:after="40"/>
        <w:jc w:val="center"/>
      </w:pPr>
      <w:r>
        <w:drawing>
          <wp:inline xmlns:a="http://schemas.openxmlformats.org/drawingml/2006/main" xmlns:pic="http://schemas.openxmlformats.org/drawingml/2006/picture">
            <wp:extent cx="5577840" cy="1969364"/>
            <wp:docPr id="5" name="Picture 5" descr="Two heat maps over step size and leapfrog steps, one showing effective sample size per gradient evaluation and the other acceptance rate, demonstrating that the highest acceptance does not coincide with the best efficiency." title="Two heat maps over step size and leapfrog steps, one showing effective sample si"/>
            <wp:cNvGraphicFramePr>
              <a:graphicFrameLocks noChangeAspect="1"/>
            </wp:cNvGraphicFramePr>
            <a:graphic>
              <a:graphicData uri="http://schemas.openxmlformats.org/drawingml/2006/picture">
                <pic:pic>
                  <pic:nvPicPr>
                    <pic:cNvPr id="0" name="fig_hmc_sensitivity.png"/>
                    <pic:cNvPicPr/>
                  </pic:nvPicPr>
                  <pic:blipFill>
                    <a:blip r:embed="rId13"/>
                    <a:stretch>
                      <a:fillRect/>
                    </a:stretch>
                  </pic:blipFill>
                  <pic:spPr>
                    <a:xfrm>
                      <a:off x="0" y="0"/>
                      <a:ext cx="5577840" cy="1969364"/>
                    </a:xfrm>
                    <a:prstGeom prst="rect"/>
                  </pic:spPr>
                </pic:pic>
              </a:graphicData>
            </a:graphic>
          </wp:inline>
        </w:drawing>
      </w:r>
    </w:p>
    <w:p>
      <w:pPr>
        <w:spacing w:after="240"/>
        <w:jc w:val="center"/>
      </w:pPr>
      <w:r>
        <w:rPr>
          <w:i/>
          <w:sz w:val="19"/>
        </w:rPr>
        <w:t>Figure 5. Bulk ESS per gradient evaluation (left) and acceptance rate (right) over the grid of step sizes and trajectory lengths. The most efficient configuration is not the one with the highest acceptance.</w:t>
      </w:r>
    </w:p>
    <w:p>
      <w:pPr>
        <w:pStyle w:val="Heading2"/>
        <w:keepNext/>
      </w:pPr>
      <w:r>
        <w:t>5.7 Sensitivity to the Starting Point</w:t>
      </w:r>
    </w:p>
    <w:p>
      <w:pPr>
        <w:keepNext w:val="0"/>
        <w:spacing w:after="120"/>
      </w:pPr>
      <w:r>
        <w:rPr>
          <w:b w:val="0"/>
          <w:i w:val="0"/>
          <w:sz w:val="22"/>
        </w:rPr>
        <w:t>MCMC converges from any starting point in theory but says nothing about how long that takes. Each sampler was started from four deliberately different points. A chain is deemed to have reached a stable region at the first iteration after which its log posterior remains within three median absolute deviations (MAD) of the median over the final 500 iterations for the remainder of the chain. Requiring sustained containment rather than a brief crossing prevents a chain from being credited for merely passing through the region on its way elsewhere.</w:t>
      </w:r>
    </w:p>
    <w:p>
      <w:pPr>
        <w:keepNext/>
        <w:spacing w:after="60"/>
      </w:pPr>
      <w:r>
        <w:rPr>
          <w:i/>
          <w:sz w:val="19"/>
        </w:rPr>
        <w:t>Table 8. Iterations required to reach the stable region of the log posterior.</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2494"/>
          </w:tcPr>
          <w:p>
            <w:pPr>
              <w:spacing w:after="40"/>
            </w:pPr>
            <w:r>
              <w:rPr>
                <w:b/>
                <w:sz w:val="19"/>
              </w:rPr>
              <w:t>Sampler</w:t>
            </w:r>
          </w:p>
        </w:tc>
        <w:tc>
          <w:tcPr>
            <w:tcW w:type="dxa" w:w="1474"/>
          </w:tcPr>
          <w:p>
            <w:pPr>
              <w:spacing w:after="40"/>
            </w:pPr>
            <w:r>
              <w:rPr>
                <w:b/>
                <w:sz w:val="19"/>
              </w:rPr>
              <w:t>zeros</w:t>
            </w:r>
          </w:p>
        </w:tc>
        <w:tc>
          <w:tcPr>
            <w:tcW w:type="dxa" w:w="1928"/>
          </w:tcPr>
          <w:p>
            <w:pPr>
              <w:spacing w:after="40"/>
            </w:pPr>
            <w:r>
              <w:rPr>
                <w:b/>
                <w:sz w:val="19"/>
              </w:rPr>
              <w:t>least squares fit</w:t>
            </w:r>
          </w:p>
        </w:tc>
        <w:tc>
          <w:tcPr>
            <w:tcW w:type="dxa" w:w="1701"/>
          </w:tcPr>
          <w:p>
            <w:pPr>
              <w:spacing w:after="40"/>
            </w:pPr>
            <w:r>
              <w:rPr>
                <w:b/>
                <w:sz w:val="19"/>
              </w:rPr>
              <w:t>dispersed (+3)</w:t>
            </w:r>
          </w:p>
        </w:tc>
        <w:tc>
          <w:tcPr>
            <w:tcW w:type="dxa" w:w="1701"/>
          </w:tcPr>
          <w:p>
            <w:pPr>
              <w:spacing w:after="40"/>
            </w:pPr>
            <w:r>
              <w:rPr>
                <w:b/>
                <w:sz w:val="19"/>
              </w:rPr>
              <w:t>extreme variance</w:t>
            </w:r>
          </w:p>
        </w:tc>
      </w:tr>
      <w:tr>
        <w:tc>
          <w:tcPr>
            <w:tcW w:type="dxa" w:w="2494"/>
          </w:tcPr>
          <w:p>
            <w:pPr>
              <w:spacing w:after="40"/>
            </w:pPr>
            <w:r>
              <w:rPr>
                <w:sz w:val="19"/>
              </w:rPr>
              <w:t>Preconditioned MH</w:t>
            </w:r>
          </w:p>
        </w:tc>
        <w:tc>
          <w:tcPr>
            <w:tcW w:type="dxa" w:w="1474"/>
          </w:tcPr>
          <w:p>
            <w:pPr>
              <w:spacing w:after="40"/>
            </w:pPr>
            <w:r>
              <w:rPr>
                <w:sz w:val="19"/>
              </w:rPr>
              <w:t>1442</w:t>
            </w:r>
          </w:p>
        </w:tc>
        <w:tc>
          <w:tcPr>
            <w:tcW w:type="dxa" w:w="1928"/>
          </w:tcPr>
          <w:p>
            <w:pPr>
              <w:spacing w:after="40"/>
            </w:pPr>
            <w:r>
              <w:rPr>
                <w:sz w:val="19"/>
              </w:rPr>
              <w:t>1424</w:t>
            </w:r>
          </w:p>
        </w:tc>
        <w:tc>
          <w:tcPr>
            <w:tcW w:type="dxa" w:w="1701"/>
          </w:tcPr>
          <w:p>
            <w:pPr>
              <w:spacing w:after="40"/>
            </w:pPr>
            <w:r>
              <w:rPr>
                <w:sz w:val="19"/>
              </w:rPr>
              <w:t>497</w:t>
            </w:r>
          </w:p>
        </w:tc>
        <w:tc>
          <w:tcPr>
            <w:tcW w:type="dxa" w:w="1701"/>
          </w:tcPr>
          <w:p>
            <w:pPr>
              <w:spacing w:after="40"/>
            </w:pPr>
            <w:r>
              <w:rPr>
                <w:sz w:val="19"/>
              </w:rPr>
              <w:t>1150</w:t>
            </w:r>
          </w:p>
        </w:tc>
      </w:tr>
      <w:tr>
        <w:tc>
          <w:tcPr>
            <w:tcW w:type="dxa" w:w="2494"/>
          </w:tcPr>
          <w:p>
            <w:pPr>
              <w:spacing w:after="40"/>
            </w:pPr>
            <w:r>
              <w:rPr>
                <w:sz w:val="19"/>
              </w:rPr>
              <w:t>Gibbs</w:t>
            </w:r>
          </w:p>
        </w:tc>
        <w:tc>
          <w:tcPr>
            <w:tcW w:type="dxa" w:w="1474"/>
          </w:tcPr>
          <w:p>
            <w:pPr>
              <w:spacing w:after="40"/>
            </w:pPr>
            <w:r>
              <w:rPr>
                <w:sz w:val="19"/>
              </w:rPr>
              <w:t>1450</w:t>
            </w:r>
          </w:p>
        </w:tc>
        <w:tc>
          <w:tcPr>
            <w:tcW w:type="dxa" w:w="1928"/>
          </w:tcPr>
          <w:p>
            <w:pPr>
              <w:spacing w:after="40"/>
            </w:pPr>
            <w:r>
              <w:rPr>
                <w:sz w:val="19"/>
              </w:rPr>
              <w:t>1450</w:t>
            </w:r>
          </w:p>
        </w:tc>
        <w:tc>
          <w:tcPr>
            <w:tcW w:type="dxa" w:w="1701"/>
          </w:tcPr>
          <w:p>
            <w:pPr>
              <w:spacing w:after="40"/>
            </w:pPr>
            <w:r>
              <w:rPr>
                <w:sz w:val="19"/>
              </w:rPr>
              <w:t>1450</w:t>
            </w:r>
          </w:p>
        </w:tc>
        <w:tc>
          <w:tcPr>
            <w:tcW w:type="dxa" w:w="1701"/>
          </w:tcPr>
          <w:p>
            <w:pPr>
              <w:spacing w:after="40"/>
            </w:pPr>
            <w:r>
              <w:rPr>
                <w:sz w:val="19"/>
              </w:rPr>
              <w:t>1450</w:t>
            </w:r>
          </w:p>
        </w:tc>
      </w:tr>
      <w:tr>
        <w:tc>
          <w:tcPr>
            <w:tcW w:type="dxa" w:w="2494"/>
          </w:tcPr>
          <w:p>
            <w:pPr>
              <w:spacing w:after="40"/>
            </w:pPr>
            <w:r>
              <w:rPr>
                <w:sz w:val="19"/>
              </w:rPr>
              <w:t>HMC</w:t>
            </w:r>
          </w:p>
        </w:tc>
        <w:tc>
          <w:tcPr>
            <w:tcW w:type="dxa" w:w="1474"/>
          </w:tcPr>
          <w:p>
            <w:pPr>
              <w:spacing w:after="40"/>
            </w:pPr>
            <w:r>
              <w:rPr>
                <w:sz w:val="19"/>
              </w:rPr>
              <w:t>1477</w:t>
            </w:r>
          </w:p>
        </w:tc>
        <w:tc>
          <w:tcPr>
            <w:tcW w:type="dxa" w:w="1928"/>
          </w:tcPr>
          <w:p>
            <w:pPr>
              <w:spacing w:after="40"/>
            </w:pPr>
            <w:r>
              <w:rPr>
                <w:sz w:val="19"/>
              </w:rPr>
              <w:t>1477</w:t>
            </w:r>
          </w:p>
        </w:tc>
        <w:tc>
          <w:tcPr>
            <w:tcW w:type="dxa" w:w="1701"/>
          </w:tcPr>
          <w:p>
            <w:pPr>
              <w:spacing w:after="40"/>
            </w:pPr>
            <w:r>
              <w:rPr>
                <w:sz w:val="19"/>
              </w:rPr>
              <w:t>1477</w:t>
            </w:r>
          </w:p>
        </w:tc>
        <w:tc>
          <w:tcPr>
            <w:tcW w:type="dxa" w:w="1701"/>
          </w:tcPr>
          <w:p>
            <w:pPr>
              <w:spacing w:after="40"/>
            </w:pPr>
            <w:r>
              <w:rPr>
                <w:sz w:val="19"/>
              </w:rPr>
              <w:t>1477</w:t>
            </w:r>
          </w:p>
        </w:tc>
      </w:tr>
    </w:tbl>
    <w:p>
      <w:pPr>
        <w:keepNext w:val="0"/>
        <w:spacing w:after="160"/>
      </w:pPr>
      <w:r>
        <w:rPr>
          <w:b w:val="0"/>
          <w:i w:val="0"/>
          <w:sz w:val="22"/>
        </w:rPr>
      </w:r>
    </w:p>
    <w:p>
      <w:pPr>
        <w:keepNext w:val="0"/>
        <w:spacing w:after="120"/>
      </w:pPr>
      <w:r>
        <w:rPr>
          <w:b w:val="0"/>
          <w:i w:val="0"/>
          <w:sz w:val="22"/>
        </w:rPr>
        <w:t>Gibbs and HMC both reach the stable region at a similar iteration count from every start, 1450 and 1477 respectively, because their rapid mixing makes the starting point irrelevant: the occasional late excursion from the MAD band is driven by random variation rather than by the initial transient. Preconditioned Metropolis varies more, taking between 497 and 1442 iterations depending on the start, because its slower mixing means the initial transient still influences how long the chain needs to settle.</w:t>
      </w:r>
    </w:p>
    <w:p>
      <w:pPr>
        <w:keepNext/>
        <w:spacing w:after="40"/>
        <w:jc w:val="center"/>
      </w:pPr>
      <w:r>
        <w:drawing>
          <wp:inline xmlns:a="http://schemas.openxmlformats.org/drawingml/2006/main" xmlns:pic="http://schemas.openxmlformats.org/drawingml/2006/picture">
            <wp:extent cx="5577840" cy="1537348"/>
            <wp:docPr id="6" name="Picture 6" descr="Three line-chart panels, one per sampler, showing log posterior traces from four different starting points converging to a common level at different speeds." title="Three line-chart panels, one per sampler, showing log posterior traces from four"/>
            <wp:cNvGraphicFramePr>
              <a:graphicFrameLocks noChangeAspect="1"/>
            </wp:cNvGraphicFramePr>
            <a:graphic>
              <a:graphicData uri="http://schemas.openxmlformats.org/drawingml/2006/picture">
                <pic:pic>
                  <pic:nvPicPr>
                    <pic:cNvPr id="0" name="fig_initialisation.png"/>
                    <pic:cNvPicPr/>
                  </pic:nvPicPr>
                  <pic:blipFill>
                    <a:blip r:embed="rId14"/>
                    <a:stretch>
                      <a:fillRect/>
                    </a:stretch>
                  </pic:blipFill>
                  <pic:spPr>
                    <a:xfrm>
                      <a:off x="0" y="0"/>
                      <a:ext cx="5577840" cy="1537348"/>
                    </a:xfrm>
                    <a:prstGeom prst="rect"/>
                  </pic:spPr>
                </pic:pic>
              </a:graphicData>
            </a:graphic>
          </wp:inline>
        </w:drawing>
      </w:r>
    </w:p>
    <w:p>
      <w:pPr>
        <w:spacing w:after="240"/>
        <w:jc w:val="center"/>
      </w:pPr>
      <w:r>
        <w:rPr>
          <w:i/>
          <w:sz w:val="19"/>
        </w:rPr>
        <w:t>Figure 6. Log posterior over the first iterations from four starting points, on a symmetric logarithmic scale. Curves that meet quickly indicate the starting point has been forgotten.</w:t>
      </w:r>
    </w:p>
    <w:p>
      <w:pPr>
        <w:pStyle w:val="Heading1"/>
        <w:keepNext/>
      </w:pPr>
      <w:r>
        <w:t>6. Predictive Performance and Calibration</w:t>
      </w:r>
    </w:p>
    <w:p>
      <w:pPr>
        <w:pStyle w:val="Heading2"/>
        <w:keepNext/>
      </w:pPr>
      <w:r>
        <w:t>6.1 Construction of Posterior Predictive Intervals</w:t>
      </w:r>
    </w:p>
    <w:p>
      <w:pPr>
        <w:keepNext w:val="0"/>
        <w:spacing w:after="120"/>
      </w:pPr>
      <w:r>
        <w:rPr>
          <w:b w:val="0"/>
          <w:i w:val="0"/>
          <w:sz w:val="22"/>
        </w:rPr>
        <w:t>All intervals reported in this section are posterior predictive intervals for a future CPU observation, not credible intervals for a parameter. The distinction matters because the two have different widths and answer different questions. For each retained posterior draw (beta_s, sigma^2_s) a replicate observation is generated as</w:t>
      </w:r>
    </w:p>
    <w:p>
      <w:pPr>
        <w:spacing w:after="160"/>
        <w:jc w:val="center"/>
      </w:pPr>
      <w:r>
        <w:rPr>
          <w:rFonts w:ascii="Cambria Math" w:hAnsi="Cambria Math"/>
          <w:i/>
          <w:sz w:val="23"/>
        </w:rPr>
        <w:t>y* = x' beta_s + sigma_s e,    e ~ N(0, 1)  or  e ~ t_nu</w:t>
      </w:r>
    </w:p>
    <w:p>
      <w:pPr>
        <w:keepNext w:val="0"/>
        <w:spacing w:after="120"/>
      </w:pPr>
      <w:r>
        <w:rPr>
          <w:b w:val="0"/>
          <w:i w:val="0"/>
          <w:sz w:val="22"/>
        </w:rPr>
        <w:t>so each replicate carries both sources of uncertainty: parameter uncertainty, through the spread of beta_s and sigma_s across draws, and observation noise, through e. The interval is then the empirical quantile range of these replicates, rather than a point estimate plus a multiple of a standard deviation, so no symmetry or normality is imposed on the result.</w:t>
      </w:r>
    </w:p>
    <w:p>
      <w:pPr>
        <w:pStyle w:val="Heading2"/>
        <w:keepNext/>
      </w:pPr>
      <w:r>
        <w:t>6.2 Selecting the Likelihood on Validation Data</w:t>
      </w:r>
    </w:p>
    <w:p>
      <w:pPr>
        <w:keepNext w:val="0"/>
        <w:spacing w:after="120"/>
      </w:pPr>
      <w:r>
        <w:rPr>
          <w:b w:val="0"/>
          <w:i w:val="0"/>
          <w:sz w:val="22"/>
        </w:rPr>
        <w:t>The choice between the Gaussian and Student-t likelihoods, and the value of nu, is made on the validation split alone, by mean log pointwise predictive density. The predictive density is the posterior mixture (1/S) sum_s p(y* | theta_s), and each component is evaluated in closed form, so the criterion does not depend on simulated replicates.</w:t>
      </w:r>
    </w:p>
    <w:p>
      <w:pPr>
        <w:keepNext/>
        <w:spacing w:after="60"/>
      </w:pPr>
      <w:r>
        <w:rPr>
          <w:i/>
          <w:sz w:val="19"/>
        </w:rPr>
        <w:t>Table 9. Likelihood selection on the validation split. Higher log predictive density is better; nominal coverage is 50 and 95 percent. The selected row is the Student-t with nu = 2.</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2268"/>
          </w:tcPr>
          <w:p>
            <w:pPr>
              <w:spacing w:after="40"/>
            </w:pPr>
            <w:r>
              <w:rPr>
                <w:b/>
                <w:sz w:val="19"/>
              </w:rPr>
              <w:t>Candidate</w:t>
            </w:r>
          </w:p>
        </w:tc>
        <w:tc>
          <w:tcPr>
            <w:tcW w:type="dxa" w:w="2041"/>
          </w:tcPr>
          <w:p>
            <w:pPr>
              <w:spacing w:after="40"/>
            </w:pPr>
            <w:r>
              <w:rPr>
                <w:b/>
                <w:sz w:val="19"/>
              </w:rPr>
              <w:t>Log predictive density</w:t>
            </w:r>
          </w:p>
        </w:tc>
        <w:tc>
          <w:tcPr>
            <w:tcW w:type="dxa" w:w="1474"/>
          </w:tcPr>
          <w:p>
            <w:pPr>
              <w:spacing w:after="40"/>
            </w:pPr>
            <w:r>
              <w:rPr>
                <w:b/>
                <w:sz w:val="19"/>
              </w:rPr>
              <w:t>Coverage 50%</w:t>
            </w:r>
          </w:p>
        </w:tc>
        <w:tc>
          <w:tcPr>
            <w:tcW w:type="dxa" w:w="1474"/>
          </w:tcPr>
          <w:p>
            <w:pPr>
              <w:spacing w:after="40"/>
            </w:pPr>
            <w:r>
              <w:rPr>
                <w:b/>
                <w:sz w:val="19"/>
              </w:rPr>
              <w:t>Coverage 95%</w:t>
            </w:r>
          </w:p>
        </w:tc>
        <w:tc>
          <w:tcPr>
            <w:tcW w:type="dxa" w:w="1701"/>
          </w:tcPr>
          <w:p>
            <w:pPr>
              <w:spacing w:after="40"/>
            </w:pPr>
            <w:r>
              <w:rPr>
                <w:b/>
                <w:sz w:val="19"/>
              </w:rPr>
              <w:t>Median abs. error</w:t>
            </w:r>
          </w:p>
        </w:tc>
      </w:tr>
      <w:tr>
        <w:tc>
          <w:tcPr>
            <w:tcW w:type="dxa" w:w="2268"/>
          </w:tcPr>
          <w:p>
            <w:pPr>
              <w:spacing w:after="40"/>
            </w:pPr>
            <w:r>
              <w:rPr>
                <w:sz w:val="19"/>
              </w:rPr>
              <w:t>Gaussian</w:t>
            </w:r>
          </w:p>
        </w:tc>
        <w:tc>
          <w:tcPr>
            <w:tcW w:type="dxa" w:w="2041"/>
          </w:tcPr>
          <w:p>
            <w:pPr>
              <w:spacing w:after="40"/>
            </w:pPr>
            <w:r>
              <w:rPr>
                <w:sz w:val="19"/>
              </w:rPr>
              <w:t>-0.3862</w:t>
            </w:r>
          </w:p>
        </w:tc>
        <w:tc>
          <w:tcPr>
            <w:tcW w:type="dxa" w:w="1474"/>
          </w:tcPr>
          <w:p>
            <w:pPr>
              <w:spacing w:after="40"/>
            </w:pPr>
            <w:r>
              <w:rPr>
                <w:sz w:val="19"/>
              </w:rPr>
              <w:t>94.2%</w:t>
            </w:r>
          </w:p>
        </w:tc>
        <w:tc>
          <w:tcPr>
            <w:tcW w:type="dxa" w:w="1474"/>
          </w:tcPr>
          <w:p>
            <w:pPr>
              <w:spacing w:after="40"/>
            </w:pPr>
            <w:r>
              <w:rPr>
                <w:sz w:val="19"/>
              </w:rPr>
              <w:t>98.4%</w:t>
            </w:r>
          </w:p>
        </w:tc>
        <w:tc>
          <w:tcPr>
            <w:tcW w:type="dxa" w:w="1701"/>
          </w:tcPr>
          <w:p>
            <w:pPr>
              <w:spacing w:after="40"/>
            </w:pPr>
            <w:r>
              <w:rPr>
                <w:sz w:val="19"/>
              </w:rPr>
              <w:t>0.0433</w:t>
            </w:r>
          </w:p>
        </w:tc>
      </w:tr>
      <w:tr>
        <w:tc>
          <w:tcPr>
            <w:tcW w:type="dxa" w:w="2268"/>
          </w:tcPr>
          <w:p>
            <w:pPr>
              <w:spacing w:after="40"/>
            </w:pPr>
            <w:r>
              <w:rPr>
                <w:sz w:val="19"/>
              </w:rPr>
              <w:t>Student-t, nu = 2</w:t>
            </w:r>
          </w:p>
        </w:tc>
        <w:tc>
          <w:tcPr>
            <w:tcW w:type="dxa" w:w="2041"/>
          </w:tcPr>
          <w:p>
            <w:pPr>
              <w:spacing w:after="40"/>
            </w:pPr>
            <w:r>
              <w:rPr>
                <w:sz w:val="19"/>
              </w:rPr>
              <w:t>1.6305</w:t>
            </w:r>
          </w:p>
        </w:tc>
        <w:tc>
          <w:tcPr>
            <w:tcW w:type="dxa" w:w="1474"/>
          </w:tcPr>
          <w:p>
            <w:pPr>
              <w:spacing w:after="40"/>
            </w:pPr>
            <w:r>
              <w:rPr>
                <w:sz w:val="19"/>
              </w:rPr>
              <w:t>74.9%</w:t>
            </w:r>
          </w:p>
        </w:tc>
        <w:tc>
          <w:tcPr>
            <w:tcW w:type="dxa" w:w="1474"/>
          </w:tcPr>
          <w:p>
            <w:pPr>
              <w:spacing w:after="40"/>
            </w:pPr>
            <w:r>
              <w:rPr>
                <w:sz w:val="19"/>
              </w:rPr>
              <w:t>97.7%</w:t>
            </w:r>
          </w:p>
        </w:tc>
        <w:tc>
          <w:tcPr>
            <w:tcW w:type="dxa" w:w="1701"/>
          </w:tcPr>
          <w:p>
            <w:pPr>
              <w:spacing w:after="40"/>
            </w:pPr>
            <w:r>
              <w:rPr>
                <w:sz w:val="19"/>
              </w:rPr>
              <w:t>0.0143</w:t>
            </w:r>
          </w:p>
        </w:tc>
      </w:tr>
      <w:tr>
        <w:tc>
          <w:tcPr>
            <w:tcW w:type="dxa" w:w="2268"/>
          </w:tcPr>
          <w:p>
            <w:pPr>
              <w:spacing w:after="40"/>
            </w:pPr>
            <w:r>
              <w:rPr>
                <w:sz w:val="19"/>
              </w:rPr>
              <w:t>Student-t, nu = 3</w:t>
            </w:r>
          </w:p>
        </w:tc>
        <w:tc>
          <w:tcPr>
            <w:tcW w:type="dxa" w:w="2041"/>
          </w:tcPr>
          <w:p>
            <w:pPr>
              <w:spacing w:after="40"/>
            </w:pPr>
            <w:r>
              <w:rPr>
                <w:sz w:val="19"/>
              </w:rPr>
              <w:t>1.6158</w:t>
            </w:r>
          </w:p>
        </w:tc>
        <w:tc>
          <w:tcPr>
            <w:tcW w:type="dxa" w:w="1474"/>
          </w:tcPr>
          <w:p>
            <w:pPr>
              <w:spacing w:after="40"/>
            </w:pPr>
            <w:r>
              <w:rPr>
                <w:sz w:val="19"/>
              </w:rPr>
              <w:t>74.4%</w:t>
            </w:r>
          </w:p>
        </w:tc>
        <w:tc>
          <w:tcPr>
            <w:tcW w:type="dxa" w:w="1474"/>
          </w:tcPr>
          <w:p>
            <w:pPr>
              <w:spacing w:after="40"/>
            </w:pPr>
            <w:r>
              <w:rPr>
                <w:sz w:val="19"/>
              </w:rPr>
              <w:t>97.5%</w:t>
            </w:r>
          </w:p>
        </w:tc>
        <w:tc>
          <w:tcPr>
            <w:tcW w:type="dxa" w:w="1701"/>
          </w:tcPr>
          <w:p>
            <w:pPr>
              <w:spacing w:after="40"/>
            </w:pPr>
            <w:r>
              <w:rPr>
                <w:sz w:val="19"/>
              </w:rPr>
              <w:t>0.0162</w:t>
            </w:r>
          </w:p>
        </w:tc>
      </w:tr>
      <w:tr>
        <w:tc>
          <w:tcPr>
            <w:tcW w:type="dxa" w:w="2268"/>
          </w:tcPr>
          <w:p>
            <w:pPr>
              <w:spacing w:after="40"/>
            </w:pPr>
            <w:r>
              <w:rPr>
                <w:sz w:val="19"/>
              </w:rPr>
              <w:t>Student-t, nu = 4</w:t>
            </w:r>
          </w:p>
        </w:tc>
        <w:tc>
          <w:tcPr>
            <w:tcW w:type="dxa" w:w="2041"/>
          </w:tcPr>
          <w:p>
            <w:pPr>
              <w:spacing w:after="40"/>
            </w:pPr>
            <w:r>
              <w:rPr>
                <w:sz w:val="19"/>
              </w:rPr>
              <w:t>1.5898</w:t>
            </w:r>
          </w:p>
        </w:tc>
        <w:tc>
          <w:tcPr>
            <w:tcW w:type="dxa" w:w="1474"/>
          </w:tcPr>
          <w:p>
            <w:pPr>
              <w:spacing w:after="40"/>
            </w:pPr>
            <w:r>
              <w:rPr>
                <w:sz w:val="19"/>
              </w:rPr>
              <w:t>74.9%</w:t>
            </w:r>
          </w:p>
        </w:tc>
        <w:tc>
          <w:tcPr>
            <w:tcW w:type="dxa" w:w="1474"/>
          </w:tcPr>
          <w:p>
            <w:pPr>
              <w:spacing w:after="40"/>
            </w:pPr>
            <w:r>
              <w:rPr>
                <w:sz w:val="19"/>
              </w:rPr>
              <w:t>97.1%</w:t>
            </w:r>
          </w:p>
        </w:tc>
        <w:tc>
          <w:tcPr>
            <w:tcW w:type="dxa" w:w="1701"/>
          </w:tcPr>
          <w:p>
            <w:pPr>
              <w:spacing w:after="40"/>
            </w:pPr>
            <w:r>
              <w:rPr>
                <w:sz w:val="19"/>
              </w:rPr>
              <w:t>0.0170</w:t>
            </w:r>
          </w:p>
        </w:tc>
      </w:tr>
      <w:tr>
        <w:tc>
          <w:tcPr>
            <w:tcW w:type="dxa" w:w="2268"/>
          </w:tcPr>
          <w:p>
            <w:pPr>
              <w:spacing w:after="40"/>
            </w:pPr>
            <w:r>
              <w:rPr>
                <w:sz w:val="19"/>
              </w:rPr>
              <w:t>Student-t, nu = 6</w:t>
            </w:r>
          </w:p>
        </w:tc>
        <w:tc>
          <w:tcPr>
            <w:tcW w:type="dxa" w:w="2041"/>
          </w:tcPr>
          <w:p>
            <w:pPr>
              <w:spacing w:after="40"/>
            </w:pPr>
            <w:r>
              <w:rPr>
                <w:sz w:val="19"/>
              </w:rPr>
              <w:t>1.5333</w:t>
            </w:r>
          </w:p>
        </w:tc>
        <w:tc>
          <w:tcPr>
            <w:tcW w:type="dxa" w:w="1474"/>
          </w:tcPr>
          <w:p>
            <w:pPr>
              <w:spacing w:after="40"/>
            </w:pPr>
            <w:r>
              <w:rPr>
                <w:sz w:val="19"/>
              </w:rPr>
              <w:t>75.0%</w:t>
            </w:r>
          </w:p>
        </w:tc>
        <w:tc>
          <w:tcPr>
            <w:tcW w:type="dxa" w:w="1474"/>
          </w:tcPr>
          <w:p>
            <w:pPr>
              <w:spacing w:after="40"/>
            </w:pPr>
            <w:r>
              <w:rPr>
                <w:sz w:val="19"/>
              </w:rPr>
              <w:t>96.7%</w:t>
            </w:r>
          </w:p>
        </w:tc>
        <w:tc>
          <w:tcPr>
            <w:tcW w:type="dxa" w:w="1701"/>
          </w:tcPr>
          <w:p>
            <w:pPr>
              <w:spacing w:after="40"/>
            </w:pPr>
            <w:r>
              <w:rPr>
                <w:sz w:val="19"/>
              </w:rPr>
              <w:t>0.0182</w:t>
            </w:r>
          </w:p>
        </w:tc>
      </w:tr>
      <w:tr>
        <w:tc>
          <w:tcPr>
            <w:tcW w:type="dxa" w:w="2268"/>
          </w:tcPr>
          <w:p>
            <w:pPr>
              <w:spacing w:after="40"/>
            </w:pPr>
            <w:r>
              <w:rPr>
                <w:sz w:val="19"/>
              </w:rPr>
              <w:t>Student-t, nu = 10</w:t>
            </w:r>
          </w:p>
        </w:tc>
        <w:tc>
          <w:tcPr>
            <w:tcW w:type="dxa" w:w="2041"/>
          </w:tcPr>
          <w:p>
            <w:pPr>
              <w:spacing w:after="40"/>
            </w:pPr>
            <w:r>
              <w:rPr>
                <w:sz w:val="19"/>
              </w:rPr>
              <w:t>1.4258</w:t>
            </w:r>
          </w:p>
        </w:tc>
        <w:tc>
          <w:tcPr>
            <w:tcW w:type="dxa" w:w="1474"/>
          </w:tcPr>
          <w:p>
            <w:pPr>
              <w:spacing w:after="40"/>
            </w:pPr>
            <w:r>
              <w:rPr>
                <w:sz w:val="19"/>
              </w:rPr>
              <w:t>75.9%</w:t>
            </w:r>
          </w:p>
        </w:tc>
        <w:tc>
          <w:tcPr>
            <w:tcW w:type="dxa" w:w="1474"/>
          </w:tcPr>
          <w:p>
            <w:pPr>
              <w:spacing w:after="40"/>
            </w:pPr>
            <w:r>
              <w:rPr>
                <w:sz w:val="19"/>
              </w:rPr>
              <w:t>96.8%</w:t>
            </w:r>
          </w:p>
        </w:tc>
        <w:tc>
          <w:tcPr>
            <w:tcW w:type="dxa" w:w="1701"/>
          </w:tcPr>
          <w:p>
            <w:pPr>
              <w:spacing w:after="40"/>
            </w:pPr>
            <w:r>
              <w:rPr>
                <w:sz w:val="19"/>
              </w:rPr>
              <w:t>0.0197</w:t>
            </w:r>
          </w:p>
        </w:tc>
      </w:tr>
      <w:tr>
        <w:tc>
          <w:tcPr>
            <w:tcW w:type="dxa" w:w="2268"/>
          </w:tcPr>
          <w:p>
            <w:pPr>
              <w:spacing w:after="40"/>
            </w:pPr>
            <w:r>
              <w:rPr>
                <w:sz w:val="19"/>
              </w:rPr>
              <w:t>Student-t, nu = 20</w:t>
            </w:r>
          </w:p>
        </w:tc>
        <w:tc>
          <w:tcPr>
            <w:tcW w:type="dxa" w:w="2041"/>
          </w:tcPr>
          <w:p>
            <w:pPr>
              <w:spacing w:after="40"/>
            </w:pPr>
            <w:r>
              <w:rPr>
                <w:sz w:val="19"/>
              </w:rPr>
              <w:t>1.2062</w:t>
            </w:r>
          </w:p>
        </w:tc>
        <w:tc>
          <w:tcPr>
            <w:tcW w:type="dxa" w:w="1474"/>
          </w:tcPr>
          <w:p>
            <w:pPr>
              <w:spacing w:after="40"/>
            </w:pPr>
            <w:r>
              <w:rPr>
                <w:sz w:val="19"/>
              </w:rPr>
              <w:t>78.2%</w:t>
            </w:r>
          </w:p>
        </w:tc>
        <w:tc>
          <w:tcPr>
            <w:tcW w:type="dxa" w:w="1474"/>
          </w:tcPr>
          <w:p>
            <w:pPr>
              <w:spacing w:after="40"/>
            </w:pPr>
            <w:r>
              <w:rPr>
                <w:sz w:val="19"/>
              </w:rPr>
              <w:t>97.4%</w:t>
            </w:r>
          </w:p>
        </w:tc>
        <w:tc>
          <w:tcPr>
            <w:tcW w:type="dxa" w:w="1701"/>
          </w:tcPr>
          <w:p>
            <w:pPr>
              <w:spacing w:after="40"/>
            </w:pPr>
            <w:r>
              <w:rPr>
                <w:sz w:val="19"/>
              </w:rPr>
              <w:t>0.0214</w:t>
            </w:r>
          </w:p>
        </w:tc>
      </w:tr>
    </w:tbl>
    <w:p>
      <w:pPr>
        <w:keepNext w:val="0"/>
        <w:spacing w:after="160"/>
      </w:pPr>
      <w:r>
        <w:rPr>
          <w:b w:val="0"/>
          <w:i w:val="0"/>
          <w:sz w:val="22"/>
        </w:rPr>
      </w:r>
    </w:p>
    <w:p>
      <w:pPr>
        <w:keepNext w:val="0"/>
        <w:spacing w:after="120"/>
      </w:pPr>
      <w:r>
        <w:rPr>
          <w:b w:val="0"/>
          <w:i w:val="0"/>
          <w:sz w:val="22"/>
        </w:rPr>
        <w:t>The criterion prefers the Student-t at every value of nu tested, and prefers heavier tails monotonically, selecting the smallest value on the grid, nu = 2. Two qualifications follow. First, nu = 2 has infinite variance, so the fitted model has a well-defined median and scale but no finite predictive variance; this is defensible for a criterion based on predictive density but would be inappropriate if a variance were needed downstream. Second, because the selected value sits at the edge of the grid, the data are indicating that they would prefer heavier tails still, and a wider grid or a prior on nu would be the principled next step rather than accepting an edge solution. The sensitivity of the criterion across the grid is shown below; the ordering is stable and not an artefact of a single value.</w:t>
      </w:r>
    </w:p>
    <w:p>
      <w:pPr>
        <w:keepNext/>
        <w:spacing w:after="40"/>
        <w:jc w:val="center"/>
      </w:pPr>
      <w:r>
        <w:drawing>
          <wp:inline xmlns:a="http://schemas.openxmlformats.org/drawingml/2006/main" xmlns:pic="http://schemas.openxmlformats.org/drawingml/2006/picture">
            <wp:extent cx="5577840" cy="1855085"/>
            <wp:docPr id="7" name="Picture 7" descr="Two line charts against degrees of freedom on a logarithmic axis, showing log predictive density decreasing with nu and coverage remaining well above the nominal level for every candidate." title="Two line charts against degrees of freedom on a logarithmic axis, showing log pr"/>
            <wp:cNvGraphicFramePr>
              <a:graphicFrameLocks noChangeAspect="1"/>
            </wp:cNvGraphicFramePr>
            <a:graphic>
              <a:graphicData uri="http://schemas.openxmlformats.org/drawingml/2006/picture">
                <pic:pic>
                  <pic:nvPicPr>
                    <pic:cNvPr id="0" name="fig_nu_selection.png"/>
                    <pic:cNvPicPr/>
                  </pic:nvPicPr>
                  <pic:blipFill>
                    <a:blip r:embed="rId15"/>
                    <a:stretch>
                      <a:fillRect/>
                    </a:stretch>
                  </pic:blipFill>
                  <pic:spPr>
                    <a:xfrm>
                      <a:off x="0" y="0"/>
                      <a:ext cx="5577840" cy="1855085"/>
                    </a:xfrm>
                    <a:prstGeom prst="rect"/>
                  </pic:spPr>
                </pic:pic>
              </a:graphicData>
            </a:graphic>
          </wp:inline>
        </w:drawing>
      </w:r>
    </w:p>
    <w:p>
      <w:pPr>
        <w:spacing w:after="240"/>
        <w:jc w:val="center"/>
      </w:pPr>
      <w:r>
        <w:rPr>
          <w:i/>
          <w:sz w:val="19"/>
        </w:rPr>
        <w:t>Figure 7. Validation log predictive density (left) and 50 percent interval coverage (right) across the grid of degrees of freedom, with the Gaussian shown as a horizontal reference. The criterion decreases monotonically in nu.</w:t>
      </w:r>
    </w:p>
    <w:p>
      <w:pPr>
        <w:pStyle w:val="Heading2"/>
        <w:keepNext/>
      </w:pPr>
      <w:r>
        <w:t>6.3 Test-Set Performance</w:t>
      </w:r>
    </w:p>
    <w:p>
      <w:pPr>
        <w:keepNext w:val="0"/>
        <w:spacing w:after="120"/>
      </w:pPr>
      <w:r>
        <w:rPr>
          <w:b w:val="0"/>
          <w:i w:val="0"/>
          <w:sz w:val="22"/>
        </w:rPr>
        <w:t>The test split is used here and nowhere else. Errors are reported both in standardised units and in CPU percentage points, obtained by multiplying by the training standard deviation of the target, 4.999 percentage points.</w:t>
      </w:r>
    </w:p>
    <w:p>
      <w:pPr>
        <w:keepNext w:val="0"/>
        <w:spacing w:after="120"/>
      </w:pPr>
      <w:r>
        <w:rPr>
          <w:b w:val="0"/>
          <w:i w:val="0"/>
          <w:sz w:val="22"/>
        </w:rPr>
        <w:t>The Student-t model is held to the same standard as the samplers in Section 5. It is fitted with 4 chains from overdispersed starting points and diagnosed with the same estimators and the same worst-case aggregation, giving R-hat 1.0013 and minimum bulk ESS 2272, which meets the criterion of R-hat below 1.01 and bulk ESS at least 400 used throughout. Every Student-t number reported in this section comes from those 4 chains pooled, not from a single run. This matters because the argument of Section 5 is that a sampler which has not been diagnosed cannot support conclusions, and that argument applies to the model used for the predictive results just as much as to the ones being compared.</w:t>
      </w:r>
    </w:p>
    <w:p>
      <w:pPr>
        <w:keepNext/>
        <w:spacing w:after="60"/>
      </w:pPr>
      <w:r>
        <w:rPr>
          <w:i/>
          <w:sz w:val="19"/>
        </w:rPr>
        <w:t>Table 10. Test-set accuracy in standardised units and in CPU percentage points.</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3061"/>
          </w:tcPr>
          <w:p>
            <w:pPr>
              <w:spacing w:after="40"/>
            </w:pPr>
            <w:r>
              <w:rPr>
                <w:b/>
                <w:sz w:val="19"/>
              </w:rPr>
              <w:t>Model</w:t>
            </w:r>
          </w:p>
        </w:tc>
        <w:tc>
          <w:tcPr>
            <w:tcW w:type="dxa" w:w="1247"/>
          </w:tcPr>
          <w:p>
            <w:pPr>
              <w:spacing w:after="40"/>
            </w:pPr>
            <w:r>
              <w:rPr>
                <w:b/>
                <w:sz w:val="19"/>
              </w:rPr>
              <w:t>RMSE</w:t>
            </w:r>
          </w:p>
        </w:tc>
        <w:tc>
          <w:tcPr>
            <w:tcW w:type="dxa" w:w="1361"/>
          </w:tcPr>
          <w:p>
            <w:pPr>
              <w:spacing w:after="40"/>
            </w:pPr>
            <w:r>
              <w:rPr>
                <w:b/>
                <w:sz w:val="19"/>
              </w:rPr>
              <w:t>RMSE (pp)</w:t>
            </w:r>
          </w:p>
        </w:tc>
        <w:tc>
          <w:tcPr>
            <w:tcW w:type="dxa" w:w="1701"/>
          </w:tcPr>
          <w:p>
            <w:pPr>
              <w:spacing w:after="40"/>
            </w:pPr>
            <w:r>
              <w:rPr>
                <w:b/>
                <w:sz w:val="19"/>
              </w:rPr>
              <w:t>Median abs. error</w:t>
            </w:r>
          </w:p>
        </w:tc>
        <w:tc>
          <w:tcPr>
            <w:tcW w:type="dxa" w:w="1928"/>
          </w:tcPr>
          <w:p>
            <w:pPr>
              <w:spacing w:after="40"/>
            </w:pPr>
            <w:r>
              <w:rPr>
                <w:b/>
                <w:sz w:val="19"/>
              </w:rPr>
              <w:t>Median abs. error (pp)</w:t>
            </w:r>
          </w:p>
        </w:tc>
      </w:tr>
      <w:tr>
        <w:tc>
          <w:tcPr>
            <w:tcW w:type="dxa" w:w="3061"/>
          </w:tcPr>
          <w:p>
            <w:pPr>
              <w:spacing w:after="40"/>
            </w:pPr>
            <w:r>
              <w:rPr>
                <w:sz w:val="19"/>
              </w:rPr>
              <w:t>OLS baseline</w:t>
            </w:r>
          </w:p>
        </w:tc>
        <w:tc>
          <w:tcPr>
            <w:tcW w:type="dxa" w:w="1247"/>
          </w:tcPr>
          <w:p>
            <w:pPr>
              <w:spacing w:after="40"/>
            </w:pPr>
            <w:r>
              <w:rPr>
                <w:sz w:val="19"/>
              </w:rPr>
              <w:t>0.2658</w:t>
            </w:r>
          </w:p>
        </w:tc>
        <w:tc>
          <w:tcPr>
            <w:tcW w:type="dxa" w:w="1361"/>
          </w:tcPr>
          <w:p>
            <w:pPr>
              <w:spacing w:after="40"/>
            </w:pPr>
            <w:r>
              <w:rPr>
                <w:sz w:val="19"/>
              </w:rPr>
              <w:t>1.329</w:t>
            </w:r>
          </w:p>
        </w:tc>
        <w:tc>
          <w:tcPr>
            <w:tcW w:type="dxa" w:w="1701"/>
          </w:tcPr>
          <w:p>
            <w:pPr>
              <w:spacing w:after="40"/>
            </w:pPr>
            <w:r>
              <w:rPr>
                <w:sz w:val="19"/>
              </w:rPr>
              <w:t>0.0421</w:t>
            </w:r>
          </w:p>
        </w:tc>
        <w:tc>
          <w:tcPr>
            <w:tcW w:type="dxa" w:w="1928"/>
          </w:tcPr>
          <w:p>
            <w:pPr>
              <w:spacing w:after="40"/>
            </w:pPr>
            <w:r>
              <w:rPr>
                <w:sz w:val="19"/>
              </w:rPr>
              <w:t>0.210</w:t>
            </w:r>
          </w:p>
        </w:tc>
      </w:tr>
      <w:tr>
        <w:tc>
          <w:tcPr>
            <w:tcW w:type="dxa" w:w="3061"/>
          </w:tcPr>
          <w:p>
            <w:pPr>
              <w:spacing w:after="40"/>
            </w:pPr>
            <w:r>
              <w:rPr>
                <w:sz w:val="19"/>
              </w:rPr>
              <w:t>Bayesian, Gaussian likelihood</w:t>
            </w:r>
          </w:p>
        </w:tc>
        <w:tc>
          <w:tcPr>
            <w:tcW w:type="dxa" w:w="1247"/>
          </w:tcPr>
          <w:p>
            <w:pPr>
              <w:spacing w:after="40"/>
            </w:pPr>
            <w:r>
              <w:rPr>
                <w:sz w:val="19"/>
              </w:rPr>
              <w:t>0.2658</w:t>
            </w:r>
          </w:p>
        </w:tc>
        <w:tc>
          <w:tcPr>
            <w:tcW w:type="dxa" w:w="1361"/>
          </w:tcPr>
          <w:p>
            <w:pPr>
              <w:spacing w:after="40"/>
            </w:pPr>
            <w:r>
              <w:rPr>
                <w:sz w:val="19"/>
              </w:rPr>
              <w:t>1.329</w:t>
            </w:r>
          </w:p>
        </w:tc>
        <w:tc>
          <w:tcPr>
            <w:tcW w:type="dxa" w:w="1701"/>
          </w:tcPr>
          <w:p>
            <w:pPr>
              <w:spacing w:after="40"/>
            </w:pPr>
            <w:r>
              <w:rPr>
                <w:sz w:val="19"/>
              </w:rPr>
              <w:t>0.0420</w:t>
            </w:r>
          </w:p>
        </w:tc>
        <w:tc>
          <w:tcPr>
            <w:tcW w:type="dxa" w:w="1928"/>
          </w:tcPr>
          <w:p>
            <w:pPr>
              <w:spacing w:after="40"/>
            </w:pPr>
            <w:r>
              <w:rPr>
                <w:sz w:val="19"/>
              </w:rPr>
              <w:t>0.210</w:t>
            </w:r>
          </w:p>
        </w:tc>
      </w:tr>
      <w:tr>
        <w:tc>
          <w:tcPr>
            <w:tcW w:type="dxa" w:w="3061"/>
          </w:tcPr>
          <w:p>
            <w:pPr>
              <w:spacing w:after="40"/>
            </w:pPr>
            <w:r>
              <w:rPr>
                <w:sz w:val="19"/>
              </w:rPr>
              <w:t>Bayesian, Student-t (nu = 2)</w:t>
            </w:r>
          </w:p>
        </w:tc>
        <w:tc>
          <w:tcPr>
            <w:tcW w:type="dxa" w:w="1247"/>
          </w:tcPr>
          <w:p>
            <w:pPr>
              <w:spacing w:after="40"/>
            </w:pPr>
            <w:r>
              <w:rPr>
                <w:sz w:val="19"/>
              </w:rPr>
              <w:t>0.2047</w:t>
            </w:r>
          </w:p>
        </w:tc>
        <w:tc>
          <w:tcPr>
            <w:tcW w:type="dxa" w:w="1361"/>
          </w:tcPr>
          <w:p>
            <w:pPr>
              <w:spacing w:after="40"/>
            </w:pPr>
            <w:r>
              <w:rPr>
                <w:sz w:val="19"/>
              </w:rPr>
              <w:t>1.023</w:t>
            </w:r>
          </w:p>
        </w:tc>
        <w:tc>
          <w:tcPr>
            <w:tcW w:type="dxa" w:w="1701"/>
          </w:tcPr>
          <w:p>
            <w:pPr>
              <w:spacing w:after="40"/>
            </w:pPr>
            <w:r>
              <w:rPr>
                <w:sz w:val="19"/>
              </w:rPr>
              <w:t>0.0145</w:t>
            </w:r>
          </w:p>
        </w:tc>
        <w:tc>
          <w:tcPr>
            <w:tcW w:type="dxa" w:w="1928"/>
          </w:tcPr>
          <w:p>
            <w:pPr>
              <w:spacing w:after="40"/>
            </w:pPr>
            <w:r>
              <w:rPr>
                <w:sz w:val="19"/>
              </w:rPr>
              <w:t>0.072</w:t>
            </w:r>
          </w:p>
        </w:tc>
      </w:tr>
    </w:tbl>
    <w:p>
      <w:pPr>
        <w:keepNext w:val="0"/>
        <w:spacing w:after="160"/>
      </w:pPr>
      <w:r>
        <w:rPr>
          <w:b w:val="0"/>
          <w:i w:val="0"/>
          <w:sz w:val="22"/>
        </w:rPr>
      </w:r>
    </w:p>
    <w:p>
      <w:pPr>
        <w:keepNext w:val="0"/>
        <w:spacing w:after="120"/>
      </w:pPr>
      <w:r>
        <w:rPr>
          <w:b w:val="0"/>
          <w:i w:val="0"/>
          <w:sz w:val="22"/>
        </w:rPr>
        <w:t>The Gaussian Bayesian model and ordinary least squares are indistinguishable in point accuracy, which is expected: with weak priors and 3,000 training observations the posterior mean is essentially the least-squares solution, and the value of the Bayesian treatment lies in the predictive distribution rather than the point estimate. The gap between RMSE and median absolute error, a factor of about 6, is the first sign that the error distribution is far from Gaussian: a few large errors dominate the squared measure while the typical error is much smaller. The Student-t model reduces the median absolute error from 0.210 to 0.072 percentage points.</w:t>
      </w:r>
    </w:p>
    <w:p>
      <w:pPr>
        <w:pStyle w:val="Heading2"/>
        <w:keepNext/>
      </w:pPr>
      <w:r>
        <w:t>6.4 Residual Behaviour</w:t>
      </w:r>
    </w:p>
    <w:p>
      <w:pPr>
        <w:keepNext w:val="0"/>
        <w:spacing w:after="120"/>
      </w:pPr>
      <w:r>
        <w:rPr>
          <w:b w:val="0"/>
          <w:i w:val="0"/>
          <w:sz w:val="22"/>
        </w:rPr>
        <w:t>Two properties of the residuals shape the calibration results. They are strongly non-Gaussian, with excess kurtosis 111 and a ratio of standard deviation to robust standard deviation of 5.12, so almost all residuals are small and a few are very large. This is what a CPU trace of quiet periods punctuated by spikes produces. A Gaussian likelihood has one parameter with which to describe both regimes and inflates sigma^2 to cover the spikes.</w:t>
      </w:r>
    </w:p>
    <w:p>
      <w:pPr>
        <w:keepNext w:val="0"/>
        <w:spacing w:after="120"/>
      </w:pPr>
      <w:r>
        <w:rPr>
          <w:b w:val="0"/>
          <w:i w:val="0"/>
          <w:sz w:val="22"/>
        </w:rPr>
        <w:t>They also remain autocorrelated within each machine. The median per-machine lag-one residual autocorrelation is -0.201 and 15 of 48 machines reject the Ljung-Box test at the 5 percent level (median p = 0.093). The model treats observations as conditionally independent given the predictors, and the lag terms absorb much but not all of the serial structure within each machine. Remaining autocorrelation means the effective number of independent test observations is smaller than the nominal count, which is why the coverage estimates below are accompanied by cluster-bootstrap intervals that resample machines with replacement rather than binomial ones.</w:t>
      </w:r>
    </w:p>
    <w:p>
      <w:pPr>
        <w:keepNext/>
        <w:spacing w:after="40"/>
        <w:jc w:val="center"/>
      </w:pPr>
      <w:r>
        <w:drawing>
          <wp:inline xmlns:a="http://schemas.openxmlformats.org/drawingml/2006/main" xmlns:pic="http://schemas.openxmlformats.org/drawingml/2006/picture">
            <wp:extent cx="5577840" cy="1847581"/>
            <wp:docPr id="8" name="Picture 8" descr="Two panels: a bar chart of residual autocorrelation by lag against a confidence band, and a normal quantile-quantile plot curving away from the diagonal at both ends." title="Two panels: a bar chart of residual autocorrelation by lag against a confidence "/>
            <wp:cNvGraphicFramePr>
              <a:graphicFrameLocks noChangeAspect="1"/>
            </wp:cNvGraphicFramePr>
            <a:graphic>
              <a:graphicData uri="http://schemas.openxmlformats.org/drawingml/2006/picture">
                <pic:pic>
                  <pic:nvPicPr>
                    <pic:cNvPr id="0" name="fig_residuals.png"/>
                    <pic:cNvPicPr/>
                  </pic:nvPicPr>
                  <pic:blipFill>
                    <a:blip r:embed="rId16"/>
                    <a:stretch>
                      <a:fillRect/>
                    </a:stretch>
                  </pic:blipFill>
                  <pic:spPr>
                    <a:xfrm>
                      <a:off x="0" y="0"/>
                      <a:ext cx="5577840" cy="1847581"/>
                    </a:xfrm>
                    <a:prstGeom prst="rect"/>
                  </pic:spPr>
                </pic:pic>
              </a:graphicData>
            </a:graphic>
          </wp:inline>
        </w:drawing>
      </w:r>
    </w:p>
    <w:p>
      <w:pPr>
        <w:spacing w:after="240"/>
        <w:jc w:val="center"/>
      </w:pPr>
      <w:r>
        <w:rPr>
          <w:i/>
          <w:sz w:val="19"/>
        </w:rPr>
        <w:t>Figure 8. Left: residual autocorrelation on the test split with the band expected under independence. Right: normal Q-Q plot of the test residuals, whose S-shape is the signature of heavy tails.</w:t>
      </w:r>
    </w:p>
    <w:p>
      <w:pPr>
        <w:pStyle w:val="Heading2"/>
        <w:keepNext/>
      </w:pPr>
      <w:r>
        <w:t>6.5 Calibration</w:t>
      </w:r>
    </w:p>
    <w:p>
      <w:pPr>
        <w:keepNext/>
        <w:spacing w:after="60"/>
      </w:pPr>
      <w:r>
        <w:rPr>
          <w:i/>
          <w:sz w:val="19"/>
        </w:rPr>
        <w:t>Table 11. Posterior predictive interval coverage on the test split, with cluster-bootstrap 95 percent intervals (2,000 replicates, resampling machines with replacement) that account for within-machine serial dependence. Widths are in CPU percentage points.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tblHeader w:val="true"/>
          <w:cantSplit/>
        </w:trPr>
        <w:tc>
          <w:tcPr>
            <w:tcW w:type="dxa" w:w="1020"/>
          </w:tcPr>
          <w:p>
            <w:pPr>
              <w:spacing w:after="40"/>
            </w:pPr>
            <w:r>
              <w:rPr>
                <w:b/>
                <w:sz w:val="19"/>
              </w:rPr>
              <w:t>Nominal</w:t>
            </w:r>
          </w:p>
        </w:tc>
        <w:tc>
          <w:tcPr>
            <w:tcW w:type="dxa" w:w="1134"/>
          </w:tcPr>
          <w:p>
            <w:pPr>
              <w:spacing w:after="40"/>
            </w:pPr>
            <w:r>
              <w:rPr>
                <w:b/>
                <w:sz w:val="19"/>
              </w:rPr>
              <w:t>Gaussian</w:t>
            </w:r>
          </w:p>
        </w:tc>
        <w:tc>
          <w:tcPr>
            <w:tcW w:type="dxa" w:w="1701"/>
          </w:tcPr>
          <w:p>
            <w:pPr>
              <w:spacing w:after="40"/>
            </w:pPr>
            <w:r>
              <w:rPr>
                <w:b/>
                <w:sz w:val="19"/>
              </w:rPr>
              <w:t>Gaussian 95% CI</w:t>
            </w:r>
          </w:p>
        </w:tc>
        <w:tc>
          <w:tcPr>
            <w:tcW w:type="dxa" w:w="1134"/>
          </w:tcPr>
          <w:p>
            <w:pPr>
              <w:spacing w:after="40"/>
            </w:pPr>
            <w:r>
              <w:rPr>
                <w:b/>
                <w:sz w:val="19"/>
              </w:rPr>
              <w:t>Student-t</w:t>
            </w:r>
          </w:p>
        </w:tc>
        <w:tc>
          <w:tcPr>
            <w:tcW w:type="dxa" w:w="1701"/>
          </w:tcPr>
          <w:p>
            <w:pPr>
              <w:spacing w:after="40"/>
            </w:pPr>
            <w:r>
              <w:rPr>
                <w:b/>
                <w:sz w:val="19"/>
              </w:rPr>
              <w:t>Student-t 95% CI</w:t>
            </w:r>
          </w:p>
        </w:tc>
        <w:tc>
          <w:tcPr>
            <w:tcW w:type="dxa" w:w="1361"/>
          </w:tcPr>
          <w:p>
            <w:pPr>
              <w:spacing w:after="40"/>
            </w:pPr>
            <w:r>
              <w:rPr>
                <w:b/>
                <w:sz w:val="19"/>
              </w:rPr>
              <w:t>Width Gauss (pp)</w:t>
            </w:r>
          </w:p>
        </w:tc>
        <w:tc>
          <w:tcPr>
            <w:tcW w:type="dxa" w:w="1247"/>
          </w:tcPr>
          <w:p>
            <w:pPr>
              <w:spacing w:after="40"/>
            </w:pPr>
            <w:r>
              <w:rPr>
                <w:b/>
                <w:sz w:val="19"/>
              </w:rPr>
              <w:t>Width t (pp)</w:t>
            </w:r>
          </w:p>
        </w:tc>
      </w:tr>
      <w:tr>
        <w:tc>
          <w:tcPr>
            <w:tcW w:type="dxa" w:w="1020"/>
          </w:tcPr>
          <w:p>
            <w:pPr>
              <w:spacing w:after="40"/>
            </w:pPr>
            <w:r>
              <w:rPr>
                <w:sz w:val="19"/>
              </w:rPr>
              <w:t>50%</w:t>
            </w:r>
          </w:p>
        </w:tc>
        <w:tc>
          <w:tcPr>
            <w:tcW w:type="dxa" w:w="1134"/>
          </w:tcPr>
          <w:p>
            <w:pPr>
              <w:spacing w:after="40"/>
            </w:pPr>
            <w:r>
              <w:rPr>
                <w:sz w:val="19"/>
              </w:rPr>
              <w:t>94.7%</w:t>
            </w:r>
          </w:p>
        </w:tc>
        <w:tc>
          <w:tcPr>
            <w:tcW w:type="dxa" w:w="1701"/>
          </w:tcPr>
          <w:p>
            <w:pPr>
              <w:spacing w:after="40"/>
            </w:pPr>
            <w:r>
              <w:rPr>
                <w:sz w:val="19"/>
              </w:rPr>
              <w:t>[88.9%, 99.0%]</w:t>
            </w:r>
          </w:p>
        </w:tc>
        <w:tc>
          <w:tcPr>
            <w:tcW w:type="dxa" w:w="1134"/>
          </w:tcPr>
          <w:p>
            <w:pPr>
              <w:spacing w:after="40"/>
            </w:pPr>
            <w:r>
              <w:rPr>
                <w:sz w:val="19"/>
              </w:rPr>
              <w:t>74.1%</w:t>
            </w:r>
          </w:p>
        </w:tc>
        <w:tc>
          <w:tcPr>
            <w:tcW w:type="dxa" w:w="1701"/>
          </w:tcPr>
          <w:p>
            <w:pPr>
              <w:spacing w:after="40"/>
            </w:pPr>
            <w:r>
              <w:rPr>
                <w:sz w:val="19"/>
              </w:rPr>
              <w:t>[68.1%, 79.6%]</w:t>
            </w:r>
          </w:p>
        </w:tc>
        <w:tc>
          <w:tcPr>
            <w:tcW w:type="dxa" w:w="1361"/>
          </w:tcPr>
          <w:p>
            <w:pPr>
              <w:spacing w:after="40"/>
            </w:pPr>
            <w:r>
              <w:rPr>
                <w:sz w:val="19"/>
              </w:rPr>
              <w:t>2.36</w:t>
            </w:r>
          </w:p>
        </w:tc>
        <w:tc>
          <w:tcPr>
            <w:tcW w:type="dxa" w:w="1247"/>
          </w:tcPr>
          <w:p>
            <w:pPr>
              <w:spacing w:after="40"/>
            </w:pPr>
            <w:r>
              <w:rPr>
                <w:sz w:val="19"/>
              </w:rPr>
              <w:t>0.33</w:t>
            </w:r>
          </w:p>
        </w:tc>
      </w:tr>
      <w:tr>
        <w:tc>
          <w:tcPr>
            <w:tcW w:type="dxa" w:w="1020"/>
          </w:tcPr>
          <w:p>
            <w:pPr>
              <w:spacing w:after="40"/>
            </w:pPr>
            <w:r>
              <w:rPr>
                <w:sz w:val="19"/>
              </w:rPr>
              <w:t>95%</w:t>
            </w:r>
          </w:p>
        </w:tc>
        <w:tc>
          <w:tcPr>
            <w:tcW w:type="dxa" w:w="1134"/>
          </w:tcPr>
          <w:p>
            <w:pPr>
              <w:spacing w:after="40"/>
            </w:pPr>
            <w:r>
              <w:rPr>
                <w:sz w:val="19"/>
              </w:rPr>
              <w:t>98.8%</w:t>
            </w:r>
          </w:p>
        </w:tc>
        <w:tc>
          <w:tcPr>
            <w:tcW w:type="dxa" w:w="1701"/>
          </w:tcPr>
          <w:p>
            <w:pPr>
              <w:spacing w:after="40"/>
            </w:pPr>
            <w:r>
              <w:rPr>
                <w:sz w:val="19"/>
              </w:rPr>
              <w:t>[96.6%, 100.0%]</w:t>
            </w:r>
          </w:p>
        </w:tc>
        <w:tc>
          <w:tcPr>
            <w:tcW w:type="dxa" w:w="1134"/>
          </w:tcPr>
          <w:p>
            <w:pPr>
              <w:spacing w:after="40"/>
            </w:pPr>
            <w:r>
              <w:rPr>
                <w:sz w:val="19"/>
              </w:rPr>
              <w:t>97.6%</w:t>
            </w:r>
          </w:p>
        </w:tc>
        <w:tc>
          <w:tcPr>
            <w:tcW w:type="dxa" w:w="1701"/>
          </w:tcPr>
          <w:p>
            <w:pPr>
              <w:spacing w:after="40"/>
            </w:pPr>
            <w:r>
              <w:rPr>
                <w:sz w:val="19"/>
              </w:rPr>
              <w:t>[94.7%, 99.6%]</w:t>
            </w:r>
          </w:p>
        </w:tc>
        <w:tc>
          <w:tcPr>
            <w:tcW w:type="dxa" w:w="1361"/>
          </w:tcPr>
          <w:p>
            <w:pPr>
              <w:spacing w:after="40"/>
            </w:pPr>
            <w:r>
              <w:rPr>
                <w:sz w:val="19"/>
              </w:rPr>
              <w:t>6.86</w:t>
            </w:r>
          </w:p>
        </w:tc>
        <w:tc>
          <w:tcPr>
            <w:tcW w:type="dxa" w:w="1247"/>
          </w:tcPr>
          <w:p>
            <w:pPr>
              <w:spacing w:after="40"/>
            </w:pPr>
            <w:r>
              <w:rPr>
                <w:sz w:val="19"/>
              </w:rPr>
              <w:t>1.75</w:t>
            </w:r>
          </w:p>
        </w:tc>
      </w:tr>
    </w:tbl>
    <w:p>
      <w:pPr>
        <w:keepNext w:val="0"/>
        <w:spacing w:after="160"/>
      </w:pPr>
      <w:r>
        <w:rPr>
          <w:b w:val="0"/>
          <w:i w:val="0"/>
          <w:sz w:val="22"/>
        </w:rPr>
      </w:r>
    </w:p>
    <w:p>
      <w:pPr>
        <w:keepNext w:val="0"/>
        <w:spacing w:after="120"/>
      </w:pPr>
      <w:r>
        <w:rPr>
          <w:b w:val="0"/>
          <w:i w:val="0"/>
          <w:sz w:val="22"/>
        </w:rPr>
        <w:t>Under the Gaussian likelihood the intervals are far too wide. A nominal 50 percent interval covers 94.7% of test observations, roughly 1.9 times the intended rate, and the nominal 95 percent interval covers 98.8%. The bootstrap intervals show this is not sampling noise.</w:t>
      </w:r>
    </w:p>
    <w:p>
      <w:pPr>
        <w:keepNext w:val="0"/>
        <w:spacing w:after="120"/>
      </w:pPr>
      <w:r>
        <w:rPr>
          <w:b w:val="0"/>
          <w:i w:val="0"/>
          <w:sz w:val="22"/>
        </w:rPr>
        <w:t>The Student-t likelihood improves calibration substantially but does not fix it. Coverage of the nominal 50 percent interval falls from 94.7% to 74.1% and the mean width from 2.36 to 0.33 percentage points, yet 74.1% against a nominal 50 percent is still severely miscalibrated, covering roughly 1.5 times the intended fraction of observations. This is a partial improvement, not a repair, and the residual miscalibration is consistent with the diagnostics of Section 6.4: a Student-t with a single scale still assumes one noise level for every machine and every time, whereas the data are heteroscedastic across machines, as Section 3.5 showed, and serially dependent.</w:t>
      </w:r>
    </w:p>
    <w:p>
      <w:pPr>
        <w:keepNext w:val="0"/>
        <w:spacing w:after="120"/>
      </w:pPr>
      <w:r>
        <w:rPr>
          <w:b w:val="0"/>
          <w:i w:val="0"/>
          <w:sz w:val="22"/>
        </w:rPr>
        <w:t>A useful check confirms that the cause lies in the likelihood rather than in the sampler or the priors: the same over-coverage appears when intervals are built from an ordinary least-squares fit and its residual standard deviation, with no Bayesian machinery at all.</w:t>
      </w:r>
    </w:p>
    <w:p>
      <w:pPr>
        <w:keepNext/>
        <w:spacing w:after="40"/>
        <w:jc w:val="center"/>
      </w:pPr>
      <w:r>
        <w:drawing>
          <wp:inline xmlns:a="http://schemas.openxmlformats.org/drawingml/2006/main" xmlns:pic="http://schemas.openxmlformats.org/drawingml/2006/picture">
            <wp:extent cx="5577840" cy="1847581"/>
            <wp:docPr id="9" name="Picture 9" descr="Two bar charts comparing Gaussian and Student-t likelihoods, showing coverage well above nominal for both and much narrower intervals under the Student-t." title="Two bar charts comparing Gaussian and Student-t likelihoods, showing coverage we"/>
            <wp:cNvGraphicFramePr>
              <a:graphicFrameLocks noChangeAspect="1"/>
            </wp:cNvGraphicFramePr>
            <a:graphic>
              <a:graphicData uri="http://schemas.openxmlformats.org/drawingml/2006/picture">
                <pic:pic>
                  <pic:nvPicPr>
                    <pic:cNvPr id="0" name="fig_calibration.png"/>
                    <pic:cNvPicPr/>
                  </pic:nvPicPr>
                  <pic:blipFill>
                    <a:blip r:embed="rId17"/>
                    <a:stretch>
                      <a:fillRect/>
                    </a:stretch>
                  </pic:blipFill>
                  <pic:spPr>
                    <a:xfrm>
                      <a:off x="0" y="0"/>
                      <a:ext cx="5577840" cy="1847581"/>
                    </a:xfrm>
                    <a:prstGeom prst="rect"/>
                  </pic:spPr>
                </pic:pic>
              </a:graphicData>
            </a:graphic>
          </wp:inline>
        </w:drawing>
      </w:r>
    </w:p>
    <w:p>
      <w:pPr>
        <w:spacing w:after="240"/>
        <w:jc w:val="center"/>
      </w:pPr>
      <w:r>
        <w:rPr>
          <w:i/>
          <w:sz w:val="19"/>
        </w:rPr>
        <w:t>Figure 9. Left: coverage of posterior predictive intervals under each likelihood, with cluster-bootstrap intervals and stars marking the nominal levels. Right: mean interval width in CPU percentage points.</w:t>
      </w:r>
    </w:p>
    <w:p>
      <w:pPr>
        <w:keepNext/>
        <w:spacing w:after="40"/>
        <w:jc w:val="center"/>
      </w:pPr>
      <w:r>
        <w:drawing>
          <wp:inline xmlns:a="http://schemas.openxmlformats.org/drawingml/2006/main" xmlns:pic="http://schemas.openxmlformats.org/drawingml/2006/picture">
            <wp:extent cx="5577840" cy="2150493"/>
            <wp:docPr id="10" name="Picture 10" descr="A time-series chart comparing actual and predicted CPU utilisation with a shaded predictive interval that is visibly wider than the typical prediction error." title="A time-series chart comparing actual and predicted CPU utilisation with a shaded"/>
            <wp:cNvGraphicFramePr>
              <a:graphicFrameLocks noChangeAspect="1"/>
            </wp:cNvGraphicFramePr>
            <a:graphic>
              <a:graphicData uri="http://schemas.openxmlformats.org/drawingml/2006/picture">
                <pic:pic>
                  <pic:nvPicPr>
                    <pic:cNvPr id="0" name="fig_predictions.png"/>
                    <pic:cNvPicPr/>
                  </pic:nvPicPr>
                  <pic:blipFill>
                    <a:blip r:embed="rId18"/>
                    <a:stretch>
                      <a:fillRect/>
                    </a:stretch>
                  </pic:blipFill>
                  <pic:spPr>
                    <a:xfrm>
                      <a:off x="0" y="0"/>
                      <a:ext cx="5577840" cy="2150493"/>
                    </a:xfrm>
                    <a:prstGeom prst="rect"/>
                  </pic:spPr>
                </pic:pic>
              </a:graphicData>
            </a:graphic>
          </wp:inline>
        </w:drawing>
      </w:r>
    </w:p>
    <w:p>
      <w:pPr>
        <w:spacing w:after="240"/>
        <w:jc w:val="center"/>
      </w:pPr>
      <w:r>
        <w:rPr>
          <w:i/>
          <w:sz w:val="19"/>
        </w:rPr>
        <w:t>Figure 10. One-step-ahead forecasts on the test split in original units, with the 95 percent posterior predictive interval.</w:t>
      </w:r>
    </w:p>
    <w:p>
      <w:pPr>
        <w:pStyle w:val="Heading1"/>
        <w:keepNext/>
      </w:pPr>
      <w:r>
        <w:t>7. Discussion</w:t>
      </w:r>
    </w:p>
    <w:p>
      <w:pPr>
        <w:keepNext w:val="0"/>
        <w:spacing w:after="120"/>
      </w:pPr>
      <w:r>
        <w:rPr>
          <w:b/>
          <w:i w:val="0"/>
          <w:sz w:val="22"/>
        </w:rPr>
        <w:t>Answers to the research questions.</w:t>
      </w:r>
    </w:p>
    <w:p>
      <w:pPr>
        <w:keepNext w:val="0"/>
        <w:spacing w:after="120"/>
      </w:pPr>
      <w:r>
        <w:rPr>
          <w:b w:val="0"/>
          <w:i w:val="0"/>
          <w:sz w:val="22"/>
        </w:rPr>
        <w:t>RQ1. Two of the five samplers converge at the standard 10,000 draws per chain. Preconditioned Metropolis converges only with a longer run of 40,000 draws. The two that fail entirely do so because the posterior is anisotropic, with condition number 314 arising from the near-collinear lag features, and because an isotropic random-walk proposal cannot cope with that geometry. Supplying a metric from the observed Fisher information largely repairs it; estimating the metric from the chain itself does not, under the burn-in budget tested.</w:t>
      </w:r>
    </w:p>
    <w:p>
      <w:pPr>
        <w:keepNext w:val="0"/>
        <w:spacing w:after="120"/>
      </w:pPr>
      <w:r>
        <w:rPr>
          <w:b w:val="0"/>
          <w:i w:val="0"/>
          <w:sz w:val="22"/>
        </w:rPr>
        <w:t>RQ2. Among the samplers that converge at the standard run length, Gibbs is the most efficient both per second and per draw in this conjugate setting. HMC produces nearly uncorrelated draws but pays for L gradient evaluations per iteration, and the sensitivity grid shows its efficiency per gradient depends jointly on step size and trajectory length, with the best configuration not the one with the highest acceptance rate.</w:t>
      </w:r>
    </w:p>
    <w:p>
      <w:pPr>
        <w:keepNext w:val="0"/>
        <w:spacing w:after="120"/>
      </w:pPr>
      <w:r>
        <w:rPr>
          <w:b w:val="0"/>
          <w:i w:val="0"/>
          <w:sz w:val="22"/>
        </w:rPr>
        <w:t>RQ3. The intervals are not calibrated. A Gaussian likelihood produces nominal 50 percent intervals covering 94.7%, because heavy-tailed residuals inflate the single noise parameter. A Student-t likelihood selected on validation data reduces this to 74.1%, a substantial but partial improvement.</w:t>
      </w:r>
    </w:p>
    <w:p>
      <w:pPr>
        <w:keepNext w:val="0"/>
        <w:spacing w:after="120"/>
      </w:pPr>
      <w:r>
        <w:rPr>
          <w:b/>
          <w:i w:val="0"/>
          <w:sz w:val="22"/>
        </w:rPr>
        <w:t>Strengths and weaknesses of each sampler.</w:t>
      </w:r>
    </w:p>
    <w:p>
      <w:pPr>
        <w:pStyle w:val="ListBullet"/>
        <w:ind w:left="720"/>
      </w:pPr>
      <w:r>
        <w:t>Metropolis-Hastings: the most general, needing only pointwise density evaluation, and the cheapest per iteration. On this posterior it did not converge, so its generality is of no practical use here without preconditioning.</w:t>
      </w:r>
    </w:p>
    <w:p>
      <w:pPr>
        <w:pStyle w:val="ListBullet"/>
        <w:ind w:left="720"/>
      </w:pPr>
      <w:r>
        <w:t>Adaptive Metropolis: sound in principle and standard in practice, but unable to bootstrap a proposal covariance from a chain that mixes too slowly during the burn-in available. A longer adaptation phase would be the obvious remedy.</w:t>
      </w:r>
    </w:p>
    <w:p>
      <w:pPr>
        <w:pStyle w:val="ListBullet"/>
        <w:ind w:left="720"/>
      </w:pPr>
      <w:r>
        <w:t>Preconditioned Metropolis: keeps the generality of Metropolis while removing the anisotropy penalty, at negligible extra cost, and needs no conjugacy. It converges only with a longer run and remains a random walk, an order of magnitude behind Gibbs and HMC in effective sample size.</w:t>
      </w:r>
    </w:p>
    <w:p>
      <w:pPr>
        <w:pStyle w:val="ListBullet"/>
        <w:ind w:left="720"/>
      </w:pPr>
      <w:r>
        <w:t>Gibbs: no tuning, exact conditionals, insensitive to the starting point, and the fastest here. It requires closed-form conditionals, which exist only because of the prior structure chosen, so it does not generalise to most realistic models.</w:t>
      </w:r>
    </w:p>
    <w:p>
      <w:pPr>
        <w:pStyle w:val="ListBullet"/>
        <w:ind w:left="720"/>
      </w:pPr>
      <w:r>
        <w:t>Hamiltonian Monte Carlo: near-independent draws and the best scaling to higher dimensions, at the cost of a differentiable log posterior and two tuning parameters.</w:t>
      </w:r>
    </w:p>
    <w:p>
      <w:pPr>
        <w:keepNext w:val="0"/>
        <w:spacing w:after="120"/>
      </w:pPr>
      <w:r>
        <w:rPr>
          <w:b/>
          <w:i w:val="0"/>
          <w:sz w:val="22"/>
        </w:rPr>
        <w:t>Limitations.</w:t>
      </w:r>
    </w:p>
    <w:p>
      <w:pPr>
        <w:pStyle w:val="ListBullet"/>
        <w:ind w:left="720"/>
      </w:pPr>
      <w:r>
        <w:t>The model is linear and pools all machines under one coefficient vector, which Section 3.5 shows is only approximately right.</w:t>
      </w:r>
    </w:p>
    <w:p>
      <w:pPr>
        <w:pStyle w:val="ListBullet"/>
        <w:ind w:left="720"/>
      </w:pPr>
      <w:r>
        <w:t>Only 4,368 observations are used, so the test split contains 680 rows and the coverage estimates carry the uncertainty shown by the bootstrap intervals.</w:t>
      </w:r>
    </w:p>
    <w:p>
      <w:pPr>
        <w:pStyle w:val="ListBullet"/>
        <w:ind w:left="720"/>
      </w:pPr>
      <w:r>
        <w:t>The selected degrees of freedom sits at the edge of the tested grid, so the data would prefer heavier tails than the grid allows.</w:t>
      </w:r>
    </w:p>
    <w:p>
      <w:pPr>
        <w:pStyle w:val="ListBullet"/>
        <w:ind w:left="720"/>
      </w:pPr>
      <w:r>
        <w:t>Residual autocorrelation remains, so the conditional independence assumption of the likelihood is not satisfied and reported uncertainties are optimistic in that respect.</w:t>
      </w:r>
    </w:p>
    <w:p>
      <w:pPr>
        <w:pStyle w:val="ListBullet"/>
        <w:ind w:left="720"/>
      </w:pPr>
      <w:r>
        <w:t>Conclusions come from one dataset, and the ranking of samplers depends on posterior geometry, which is dataset-specific.</w:t>
      </w:r>
    </w:p>
    <w:p>
      <w:pPr>
        <w:pStyle w:val="Heading1"/>
        <w:keepNext/>
      </w:pPr>
      <w:r>
        <w:t>8. Conclusions</w:t>
      </w:r>
    </w:p>
    <w:p>
      <w:pPr>
        <w:pStyle w:val="ListBullet"/>
        <w:ind w:left="720"/>
      </w:pPr>
      <w:r>
        <w:t>On this posterior, Gibbs sampling and Hamiltonian Monte Carlo converge at the standard 10,000 draws per chain, reproducing a deterministic quadrature reference to within 0.0010. Fisher-preconditioned Metropolis converges only with a longer run of 40,000 draws. Random-walk Metropolis and adaptive Metropolis do not converge, reaching R-hat 4.53 and 3.48.</w:t>
      </w:r>
    </w:p>
    <w:p>
      <w:pPr>
        <w:pStyle w:val="ListBullet"/>
        <w:ind w:left="720"/>
      </w:pPr>
      <w:r>
        <w:t>The failure is explained by posterior anisotropy, condition number 314, caused by near-collinear lag features. Preconditioning with the observed Fisher information raises bulk ESS from 4.2 to 599 at negligible cost.</w:t>
      </w:r>
    </w:p>
    <w:p>
      <w:pPr>
        <w:pStyle w:val="ListBullet"/>
        <w:ind w:left="720"/>
      </w:pPr>
      <w:r>
        <w:t>Estimating the proposal covariance from the chain itself failed under the configuration tested, collapsing acceptance to 1.1%. This is a property of the burn-in budget and initial proposal, not a general property of adaptive Metropolis.</w:t>
      </w:r>
    </w:p>
    <w:p>
      <w:pPr>
        <w:pStyle w:val="ListBullet"/>
        <w:ind w:left="720"/>
      </w:pPr>
      <w:r>
        <w:t>For HMC, efficiency per gradient evaluation depends on step size and trajectory length jointly. The best converged configuration, epsilon = 0.002 with L = 15, has an acceptance rate of 95.1%, lower than several less efficient settings, so a high acceptance rate is not by itself evidence of good tuning.</w:t>
      </w:r>
    </w:p>
    <w:p>
      <w:pPr>
        <w:pStyle w:val="ListBullet"/>
        <w:ind w:left="720"/>
      </w:pPr>
      <w:r>
        <w:t>Posterior predictive intervals from a Gaussian likelihood are badly miscalibrated, a nominal 50 percent interval covering 94.7%, because test residuals have excess kurtosis 111. A Student-t likelihood chosen on validation data improves this to 74.1% and reduces the median absolute error from 0.210 to 0.072 percentage points, but the intervals remain substantially wider than nominal.</w:t>
      </w:r>
    </w:p>
    <w:p>
      <w:pPr>
        <w:keepNext w:val="0"/>
        <w:spacing w:after="120"/>
      </w:pPr>
      <w:r>
        <w:rPr>
          <w:b/>
          <w:i w:val="0"/>
          <w:sz w:val="22"/>
        </w:rPr>
        <w:t>Further work.</w:t>
      </w:r>
    </w:p>
    <w:p>
      <w:pPr>
        <w:pStyle w:val="ListBullet"/>
        <w:ind w:left="720"/>
      </w:pPr>
      <w:r>
        <w:t>Place a prior on nu and sample it, rather than selecting from a grid whose edge is chosen.</w:t>
      </w:r>
    </w:p>
    <w:p>
      <w:pPr>
        <w:pStyle w:val="ListBullet"/>
        <w:ind w:left="720"/>
      </w:pPr>
      <w:r>
        <w:t>Fit a hierarchical model with per-machine coefficients and variances, which would address both the pooling limitation and the residual heteroscedasticity.</w:t>
      </w:r>
    </w:p>
    <w:p>
      <w:pPr>
        <w:pStyle w:val="ListBullet"/>
        <w:ind w:left="720"/>
      </w:pPr>
      <w:r>
        <w:t>Model the spike regime explicitly, for instance with a mixture or a state-space component, instead of absorbing it into heavy tails.</w:t>
      </w:r>
    </w:p>
    <w:p>
      <w:pPr>
        <w:pStyle w:val="ListBullet"/>
        <w:ind w:left="720"/>
      </w:pPr>
      <w:r>
        <w:t>Implement the No-U-Turn Sampler, which would remove the trajectory-length tuning that Section 5.6 shows matters.</w:t>
      </w:r>
    </w:p>
    <w:p>
      <w:pPr>
        <w:pStyle w:val="Heading1"/>
        <w:keepNext/>
      </w:pPr>
      <w:r>
        <w:t>9. References</w:t>
      </w:r>
    </w:p>
    <w:p>
      <w:pPr>
        <w:spacing w:after="80"/>
        <w:ind w:left="567" w:hanging="567"/>
      </w:pPr>
      <w:r>
        <w:rPr>
          <w:sz w:val="20"/>
        </w:rPr>
        <w:t>[1]  Shen, S., van Beek, V., &amp; Iosup, A. (2015). Statistical characterization of business-critical workloads hosted in cloud datacenters. In Proceedings of the 15th IEEE/ACM International Symposium on Cluster, Cloud and Grid Computing (CCGrid), 465-474. https://doi.org/10.1109/CCGrid.2015.60. Dataset: Grid Workloads Archive GWA-T-12 Bitbrains, http://gwa.ewi.tudelft.nl/datasets/gwa-t-12-bitbrains</w:t>
      </w:r>
    </w:p>
    <w:p>
      <w:pPr>
        <w:spacing w:after="80"/>
        <w:ind w:left="567" w:hanging="567"/>
      </w:pPr>
      <w:r>
        <w:rPr>
          <w:sz w:val="20"/>
        </w:rPr>
        <w:t>[2]  Vehtari, A., Gelman, A., Simpson, D., Carpenter, B., &amp; Burkner, P. C. (2021). Rank-normalization, folding, and localization: an improved R-hat for assessing convergence of MCMC. Bayesian Analysis, 16(2), 667-718. https://doi.org/10.1214/20-BA1221</w:t>
      </w:r>
    </w:p>
    <w:p>
      <w:pPr>
        <w:spacing w:after="80"/>
        <w:ind w:left="567" w:hanging="567"/>
      </w:pPr>
      <w:r>
        <w:rPr>
          <w:sz w:val="20"/>
        </w:rPr>
        <w:t>[3]  Metropolis, N., Rosenbluth, A. W., Rosenbluth, M. N., Teller, A. H., &amp; Teller, E. (1953). Equation of state calculations by fast computing machines. The Journal of Chemical Physics, 21(6), 1087-1092. https://doi.org/10.1063/1.1699114</w:t>
      </w:r>
    </w:p>
    <w:p>
      <w:pPr>
        <w:spacing w:after="80"/>
        <w:ind w:left="567" w:hanging="567"/>
      </w:pPr>
      <w:r>
        <w:rPr>
          <w:sz w:val="20"/>
        </w:rPr>
        <w:t>[4]  Hastings, W. K. (1970). Monte Carlo sampling methods using Markov chains and their applications. Biometrika, 57(1), 97-109. https://doi.org/10.1093/biomet/57.1.97</w:t>
      </w:r>
    </w:p>
    <w:p>
      <w:pPr>
        <w:spacing w:after="80"/>
        <w:ind w:left="567" w:hanging="567"/>
      </w:pPr>
      <w:r>
        <w:rPr>
          <w:sz w:val="20"/>
        </w:rPr>
        <w:t>[5]  Haario, H., Saksman, E., &amp; Tamminen, J. (2001). An adaptive Metropolis algorithm. Bernoulli, 7(2), 223-242. https://doi.org/10.2307/3318737</w:t>
      </w:r>
    </w:p>
    <w:p>
      <w:pPr>
        <w:spacing w:after="80"/>
        <w:ind w:left="567" w:hanging="567"/>
      </w:pPr>
      <w:r>
        <w:rPr>
          <w:sz w:val="20"/>
        </w:rPr>
        <w:t>[6]  Geman, S., &amp; Geman, D. (1984). Stochastic relaxation, Gibbs distributions, and the Bayesian restoration of images. IEEE Transactions on Pattern Analysis and Machine Intelligence, 6(6), 721-741. https://doi.org/10.1109/TPAMI.1984.4767596</w:t>
      </w:r>
    </w:p>
    <w:p>
      <w:pPr>
        <w:spacing w:after="80"/>
        <w:ind w:left="567" w:hanging="567"/>
      </w:pPr>
      <w:r>
        <w:rPr>
          <w:sz w:val="20"/>
        </w:rPr>
        <w:t>[7]  Neal, R. M. (2011). MCMC using Hamiltonian dynamics. In Handbook of Markov Chain Monte Carlo (pp. 113-162). CRC Press. https://doi.org/10.1201/b10905</w:t>
      </w:r>
    </w:p>
    <w:p>
      <w:pPr>
        <w:spacing w:after="80"/>
        <w:ind w:left="567" w:hanging="567"/>
      </w:pPr>
      <w:r>
        <w:rPr>
          <w:sz w:val="20"/>
        </w:rPr>
        <w:t>[8]  Roberts, G. O., Gelman, A., &amp; Gilks, W. R. (1997). Weak convergence and optimal scaling of random walk Metropolis algorithms. The Annals of Applied Probability, 7(1), 110-120. https://doi.org/10.1214/aoap/1034625254</w:t>
      </w:r>
    </w:p>
    <w:p>
      <w:pPr>
        <w:spacing w:after="80"/>
        <w:ind w:left="567" w:hanging="567"/>
      </w:pPr>
      <w:r>
        <w:rPr>
          <w:sz w:val="20"/>
        </w:rPr>
        <w:t>[9]  West, M. (1984). Outlier models and prior distributions in Bayesian linear regression. Journal of the Royal Statistical Society: Series B, 46(3), 431-439. https://doi.org/10.1111/j.2517-6161.1984.tb01317.x</w:t>
      </w:r>
    </w:p>
    <w:p>
      <w:pPr>
        <w:spacing w:after="80"/>
        <w:ind w:left="567" w:hanging="567"/>
      </w:pPr>
      <w:r>
        <w:rPr>
          <w:sz w:val="20"/>
        </w:rPr>
        <w:t>[10]  Lange, K. L., Little, R. J. A., &amp; Taylor, J. M. G. (1989). Robust statistical modeling using the t distribution. Journal of the American Statistical Association, 84(408), 881-896. https://doi.org/10.2307/2290063</w:t>
      </w:r>
    </w:p>
    <w:p>
      <w:pPr>
        <w:spacing w:after="80"/>
        <w:ind w:left="567" w:hanging="567"/>
      </w:pPr>
      <w:r>
        <w:rPr>
          <w:sz w:val="20"/>
        </w:rPr>
        <w:t>[11]  Gelman, A., Carlin, J. B., Stern, H. S., Dunson, D. B., Vehtari, A., &amp; Rubin, D. B. (2013). Bayesian Data Analysis (3rd ed.). CRC Press.</w:t>
      </w:r>
    </w:p>
    <w:p>
      <w:pPr>
        <w:spacing w:after="80"/>
        <w:ind w:left="567" w:hanging="567"/>
      </w:pPr>
      <w:r>
        <w:rPr>
          <w:sz w:val="20"/>
        </w:rPr>
        <w:t>[12]  Geyer, C. J. (1992). Practical Markov Chain Monte Carlo. Statistical Science, 7(4), 473-483. https://doi.org/10.1214/ss/1177011137</w:t>
      </w:r>
    </w:p>
    <w:p>
      <w:pPr>
        <w:spacing w:after="80"/>
        <w:ind w:left="567" w:hanging="567"/>
      </w:pPr>
      <w:r>
        <w:rPr>
          <w:sz w:val="20"/>
        </w:rPr>
        <w:t>[13]  Kumar, R., Carroll, C., Hartikainen, A., &amp; Martin, O. (2019). ArviZ: a unified library for exploratory analysis of Bayesian models in Python. Journal of Open Source Software, 4(33), 1143. https://doi.org/10.21105/joss.01143</w:t>
      </w:r>
    </w:p>
    <w:p>
      <w:pPr>
        <w:spacing w:after="80"/>
        <w:ind w:left="567" w:hanging="567"/>
      </w:pPr>
      <w:r>
        <w:rPr>
          <w:sz w:val="20"/>
        </w:rPr>
        <w:t>[14]  Foreman-Mackey, D., Hogg, D. W., Lang, D., &amp; Goodman, J. (2013). emcee: The MCMC Hammer. Publications of the Astronomical Society of the Pacific, 125(925), 306-312. https://doi.org/10.1086/670067</w:t>
      </w:r>
    </w:p>
    <w:p>
      <w:pPr>
        <w:spacing w:after="80"/>
        <w:ind w:left="567" w:hanging="567"/>
      </w:pPr>
      <w:r>
        <w:rPr>
          <w:sz w:val="20"/>
        </w:rPr>
        <w:t>[15]  Goodman, J., &amp; Weare, J. (2010). Ensemble samplers with affine invariance. Communications in Applied Mathematics and Computational Science, 5(1), 65-80. https://doi.org/10.2140/camcos.2010.5.65</w:t>
      </w:r>
    </w:p>
    <w:p>
      <w:pPr>
        <w:spacing w:after="80"/>
        <w:ind w:left="567" w:hanging="567"/>
      </w:pPr>
      <w:r>
        <w:rPr>
          <w:sz w:val="20"/>
        </w:rPr>
        <w:t>[16]  Beskos, A., Pillai, N., Roberts, G., Sanz-Serna, J. M., &amp; Stuart, A. (2013). Optimal tuning of the hybrid Monte Carlo algorithm. Bernoulli, 19(5A), 1501-1534. https://doi.org/10.3150/12-BEJ414</w:t>
      </w:r>
    </w:p>
    <w:p>
      <w:pPr>
        <w:pStyle w:val="Heading1"/>
        <w:keepNext/>
      </w:pPr>
      <w:r>
        <w:t>10. Code and Reproducibility</w:t>
      </w:r>
    </w:p>
    <w:p>
      <w:pPr>
        <w:keepNext w:val="0"/>
        <w:spacing w:after="120"/>
      </w:pPr>
      <w:r>
        <w:rPr>
          <w:b w:val="0"/>
          <w:i w:val="0"/>
          <w:sz w:val="22"/>
        </w:rPr>
        <w:t>All code and instructions are available at:</w:t>
      </w:r>
    </w:p>
    <w:p>
      <w:pPr>
        <w:keepNext w:val="0"/>
        <w:spacing w:after="120"/>
      </w:pPr>
      <w:r>
        <w:rPr>
          <w:b/>
          <w:i w:val="0"/>
          <w:sz w:val="22"/>
        </w:rPr>
        <w:t>https://github.com/eladagmi24/mcmc-sampling-project</w:t>
      </w:r>
    </w:p>
    <w:p>
      <w:pPr>
        <w:keepNext/>
        <w:spacing w:after="60"/>
      </w:pPr>
      <w:r>
        <w:rPr>
          <w:i/>
          <w:sz w:val="19"/>
        </w:rPr>
        <w:t>Table 12. Repository contents.</w:t>
      </w:r>
    </w:p>
    <w:tbl>
      <w:tblPr>
        <w:tblStyle w:val="LightGrid-Accent1"/>
        <w:tblW w:type="auto" w:w="0"/>
        <w:jc w:val="center"/>
        <w:tblLayout w:type="fixed"/>
        <w:tblLook w:firstColumn="1" w:firstRow="1" w:lastColumn="0" w:lastRow="0" w:noHBand="0" w:noVBand="1" w:val="04A0"/>
      </w:tblPr>
      <w:tblGrid>
        <w:gridCol w:w="4320"/>
        <w:gridCol w:w="4320"/>
      </w:tblGrid>
      <w:tr>
        <w:trPr>
          <w:tblHeader w:val="true"/>
          <w:cantSplit/>
        </w:trPr>
        <w:tc>
          <w:tcPr>
            <w:tcW w:type="dxa" w:w="3402"/>
          </w:tcPr>
          <w:p>
            <w:pPr>
              <w:spacing w:after="40"/>
            </w:pPr>
            <w:r>
              <w:rPr>
                <w:b/>
                <w:sz w:val="19"/>
              </w:rPr>
              <w:t>Path</w:t>
            </w:r>
          </w:p>
        </w:tc>
        <w:tc>
          <w:tcPr>
            <w:tcW w:type="dxa" w:w="5329"/>
          </w:tcPr>
          <w:p>
            <w:pPr>
              <w:spacing w:after="40"/>
            </w:pPr>
            <w:r>
              <w:rPr>
                <w:b/>
                <w:sz w:val="19"/>
              </w:rPr>
              <w:t>Contents</w:t>
            </w:r>
          </w:p>
        </w:tc>
      </w:tr>
      <w:tr>
        <w:tc>
          <w:tcPr>
            <w:tcW w:type="dxa" w:w="3402"/>
          </w:tcPr>
          <w:p>
            <w:pPr>
              <w:spacing w:after="40"/>
            </w:pPr>
            <w:r>
              <w:rPr>
                <w:sz w:val="19"/>
              </w:rPr>
              <w:t>src/run_experiment_v2.py</w:t>
            </w:r>
          </w:p>
        </w:tc>
        <w:tc>
          <w:tcPr>
            <w:tcW w:type="dxa" w:w="5329"/>
          </w:tcPr>
          <w:p>
            <w:pPr>
              <w:spacing w:after="40"/>
            </w:pPr>
            <w:r>
              <w:rPr>
                <w:sz w:val="19"/>
              </w:rPr>
              <w:t>All samplers, diagnostics, references, studies, figures</w:t>
            </w:r>
          </w:p>
        </w:tc>
      </w:tr>
      <w:tr>
        <w:tc>
          <w:tcPr>
            <w:tcW w:type="dxa" w:w="3402"/>
          </w:tcPr>
          <w:p>
            <w:pPr>
              <w:spacing w:after="40"/>
            </w:pPr>
            <w:r>
              <w:rPr>
                <w:sz w:val="19"/>
              </w:rPr>
              <w:t>src/mcmc_diagnostics.py</w:t>
            </w:r>
          </w:p>
        </w:tc>
        <w:tc>
          <w:tcPr>
            <w:tcW w:type="dxa" w:w="5329"/>
          </w:tcPr>
          <w:p>
            <w:pPr>
              <w:spacing w:after="40"/>
            </w:pPr>
            <w:r>
              <w:rPr>
                <w:sz w:val="19"/>
              </w:rPr>
              <w:t>Rank-normalised R-hat and bulk/tail ESS, from scratch</w:t>
            </w:r>
          </w:p>
        </w:tc>
      </w:tr>
      <w:tr>
        <w:tc>
          <w:tcPr>
            <w:tcW w:type="dxa" w:w="3402"/>
          </w:tcPr>
          <w:p>
            <w:pPr>
              <w:spacing w:after="40"/>
            </w:pPr>
            <w:r>
              <w:rPr>
                <w:sz w:val="19"/>
              </w:rPr>
              <w:t>src/create_report_v2.py</w:t>
            </w:r>
          </w:p>
        </w:tc>
        <w:tc>
          <w:tcPr>
            <w:tcW w:type="dxa" w:w="5329"/>
          </w:tcPr>
          <w:p>
            <w:pPr>
              <w:spacing w:after="40"/>
            </w:pPr>
            <w:r>
              <w:rPr>
                <w:sz w:val="19"/>
              </w:rPr>
              <w:t>Generates this document from the results file</w:t>
            </w:r>
          </w:p>
        </w:tc>
      </w:tr>
      <w:tr>
        <w:tc>
          <w:tcPr>
            <w:tcW w:type="dxa" w:w="3402"/>
          </w:tcPr>
          <w:p>
            <w:pPr>
              <w:spacing w:after="40"/>
            </w:pPr>
            <w:r>
              <w:rPr>
                <w:sz w:val="19"/>
              </w:rPr>
              <w:t>results/experiment_results_v2.json</w:t>
            </w:r>
          </w:p>
        </w:tc>
        <w:tc>
          <w:tcPr>
            <w:tcW w:type="dxa" w:w="5329"/>
          </w:tcPr>
          <w:p>
            <w:pPr>
              <w:spacing w:after="40"/>
            </w:pPr>
            <w:r>
              <w:rPr>
                <w:sz w:val="19"/>
              </w:rPr>
              <w:t>Every number appearing in this document</w:t>
            </w:r>
          </w:p>
        </w:tc>
      </w:tr>
      <w:tr>
        <w:tc>
          <w:tcPr>
            <w:tcW w:type="dxa" w:w="3402"/>
          </w:tcPr>
          <w:p>
            <w:pPr>
              <w:spacing w:after="40"/>
            </w:pPr>
            <w:r>
              <w:rPr>
                <w:sz w:val="19"/>
              </w:rPr>
              <w:t>results/figures/</w:t>
            </w:r>
          </w:p>
        </w:tc>
        <w:tc>
          <w:tcPr>
            <w:tcW w:type="dxa" w:w="5329"/>
          </w:tcPr>
          <w:p>
            <w:pPr>
              <w:spacing w:after="40"/>
            </w:pPr>
            <w:r>
              <w:rPr>
                <w:sz w:val="19"/>
              </w:rPr>
              <w:t>All figures</w:t>
            </w:r>
          </w:p>
        </w:tc>
      </w:tr>
      <w:tr>
        <w:tc>
          <w:tcPr>
            <w:tcW w:type="dxa" w:w="3402"/>
          </w:tcPr>
          <w:p>
            <w:pPr>
              <w:spacing w:after="40"/>
            </w:pPr>
            <w:r>
              <w:rPr>
                <w:sz w:val="19"/>
              </w:rPr>
              <w:t>notebooks/</w:t>
            </w:r>
          </w:p>
        </w:tc>
        <w:tc>
          <w:tcPr>
            <w:tcW w:type="dxa" w:w="5329"/>
          </w:tcPr>
          <w:p>
            <w:pPr>
              <w:spacing w:after="40"/>
            </w:pPr>
            <w:r>
              <w:rPr>
                <w:sz w:val="19"/>
              </w:rPr>
              <w:t>Annotated notebook</w:t>
            </w:r>
          </w:p>
        </w:tc>
      </w:tr>
      <w:tr>
        <w:tc>
          <w:tcPr>
            <w:tcW w:type="dxa" w:w="3402"/>
          </w:tcPr>
          <w:p>
            <w:pPr>
              <w:spacing w:after="40"/>
            </w:pPr>
            <w:r>
              <w:rPr>
                <w:sz w:val="19"/>
              </w:rPr>
              <w:t>data/</w:t>
            </w:r>
          </w:p>
        </w:tc>
        <w:tc>
          <w:tcPr>
            <w:tcW w:type="dxa" w:w="5329"/>
          </w:tcPr>
          <w:p>
            <w:pPr>
              <w:spacing w:after="40"/>
            </w:pPr>
            <w:r>
              <w:rPr>
                <w:sz w:val="19"/>
              </w:rPr>
              <w:t>Not committed; see data/README.md for the download link and layout</w:t>
            </w:r>
          </w:p>
        </w:tc>
      </w:tr>
    </w:tbl>
    <w:p>
      <w:pPr>
        <w:keepNext w:val="0"/>
        <w:spacing w:after="160"/>
      </w:pPr>
      <w:r>
        <w:rPr>
          <w:b w:val="0"/>
          <w:i w:val="0"/>
          <w:sz w:val="22"/>
        </w:rPr>
      </w:r>
    </w:p>
    <w:p>
      <w:pPr>
        <w:keepNext w:val="0"/>
        <w:spacing w:after="120"/>
      </w:pPr>
      <w:r>
        <w:rPr>
          <w:b w:val="0"/>
          <w:i w:val="0"/>
          <w:sz w:val="22"/>
        </w:rPr>
        <w:t>The pipeline is reproduced with two commands:</w:t>
      </w:r>
    </w:p>
    <w:p>
      <w:pPr>
        <w:spacing w:after="20"/>
        <w:ind w:left="567"/>
      </w:pPr>
      <w:r>
        <w:rPr>
          <w:rFonts w:ascii="Consolas" w:hAnsi="Consolas"/>
          <w:sz w:val="18"/>
        </w:rPr>
        <w:t>python src/run_experiment_v2.py --skip-nuts</w:t>
      </w:r>
    </w:p>
    <w:p>
      <w:pPr>
        <w:spacing w:after="20"/>
        <w:ind w:left="567"/>
      </w:pPr>
      <w:r>
        <w:rPr>
          <w:rFonts w:ascii="Consolas" w:hAnsi="Consolas"/>
          <w:sz w:val="18"/>
        </w:rPr>
        <w:t>python src/create_report_v2.py</w:t>
      </w:r>
    </w:p>
    <w:p>
      <w:pPr>
        <w:keepNext w:val="0"/>
        <w:spacing w:after="120"/>
      </w:pPr>
      <w:r>
        <w:rPr>
          <w:b w:val="0"/>
          <w:i w:val="0"/>
          <w:sz w:val="22"/>
        </w:rPr>
        <w:t>The Bitbrains traces are not committed: the fastStorage directory is 1.19 GB across 1,250 files and is published by its authors [1]. The --skip-nuts flag omits an optional PyMC cross-check that is impractically slow without a C++ compiler; it is not used anywhere in this document, and the external validation of Section 5.5 uses emcee instead.</w:t>
      </w:r>
    </w:p>
    <w:sectPr w:rsidR="00FC693F" w:rsidRPr="0006063C" w:rsidSect="00034616">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2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2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2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