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ValueCompass</w:t>
      </w:r>
      <w:r>
        <w:t xml:space="preserve"> </w:t>
      </w:r>
      <w:r>
        <w:t xml:space="preserve">—</w:t>
      </w:r>
      <w:r>
        <w:t xml:space="preserve"> </w:t>
      </w:r>
      <w:r>
        <w:t xml:space="preserve">Display</w:t>
      </w:r>
      <w:r>
        <w:t xml:space="preserve"> </w:t>
      </w:r>
      <w:r>
        <w:t xml:space="preserve">Specification</w:t>
      </w:r>
    </w:p>
    <w:p>
      <w:pPr>
        <w:pStyle w:val="Subtitle"/>
      </w:pPr>
      <w:r>
        <w:t xml:space="preserve">2026-10-23_01-00</w:t>
      </w:r>
      <w:r>
        <w:t xml:space="preserve"> </w:t>
      </w:r>
      <w:r>
        <w:t xml:space="preserve">·</w:t>
      </w:r>
      <w:r>
        <w:t xml:space="preserve"> </w:t>
      </w:r>
      <w:r>
        <w:t xml:space="preserve">English</w:t>
      </w:r>
      <w:r>
        <w:t xml:space="preserve"> </w:t>
      </w:r>
      <w:r>
        <w:t xml:space="preserve">(source</w:t>
      </w:r>
      <w:r>
        <w:t xml:space="preserve"> </w:t>
      </w:r>
      <w:r>
        <w:t xml:space="preserve">of</w:t>
      </w:r>
      <w:r>
        <w:t xml:space="preserve"> </w:t>
      </w:r>
      <w:r>
        <w:t xml:space="preserve">truth)</w:t>
      </w:r>
      <w:r>
        <w:t xml:space="preserve"> </w:t>
      </w:r>
      <w:r>
        <w:t xml:space="preserve">·</w:t>
      </w:r>
      <w:r>
        <w:t xml:space="preserve"> </w:t>
      </w:r>
      <w:r>
        <w:t xml:space="preserve">approved</w:t>
      </w:r>
    </w:p>
    <w:bookmarkStart w:id="36" w:name="valuecompass-display-specification"/>
    <w:p>
      <w:pPr>
        <w:pStyle w:val="Heading1"/>
      </w:pPr>
      <w:r>
        <w:t xml:space="preserve">ValueCompass — Display Specification</w:t>
      </w:r>
    </w:p>
    <w:p>
      <w:pPr>
        <w:pStyle w:val="FirstParagraph"/>
      </w:pPr>
      <w:r>
        <w:rPr>
          <w:bCs/>
          <w:b/>
        </w:rPr>
        <w:t xml:space="preserve">Scope:</w:t>
      </w:r>
      <w:r>
        <w:t xml:space="preserve"> </w:t>
      </w:r>
      <w:r>
        <w:t xml:space="preserve">what the user sees, and how it is computed for display. This document is separate from the Rulebook: nothing here changes a score, a value or a buy price. The screen shows only what the engine stored, plus the display formulas listed here.</w:t>
      </w:r>
    </w:p>
    <w:p>
      <w:pPr>
        <w:pStyle w:val="BodyText"/>
      </w:pPr>
      <w:r>
        <w:rPr>
          <w:bCs/>
          <w:b/>
        </w:rPr>
        <w:t xml:space="preserve">Language:</w:t>
      </w:r>
      <w:r>
        <w:t xml:space="preserve"> </w:t>
      </w:r>
      <w:r>
        <w:t xml:space="preserve">English is the source of truth; the Hebrew version is a translation. The app itself is in Hebrew; on-screen texts are given in Hebrew.</w:t>
      </w:r>
    </w:p>
    <w:p>
      <w:pPr>
        <w:pStyle w:val="BodyText"/>
      </w:pPr>
      <w:r>
        <w:rPr>
          <w:bCs/>
          <w:b/>
        </w:rPr>
        <w:t xml:space="preserve">Basis:</w:t>
      </w:r>
      <w:r>
        <w:t xml:space="preserve"> </w:t>
      </w:r>
      <w:r>
        <w:t xml:space="preserve">Elad’s design (2026-10-22/23), as reviewed on the design canvas</w:t>
      </w:r>
      <w:r>
        <w:t xml:space="preserve"> </w:t>
      </w:r>
      <w:r>
        <w:t xml:space="preserve">“</w:t>
      </w:r>
      <w:r>
        <w:t xml:space="preserve">ValueCompass — דוגמת מסכים</w:t>
      </w:r>
      <w:r>
        <w:t xml:space="preserve">”</w:t>
      </w:r>
      <w:r>
        <w:t xml:space="preserve">. This replaces the draft 2026-10-22_14-58 and the version 2026-10-19_13-31.</w:t>
      </w:r>
    </w:p>
    <w:bookmarkStart w:id="20" w:name="sign-in"/>
    <w:p>
      <w:pPr>
        <w:pStyle w:val="Heading2"/>
      </w:pPr>
      <w:r>
        <w:t xml:space="preserve">1. Sign-in</w:t>
      </w:r>
    </w:p>
    <w:p>
      <w:pPr>
        <w:numPr>
          <w:ilvl w:val="0"/>
          <w:numId w:val="1001"/>
        </w:numPr>
        <w:pStyle w:val="Compact"/>
      </w:pPr>
      <w:r>
        <w:t xml:space="preserve">The entry screen is a sign-in screen with these elements:</w:t>
      </w:r>
    </w:p>
    <w:p>
      <w:pPr>
        <w:numPr>
          <w:ilvl w:val="1"/>
          <w:numId w:val="1002"/>
        </w:numPr>
        <w:pStyle w:val="Compact"/>
      </w:pPr>
      <w:r>
        <w:t xml:space="preserve">Email.</w:t>
      </w:r>
    </w:p>
    <w:p>
      <w:pPr>
        <w:numPr>
          <w:ilvl w:val="1"/>
          <w:numId w:val="1002"/>
        </w:numPr>
        <w:pStyle w:val="Compact"/>
      </w:pPr>
      <w:r>
        <w:t xml:space="preserve">Password.</w:t>
      </w:r>
    </w:p>
    <w:p>
      <w:pPr>
        <w:numPr>
          <w:ilvl w:val="1"/>
          <w:numId w:val="1002"/>
        </w:numPr>
        <w:pStyle w:val="Compact"/>
      </w:pPr>
      <w:r>
        <w:t xml:space="preserve">“</w:t>
      </w:r>
      <w:r>
        <w:t xml:space="preserve">שכחתי סיסמה</w:t>
      </w:r>
      <w:r>
        <w:t xml:space="preserve">”</w:t>
      </w:r>
      <w:r>
        <w:t xml:space="preserve"> </w:t>
      </w:r>
      <w:r>
        <w:t xml:space="preserve">(</w:t>
      </w:r>
      <w:r>
        <w:t xml:space="preserve">“</w:t>
      </w:r>
      <w:r>
        <w:t xml:space="preserve">forgot password</w:t>
      </w:r>
      <w:r>
        <w:t xml:space="preserve">”</w:t>
      </w:r>
      <w:r>
        <w:t xml:space="preserve">).</w:t>
      </w:r>
    </w:p>
    <w:p>
      <w:pPr>
        <w:numPr>
          <w:ilvl w:val="1"/>
          <w:numId w:val="1002"/>
        </w:numPr>
        <w:pStyle w:val="Compact"/>
      </w:pPr>
      <w:r>
        <w:t xml:space="preserve">“</w:t>
      </w:r>
      <w:r>
        <w:t xml:space="preserve">הרשמה</w:t>
      </w:r>
      <w:r>
        <w:t xml:space="preserve">”</w:t>
      </w:r>
      <w:r>
        <w:t xml:space="preserve"> </w:t>
      </w:r>
      <w:r>
        <w:t xml:space="preserve">(</w:t>
      </w:r>
      <w:r>
        <w:t xml:space="preserve">“</w:t>
      </w:r>
      <w:r>
        <w:t xml:space="preserve">sign up</w:t>
      </w:r>
      <w:r>
        <w:t xml:space="preserve">”</w:t>
      </w:r>
      <w:r>
        <w:t xml:space="preserve">).</w:t>
      </w:r>
    </w:p>
    <w:p>
      <w:pPr>
        <w:numPr>
          <w:ilvl w:val="0"/>
          <w:numId w:val="1001"/>
        </w:numPr>
        <w:pStyle w:val="Compact"/>
      </w:pPr>
      <w:r>
        <w:rPr>
          <w:bCs/>
          <w:b/>
        </w:rPr>
        <w:t xml:space="preserve">Users and passwords are managed by Supabase Auth.</w:t>
      </w:r>
    </w:p>
    <w:p>
      <w:pPr>
        <w:numPr>
          <w:ilvl w:val="1"/>
          <w:numId w:val="1003"/>
        </w:numPr>
        <w:pStyle w:val="Compact"/>
      </w:pPr>
      <w:r>
        <w:t xml:space="preserve">The password is stored hashed by Supabase, never in our tables.</w:t>
      </w:r>
    </w:p>
    <w:p>
      <w:pPr>
        <w:numPr>
          <w:ilvl w:val="1"/>
          <w:numId w:val="1003"/>
        </w:numPr>
        <w:pStyle w:val="Compact"/>
      </w:pPr>
      <w:r>
        <w:rPr>
          <w:rStyle w:val="VerbatimChar"/>
        </w:rPr>
        <w:t xml:space="preserve">user_profiles</w:t>
      </w:r>
      <w:r>
        <w:t xml:space="preserve"> </w:t>
      </w:r>
      <w:r>
        <w:t xml:space="preserve">links to the user.</w:t>
      </w:r>
    </w:p>
    <w:p>
      <w:pPr>
        <w:numPr>
          <w:ilvl w:val="1"/>
          <w:numId w:val="1003"/>
        </w:numPr>
        <w:pStyle w:val="Compact"/>
      </w:pPr>
      <w:r>
        <w:t xml:space="preserve">Each user sees only their own portfolio and watchlist (RLS).</w:t>
      </w:r>
    </w:p>
    <w:p>
      <w:pPr>
        <w:numPr>
          <w:ilvl w:val="0"/>
          <w:numId w:val="1001"/>
        </w:numPr>
        <w:pStyle w:val="Compact"/>
      </w:pPr>
      <w:r>
        <w:rPr>
          <w:bCs/>
          <w:b/>
        </w:rPr>
        <w:t xml:space="preserve">Google sign-in:</w:t>
      </w:r>
      <w:r>
        <w:t xml:space="preserve"> </w:t>
      </w:r>
      <w:r>
        <w:t xml:space="preserve">decided later.</w:t>
      </w:r>
    </w:p>
    <w:bookmarkEnd w:id="20"/>
    <w:bookmarkStart w:id="21" w:name="general-layout"/>
    <w:p>
      <w:pPr>
        <w:pStyle w:val="Heading2"/>
      </w:pPr>
      <w:r>
        <w:t xml:space="preserve">2. General layout</w:t>
      </w:r>
    </w:p>
    <w:p>
      <w:pPr>
        <w:numPr>
          <w:ilvl w:val="0"/>
          <w:numId w:val="1004"/>
        </w:numPr>
        <w:pStyle w:val="Compact"/>
      </w:pPr>
      <w:r>
        <w:rPr>
          <w:bCs/>
          <w:b/>
        </w:rPr>
        <w:t xml:space="preserve">Top bar, on every screen:</w:t>
      </w:r>
    </w:p>
    <w:p>
      <w:pPr>
        <w:numPr>
          <w:ilvl w:val="1"/>
          <w:numId w:val="1005"/>
        </w:numPr>
        <w:pStyle w:val="Compact"/>
      </w:pPr>
      <w:r>
        <w:t xml:space="preserve">Menu button (☰).</w:t>
      </w:r>
    </w:p>
    <w:p>
      <w:pPr>
        <w:numPr>
          <w:ilvl w:val="1"/>
          <w:numId w:val="1005"/>
        </w:numPr>
        <w:pStyle w:val="Compact"/>
      </w:pPr>
      <w:r>
        <w:t xml:space="preserve">Logo.</w:t>
      </w:r>
    </w:p>
    <w:p>
      <w:pPr>
        <w:numPr>
          <w:ilvl w:val="1"/>
          <w:numId w:val="1005"/>
        </w:numPr>
        <w:pStyle w:val="Compact"/>
      </w:pPr>
      <w:r>
        <w:rPr>
          <w:bCs/>
          <w:b/>
        </w:rPr>
        <w:t xml:space="preserve">The search bar</w:t>
      </w:r>
      <w:r>
        <w:t xml:space="preserve">: name, ticker or a free-text request.</w:t>
      </w:r>
    </w:p>
    <w:p>
      <w:pPr>
        <w:numPr>
          <w:ilvl w:val="2"/>
          <w:numId w:val="1006"/>
        </w:numPr>
        <w:pStyle w:val="Compact"/>
      </w:pPr>
      <w:r>
        <w:t xml:space="preserve">Free text goes to smart search: the AI turns the request into a filter, and code searches the DB.</w:t>
      </w:r>
    </w:p>
    <w:p>
      <w:pPr>
        <w:numPr>
          <w:ilvl w:val="2"/>
          <w:numId w:val="1006"/>
        </w:numPr>
        <w:pStyle w:val="Compact"/>
      </w:pPr>
      <w:r>
        <w:t xml:space="preserve">A stock that is not found goes to the automatic add.</w:t>
      </w:r>
    </w:p>
    <w:p>
      <w:pPr>
        <w:numPr>
          <w:ilvl w:val="1"/>
          <w:numId w:val="1005"/>
        </w:numPr>
        <w:pStyle w:val="Compact"/>
      </w:pPr>
      <w:r>
        <w:t xml:space="preserve">User name.</w:t>
      </w:r>
    </w:p>
    <w:p>
      <w:pPr>
        <w:numPr>
          <w:ilvl w:val="0"/>
          <w:numId w:val="1004"/>
        </w:numPr>
        <w:pStyle w:val="Compact"/>
      </w:pPr>
      <w:r>
        <w:rPr>
          <w:bCs/>
          <w:b/>
        </w:rPr>
        <w:t xml:space="preserve">Side menu — closed by default, opened on click.</w:t>
      </w:r>
      <w:r>
        <w:t xml:space="preserve"> </w:t>
      </w:r>
      <w:r>
        <w:t xml:space="preserve">Items:</w:t>
      </w:r>
    </w:p>
    <w:p>
      <w:pPr>
        <w:numPr>
          <w:ilvl w:val="1"/>
          <w:numId w:val="1007"/>
        </w:numPr>
        <w:pStyle w:val="Compact"/>
      </w:pPr>
      <w:r>
        <w:t xml:space="preserve">My portfolio.</w:t>
      </w:r>
    </w:p>
    <w:p>
      <w:pPr>
        <w:numPr>
          <w:ilvl w:val="1"/>
          <w:numId w:val="1007"/>
        </w:numPr>
        <w:pStyle w:val="Compact"/>
      </w:pPr>
      <w:r>
        <w:t xml:space="preserve">Watchlist.</w:t>
      </w:r>
    </w:p>
    <w:p>
      <w:pPr>
        <w:numPr>
          <w:ilvl w:val="1"/>
          <w:numId w:val="1007"/>
        </w:numPr>
        <w:pStyle w:val="Compact"/>
      </w:pPr>
      <w:r>
        <w:t xml:space="preserve">Top ranked.</w:t>
      </w:r>
    </w:p>
    <w:p>
      <w:pPr>
        <w:numPr>
          <w:ilvl w:val="1"/>
          <w:numId w:val="1007"/>
        </w:numPr>
        <w:pStyle w:val="Compact"/>
      </w:pPr>
      <w:r>
        <w:t xml:space="preserve">How we score.</w:t>
      </w:r>
    </w:p>
    <w:p>
      <w:pPr>
        <w:numPr>
          <w:ilvl w:val="1"/>
          <w:numId w:val="1007"/>
        </w:numPr>
        <w:pStyle w:val="Compact"/>
      </w:pPr>
      <w:r>
        <w:t xml:space="preserve">Account settings.</w:t>
      </w:r>
    </w:p>
    <w:p>
      <w:pPr>
        <w:numPr>
          <w:ilvl w:val="1"/>
          <w:numId w:val="1007"/>
        </w:numPr>
        <w:pStyle w:val="Compact"/>
      </w:pPr>
      <w:r>
        <w:t xml:space="preserve">Admin (admin only: the approval queue).</w:t>
      </w:r>
    </w:p>
    <w:p>
      <w:pPr>
        <w:numPr>
          <w:ilvl w:val="1"/>
          <w:numId w:val="1007"/>
        </w:numPr>
        <w:pStyle w:val="Compact"/>
      </w:pPr>
      <w:r>
        <w:rPr>
          <w:bCs/>
          <w:b/>
        </w:rPr>
        <w:t xml:space="preserve">Screen colour:</w:t>
      </w:r>
      <w:r>
        <w:t xml:space="preserve"> </w:t>
      </w:r>
      <w:r>
        <w:t xml:space="preserve">light / warm / dark, saved in the user settings.</w:t>
      </w:r>
    </w:p>
    <w:p>
      <w:pPr>
        <w:numPr>
          <w:ilvl w:val="1"/>
          <w:numId w:val="1007"/>
        </w:numPr>
        <w:pStyle w:val="Compact"/>
      </w:pPr>
      <w:r>
        <w:rPr>
          <w:bCs/>
          <w:b/>
        </w:rPr>
        <w:t xml:space="preserve">Sign out</w:t>
      </w:r>
      <w:r>
        <w:t xml:space="preserve">, at the bottom.</w:t>
      </w:r>
    </w:p>
    <w:p>
      <w:pPr>
        <w:numPr>
          <w:ilvl w:val="0"/>
          <w:numId w:val="1004"/>
        </w:numPr>
        <w:pStyle w:val="Compact"/>
      </w:pPr>
      <w:r>
        <w:rPr>
          <w:bCs/>
          <w:b/>
        </w:rPr>
        <w:t xml:space="preserve">Score colour:</w:t>
      </w:r>
    </w:p>
    <w:p>
      <w:pPr>
        <w:numPr>
          <w:ilvl w:val="1"/>
          <w:numId w:val="1008"/>
        </w:numPr>
        <w:pStyle w:val="Compact"/>
      </w:pPr>
      <w:r>
        <w:t xml:space="preserve">A continuous scale from red (0) to green (maximum), by the score relative to its maximum.</w:t>
      </w:r>
    </w:p>
    <w:p>
      <w:pPr>
        <w:numPr>
          <w:ilvl w:val="1"/>
          <w:numId w:val="1008"/>
        </w:numPr>
        <w:pStyle w:val="Compact"/>
      </w:pPr>
      <w:r>
        <w:t xml:space="preserve">The number is always written, so colour is never the only carrier of meaning.</w:t>
      </w:r>
    </w:p>
    <w:bookmarkEnd w:id="21"/>
    <w:bookmarkStart w:id="25" w:name="user-page-three-tabs"/>
    <w:p>
      <w:pPr>
        <w:pStyle w:val="Heading2"/>
      </w:pPr>
      <w:r>
        <w:t xml:space="preserve">3. User page — three tabs</w:t>
      </w:r>
    </w:p>
    <w:bookmarkStart w:id="22" w:name="my-portfolio"/>
    <w:p>
      <w:pPr>
        <w:pStyle w:val="Heading3"/>
      </w:pPr>
      <w:r>
        <w:t xml:space="preserve">3.1 My portfolio</w:t>
      </w:r>
    </w:p>
    <w:p>
      <w:pPr>
        <w:numPr>
          <w:ilvl w:val="0"/>
          <w:numId w:val="1009"/>
        </w:numPr>
        <w:pStyle w:val="Compact"/>
      </w:pPr>
      <w:r>
        <w:rPr>
          <w:bCs/>
          <w:b/>
        </w:rPr>
        <w:t xml:space="preserve">One portfolio on screen.</w:t>
      </w:r>
      <w:r>
        <w:t xml:space="preserve"> </w:t>
      </w:r>
      <w:r>
        <w:t xml:space="preserve">The DB keeps the option of several.</w:t>
      </w:r>
    </w:p>
    <w:p>
      <w:pPr>
        <w:numPr>
          <w:ilvl w:val="0"/>
          <w:numId w:val="1009"/>
        </w:numPr>
        <w:pStyle w:val="Compact"/>
      </w:pPr>
      <w:r>
        <w:rPr>
          <w:bCs/>
          <w:b/>
        </w:rPr>
        <w:t xml:space="preserve">Summary cards:</w:t>
      </w:r>
      <w:r>
        <w:t xml:space="preserve"> </w:t>
      </w:r>
      <w:r>
        <w:t xml:space="preserve">portfolio value, gain / loss, number of stocks.</w:t>
      </w:r>
    </w:p>
    <w:p>
      <w:pPr>
        <w:numPr>
          <w:ilvl w:val="0"/>
          <w:numId w:val="1009"/>
        </w:numPr>
        <w:pStyle w:val="Compact"/>
      </w:pPr>
      <w:r>
        <w:rPr>
          <w:bCs/>
          <w:b/>
        </w:rPr>
        <w:t xml:space="preserve">Holdings table columns:</w:t>
      </w:r>
    </w:p>
    <w:p>
      <w:pPr>
        <w:numPr>
          <w:ilvl w:val="1"/>
          <w:numId w:val="1010"/>
        </w:numPr>
        <w:pStyle w:val="Compact"/>
      </w:pPr>
      <w:r>
        <w:t xml:space="preserve">Stock.</w:t>
      </w:r>
    </w:p>
    <w:p>
      <w:pPr>
        <w:numPr>
          <w:ilvl w:val="1"/>
          <w:numId w:val="1010"/>
        </w:numPr>
        <w:pStyle w:val="Compact"/>
      </w:pPr>
      <w:r>
        <w:t xml:space="preserve">Quantity.</w:t>
      </w:r>
    </w:p>
    <w:p>
      <w:pPr>
        <w:numPr>
          <w:ilvl w:val="1"/>
          <w:numId w:val="1010"/>
        </w:numPr>
        <w:pStyle w:val="Compact"/>
      </w:pPr>
      <w:r>
        <w:t xml:space="preserve">Average purchase price.</w:t>
      </w:r>
    </w:p>
    <w:p>
      <w:pPr>
        <w:numPr>
          <w:ilvl w:val="1"/>
          <w:numId w:val="1010"/>
        </w:numPr>
        <w:pStyle w:val="Compact"/>
      </w:pPr>
      <w:r>
        <w:rPr>
          <w:bCs/>
          <w:b/>
        </w:rPr>
        <w:t xml:space="preserve">Purchase date.</w:t>
      </w:r>
    </w:p>
    <w:p>
      <w:pPr>
        <w:numPr>
          <w:ilvl w:val="1"/>
          <w:numId w:val="1010"/>
        </w:numPr>
        <w:pStyle w:val="Compact"/>
      </w:pPr>
      <w:r>
        <w:t xml:space="preserve">Current price.</w:t>
      </w:r>
    </w:p>
    <w:p>
      <w:pPr>
        <w:numPr>
          <w:ilvl w:val="1"/>
          <w:numId w:val="1010"/>
        </w:numPr>
        <w:pStyle w:val="Compact"/>
      </w:pPr>
      <w:r>
        <w:t xml:space="preserve">Value.</w:t>
      </w:r>
    </w:p>
    <w:p>
      <w:pPr>
        <w:numPr>
          <w:ilvl w:val="1"/>
          <w:numId w:val="1010"/>
        </w:numPr>
        <w:pStyle w:val="Compact"/>
      </w:pPr>
      <w:r>
        <w:t xml:space="preserve">Gain / loss.</w:t>
      </w:r>
    </w:p>
    <w:p>
      <w:pPr>
        <w:numPr>
          <w:ilvl w:val="1"/>
          <w:numId w:val="1010"/>
        </w:numPr>
        <w:pStyle w:val="Compact"/>
      </w:pPr>
      <w:r>
        <w:t xml:space="preserve">Weight.</w:t>
      </w:r>
    </w:p>
    <w:p>
      <w:pPr>
        <w:numPr>
          <w:ilvl w:val="1"/>
          <w:numId w:val="1010"/>
        </w:numPr>
        <w:pStyle w:val="Compact"/>
      </w:pPr>
      <w:r>
        <w:t xml:space="preserve">The four scores: Buffett quality, Buffett price, Graham quality, Graham price.</w:t>
      </w:r>
    </w:p>
    <w:p>
      <w:pPr>
        <w:numPr>
          <w:ilvl w:val="0"/>
          <w:numId w:val="1009"/>
        </w:numPr>
        <w:pStyle w:val="Compact"/>
      </w:pPr>
      <w:r>
        <w:rPr>
          <w:bCs/>
          <w:b/>
        </w:rPr>
        <w:t xml:space="preserve">Empty fields are allowed.</w:t>
      </w:r>
    </w:p>
    <w:p>
      <w:pPr>
        <w:numPr>
          <w:ilvl w:val="1"/>
          <w:numId w:val="1011"/>
        </w:numPr>
        <w:pStyle w:val="Compact"/>
      </w:pPr>
      <w:r>
        <w:t xml:space="preserve">A field the user did not enter, or the code could not extract, shows</w:t>
      </w:r>
      <w:r>
        <w:t xml:space="preserve"> </w:t>
      </w:r>
      <w:r>
        <w:t xml:space="preserve">“</w:t>
      </w:r>
      <w:r>
        <w:t xml:space="preserve">—</w:t>
      </w:r>
      <w:r>
        <w:t xml:space="preserve">”</w:t>
      </w:r>
      <w:r>
        <w:t xml:space="preserve">.</w:t>
      </w:r>
    </w:p>
    <w:p>
      <w:pPr>
        <w:numPr>
          <w:ilvl w:val="1"/>
          <w:numId w:val="1011"/>
        </w:numPr>
        <w:pStyle w:val="Compact"/>
      </w:pPr>
      <w:r>
        <w:t xml:space="preserve">Values that depend on it (e.g., gain / loss) also show</w:t>
      </w:r>
      <w:r>
        <w:t xml:space="preserve"> </w:t>
      </w:r>
      <w:r>
        <w:t xml:space="preserve">“</w:t>
      </w:r>
      <w:r>
        <w:t xml:space="preserve">—</w:t>
      </w:r>
      <w:r>
        <w:t xml:space="preserve">”</w:t>
      </w:r>
      <w:r>
        <w:t xml:space="preserve">.</w:t>
      </w:r>
    </w:p>
    <w:p>
      <w:pPr>
        <w:numPr>
          <w:ilvl w:val="0"/>
          <w:numId w:val="1009"/>
        </w:numPr>
        <w:pStyle w:val="Compact"/>
      </w:pPr>
      <w:r>
        <w:rPr>
          <w:bCs/>
          <w:b/>
        </w:rPr>
        <w:t xml:space="preserve">Adding stocks:</w:t>
      </w:r>
    </w:p>
    <w:p>
      <w:pPr>
        <w:numPr>
          <w:ilvl w:val="1"/>
          <w:numId w:val="1012"/>
        </w:numPr>
        <w:pStyle w:val="Compact"/>
      </w:pPr>
      <w:r>
        <w:t xml:space="preserve">“</w:t>
      </w:r>
      <w:r>
        <w:t xml:space="preserve">הוספת מניה</w:t>
      </w:r>
      <w:r>
        <w:t xml:space="preserve">”</w:t>
      </w:r>
      <w:r>
        <w:t xml:space="preserve"> </w:t>
      </w:r>
      <w:r>
        <w:t xml:space="preserve">(</w:t>
      </w:r>
      <w:r>
        <w:t xml:space="preserve">“</w:t>
      </w:r>
      <w:r>
        <w:t xml:space="preserve">add stock</w:t>
      </w:r>
      <w:r>
        <w:t xml:space="preserve">”</w:t>
      </w:r>
      <w:r>
        <w:t xml:space="preserve">): manual entry.</w:t>
      </w:r>
    </w:p>
    <w:p>
      <w:pPr>
        <w:numPr>
          <w:ilvl w:val="1"/>
          <w:numId w:val="1012"/>
        </w:numPr>
        <w:pStyle w:val="Compact"/>
      </w:pPr>
      <w:r>
        <w:t xml:space="preserve">“</w:t>
      </w:r>
      <w:r>
        <w:t xml:space="preserve">ייבוא מקובץ</w:t>
      </w:r>
      <w:r>
        <w:t xml:space="preserve">”</w:t>
      </w:r>
      <w:r>
        <w:t xml:space="preserve"> </w:t>
      </w:r>
      <w:r>
        <w:t xml:space="preserve">(</w:t>
      </w:r>
      <w:r>
        <w:t xml:space="preserve">“</w:t>
      </w:r>
      <w:r>
        <w:t xml:space="preserve">import from file</w:t>
      </w:r>
      <w:r>
        <w:t xml:space="preserve">”</w:t>
      </w:r>
      <w:r>
        <w:t xml:space="preserve">):</w:t>
      </w:r>
    </w:p>
    <w:p>
      <w:pPr>
        <w:numPr>
          <w:ilvl w:val="2"/>
          <w:numId w:val="1013"/>
        </w:numPr>
        <w:pStyle w:val="Compact"/>
      </w:pPr>
      <w:r>
        <w:t xml:space="preserve">The import recognises the columns in different brokers’ files by itself: ticker, quantity, price, date.</w:t>
      </w:r>
    </w:p>
    <w:p>
      <w:pPr>
        <w:numPr>
          <w:ilvl w:val="2"/>
          <w:numId w:val="1013"/>
        </w:numPr>
        <w:pStyle w:val="Compact"/>
      </w:pPr>
      <w:r>
        <w:t xml:space="preserve">It leaves blank what it cannot find.</w:t>
      </w:r>
    </w:p>
    <w:p>
      <w:pPr>
        <w:numPr>
          <w:ilvl w:val="2"/>
          <w:numId w:val="1013"/>
        </w:numPr>
        <w:pStyle w:val="Compact"/>
      </w:pPr>
      <w:r>
        <w:t xml:space="preserve">A stock not in the DB goes to the automatic add (</w:t>
      </w:r>
      <w:r>
        <w:t xml:space="preserve">“</w:t>
      </w:r>
      <w:r>
        <w:t xml:space="preserve">מבצע עיבוד וניתוח של החברה</w:t>
      </w:r>
      <w:r>
        <w:t xml:space="preserve">”</w:t>
      </w:r>
      <w:r>
        <w:t xml:space="preserve">,</w:t>
      </w:r>
      <w:r>
        <w:t xml:space="preserve"> </w:t>
      </w:r>
      <w:r>
        <w:t xml:space="preserve">“</w:t>
      </w:r>
      <w:r>
        <w:t xml:space="preserve">processing and analysing the company</w:t>
      </w:r>
      <w:r>
        <w:t xml:space="preserve">”</w:t>
      </w:r>
      <w:r>
        <w:t xml:space="preserve">).</w:t>
      </w:r>
    </w:p>
    <w:bookmarkEnd w:id="22"/>
    <w:bookmarkStart w:id="23" w:name="watchlist"/>
    <w:p>
      <w:pPr>
        <w:pStyle w:val="Heading3"/>
      </w:pPr>
      <w:r>
        <w:t xml:space="preserve">3.2 Watchlist</w:t>
      </w:r>
    </w:p>
    <w:p>
      <w:pPr>
        <w:pStyle w:val="FirstParagraph"/>
      </w:pPr>
      <w:r>
        <w:t xml:space="preserve">Columns:</w:t>
      </w:r>
    </w:p>
    <w:p>
      <w:pPr>
        <w:numPr>
          <w:ilvl w:val="0"/>
          <w:numId w:val="1014"/>
        </w:numPr>
        <w:pStyle w:val="Compact"/>
      </w:pPr>
      <w:r>
        <w:t xml:space="preserve">Stock.</w:t>
      </w:r>
    </w:p>
    <w:p>
      <w:pPr>
        <w:numPr>
          <w:ilvl w:val="0"/>
          <w:numId w:val="1014"/>
        </w:numPr>
        <w:pStyle w:val="Compact"/>
      </w:pPr>
      <w:r>
        <w:t xml:space="preserve">Current price.</w:t>
      </w:r>
    </w:p>
    <w:p>
      <w:pPr>
        <w:numPr>
          <w:ilvl w:val="0"/>
          <w:numId w:val="1014"/>
        </w:numPr>
        <w:pStyle w:val="Compact"/>
      </w:pPr>
      <w:r>
        <w:t xml:space="preserve">Buy price (Buffett).</w:t>
      </w:r>
    </w:p>
    <w:p>
      <w:pPr>
        <w:numPr>
          <w:ilvl w:val="0"/>
          <w:numId w:val="1014"/>
        </w:numPr>
        <w:pStyle w:val="Compact"/>
      </w:pPr>
      <w:r>
        <w:t xml:space="preserve">Distance from the buy price.</w:t>
      </w:r>
    </w:p>
    <w:p>
      <w:pPr>
        <w:numPr>
          <w:ilvl w:val="0"/>
          <w:numId w:val="1014"/>
        </w:numPr>
        <w:pStyle w:val="Compact"/>
      </w:pPr>
      <w:r>
        <w:t xml:space="preserve">The four scores.</w:t>
      </w:r>
    </w:p>
    <w:p>
      <w:pPr>
        <w:numPr>
          <w:ilvl w:val="0"/>
          <w:numId w:val="1014"/>
        </w:numPr>
        <w:pStyle w:val="Compact"/>
      </w:pPr>
      <w:r>
        <w:t xml:space="preserve">Date added.</w:t>
      </w:r>
    </w:p>
    <w:bookmarkEnd w:id="23"/>
    <w:bookmarkStart w:id="24" w:name="top-ranked"/>
    <w:p>
      <w:pPr>
        <w:pStyle w:val="Heading3"/>
      </w:pPr>
      <w:r>
        <w:t xml:space="preserve">3.3 Top ranked</w:t>
      </w:r>
    </w:p>
    <w:p>
      <w:pPr>
        <w:numPr>
          <w:ilvl w:val="0"/>
          <w:numId w:val="1015"/>
        </w:numPr>
        <w:pStyle w:val="Compact"/>
      </w:pPr>
      <w:r>
        <w:rPr>
          <w:bCs/>
          <w:b/>
        </w:rPr>
        <w:t xml:space="preserve">Filters:</w:t>
      </w:r>
      <w:r>
        <w:t xml:space="preserve"> </w:t>
      </w:r>
      <w:r>
        <w:t xml:space="preserve">sector (ValueCompass industries) and country (US for now).</w:t>
      </w:r>
    </w:p>
    <w:p>
      <w:pPr>
        <w:numPr>
          <w:ilvl w:val="0"/>
          <w:numId w:val="1015"/>
        </w:numPr>
        <w:pStyle w:val="Compact"/>
      </w:pPr>
      <w:r>
        <w:rPr>
          <w:bCs/>
          <w:b/>
        </w:rPr>
        <w:t xml:space="preserve">Top 5 combined:</w:t>
      </w:r>
    </w:p>
    <w:p>
      <w:pPr>
        <w:numPr>
          <w:ilvl w:val="1"/>
          <w:numId w:val="1016"/>
        </w:numPr>
        <w:pStyle w:val="Compact"/>
      </w:pPr>
      <w:r>
        <w:t xml:space="preserve">The average of the four scores, with the price score (out of 10) multiplied by 10.</w:t>
      </w:r>
    </w:p>
    <w:p>
      <w:pPr>
        <w:numPr>
          <w:ilvl w:val="1"/>
          <w:numId w:val="1016"/>
        </w:numPr>
        <w:pStyle w:val="Compact"/>
      </w:pPr>
      <w:r>
        <w:rPr>
          <w:bCs/>
          <w:b/>
        </w:rPr>
        <w:t xml:space="preserve">Only stocks that have all four scores.</w:t>
      </w:r>
    </w:p>
    <w:p>
      <w:pPr>
        <w:numPr>
          <w:ilvl w:val="0"/>
          <w:numId w:val="1015"/>
        </w:numPr>
        <w:pStyle w:val="Compact"/>
      </w:pPr>
      <w:r>
        <w:rPr>
          <w:bCs/>
          <w:b/>
        </w:rPr>
        <w:t xml:space="preserve">Top 5 for each rating</w:t>
      </w:r>
      <w:r>
        <w:t xml:space="preserve"> </w:t>
      </w:r>
      <w:r>
        <w:t xml:space="preserve">(Buffett quality, Buffett price, Graham quality, Graham price):</w:t>
      </w:r>
    </w:p>
    <w:p>
      <w:pPr>
        <w:numPr>
          <w:ilvl w:val="1"/>
          <w:numId w:val="1017"/>
        </w:numPr>
        <w:pStyle w:val="Compact"/>
      </w:pPr>
      <w:r>
        <w:t xml:space="preserve">A stock enters every rating where it has a score, even if another score is missing.</w:t>
      </w:r>
    </w:p>
    <w:p>
      <w:pPr>
        <w:numPr>
          <w:ilvl w:val="0"/>
          <w:numId w:val="1015"/>
        </w:numPr>
        <w:pStyle w:val="Compact"/>
      </w:pPr>
      <w:r>
        <w:rPr>
          <w:bCs/>
          <w:b/>
        </w:rPr>
        <w:t xml:space="preserve">No extra filter for low quality or low coverage.</w:t>
      </w:r>
      <w:r>
        <w:t xml:space="preserve"> </w:t>
      </w:r>
      <w:r>
        <w:t xml:space="preserve">Such a stock does not reach the top because of its score.</w:t>
      </w:r>
    </w:p>
    <w:bookmarkEnd w:id="24"/>
    <w:bookmarkEnd w:id="25"/>
    <w:bookmarkStart w:id="31" w:name="stock-page"/>
    <w:p>
      <w:pPr>
        <w:pStyle w:val="Heading2"/>
      </w:pPr>
      <w:r>
        <w:t xml:space="preserve">4. Stock page</w:t>
      </w:r>
    </w:p>
    <w:p>
      <w:pPr>
        <w:pStyle w:val="FirstParagraph"/>
      </w:pPr>
      <w:r>
        <w:t xml:space="preserve">Order of sections:</w:t>
      </w:r>
    </w:p>
    <w:bookmarkStart w:id="26" w:name="details-and-background"/>
    <w:p>
      <w:pPr>
        <w:pStyle w:val="Heading3"/>
      </w:pPr>
      <w:r>
        <w:t xml:space="preserve">4.1 Details and background</w:t>
      </w:r>
    </w:p>
    <w:p>
      <w:pPr>
        <w:numPr>
          <w:ilvl w:val="0"/>
          <w:numId w:val="1018"/>
        </w:numPr>
        <w:pStyle w:val="Compact"/>
      </w:pPr>
      <w:r>
        <w:rPr>
          <w:bCs/>
          <w:b/>
        </w:rPr>
        <w:t xml:space="preserve">Details:</w:t>
      </w:r>
    </w:p>
    <w:p>
      <w:pPr>
        <w:numPr>
          <w:ilvl w:val="1"/>
          <w:numId w:val="1019"/>
        </w:numPr>
        <w:pStyle w:val="Compact"/>
      </w:pPr>
      <w:r>
        <w:t xml:space="preserve">Name, ticker, exchange.</w:t>
      </w:r>
    </w:p>
    <w:p>
      <w:pPr>
        <w:numPr>
          <w:ilvl w:val="1"/>
          <w:numId w:val="1019"/>
        </w:numPr>
        <w:pStyle w:val="Compact"/>
      </w:pPr>
      <w:r>
        <w:t xml:space="preserve">Main country of operation, sector.</w:t>
      </w:r>
    </w:p>
    <w:p>
      <w:pPr>
        <w:numPr>
          <w:ilvl w:val="1"/>
          <w:numId w:val="1019"/>
        </w:numPr>
        <w:pStyle w:val="Compact"/>
      </w:pPr>
      <w:r>
        <w:t xml:space="preserve">Market cap, current price.</w:t>
      </w:r>
    </w:p>
    <w:p>
      <w:pPr>
        <w:numPr>
          <w:ilvl w:val="1"/>
          <w:numId w:val="1019"/>
        </w:numPr>
        <w:pStyle w:val="Compact"/>
      </w:pPr>
      <w:r>
        <w:t xml:space="preserve">Last update, with the fiscal year of the annual report.</w:t>
      </w:r>
    </w:p>
    <w:p>
      <w:pPr>
        <w:numPr>
          <w:ilvl w:val="0"/>
          <w:numId w:val="1018"/>
        </w:numPr>
        <w:pStyle w:val="Compact"/>
      </w:pPr>
      <w:r>
        <w:rPr>
          <w:bCs/>
          <w:b/>
        </w:rPr>
        <w:t xml:space="preserve">Buttons:</w:t>
      </w:r>
      <w:r>
        <w:t xml:space="preserve"> </w:t>
      </w:r>
      <w:r>
        <w:t xml:space="preserve">“</w:t>
      </w:r>
      <w:r>
        <w:t xml:space="preserve">+ למעקב</w:t>
      </w:r>
      <w:r>
        <w:t xml:space="preserve">”</w:t>
      </w:r>
      <w:r>
        <w:t xml:space="preserve"> </w:t>
      </w:r>
      <w:r>
        <w:t xml:space="preserve">(</w:t>
      </w:r>
      <w:r>
        <w:t xml:space="preserve">“</w:t>
      </w:r>
      <w:r>
        <w:t xml:space="preserve">add to watchlist</w:t>
      </w:r>
      <w:r>
        <w:t xml:space="preserve">”</w:t>
      </w:r>
      <w:r>
        <w:t xml:space="preserve">),</w:t>
      </w:r>
      <w:r>
        <w:t xml:space="preserve"> </w:t>
      </w:r>
      <w:r>
        <w:t xml:space="preserve">“</w:t>
      </w:r>
      <w:r>
        <w:t xml:space="preserve">+ לתיק</w:t>
      </w:r>
      <w:r>
        <w:t xml:space="preserve">”</w:t>
      </w:r>
      <w:r>
        <w:t xml:space="preserve"> </w:t>
      </w:r>
      <w:r>
        <w:t xml:space="preserve">(</w:t>
      </w:r>
      <w:r>
        <w:t xml:space="preserve">“</w:t>
      </w:r>
      <w:r>
        <w:t xml:space="preserve">add to portfolio</w:t>
      </w:r>
      <w:r>
        <w:t xml:space="preserve">”</w:t>
      </w:r>
      <w:r>
        <w:t xml:space="preserve">).</w:t>
      </w:r>
    </w:p>
    <w:p>
      <w:pPr>
        <w:numPr>
          <w:ilvl w:val="0"/>
          <w:numId w:val="1018"/>
        </w:numPr>
        <w:pStyle w:val="Compact"/>
      </w:pPr>
      <w:r>
        <w:rPr>
          <w:bCs/>
          <w:b/>
        </w:rPr>
        <w:t xml:space="preserve">על החברה (</w:t>
      </w:r>
      <w:r>
        <w:rPr>
          <w:bCs/>
          <w:b/>
        </w:rPr>
        <w:t xml:space="preserve">“</w:t>
      </w:r>
      <w:r>
        <w:rPr>
          <w:bCs/>
          <w:b/>
        </w:rPr>
        <w:t xml:space="preserve">about the company</w:t>
      </w:r>
      <w:r>
        <w:rPr>
          <w:bCs/>
          <w:b/>
        </w:rPr>
        <w:t xml:space="preserve">”</w:t>
      </w:r>
      <w:r>
        <w:rPr>
          <w:bCs/>
          <w:b/>
        </w:rPr>
        <w:t xml:space="preserve">):</w:t>
      </w:r>
      <w:r>
        <w:t xml:space="preserve"> </w:t>
      </w:r>
      <w:r>
        <w:t xml:space="preserve">background D1 — the five agreed parts, at most 120 words.</w:t>
      </w:r>
    </w:p>
    <w:bookmarkEnd w:id="26"/>
    <w:bookmarkStart w:id="27" w:name="key-financials-six-charts"/>
    <w:p>
      <w:pPr>
        <w:pStyle w:val="Heading3"/>
      </w:pPr>
      <w:r>
        <w:t xml:space="preserve">4.2 Key financials — six charts</w:t>
      </w:r>
    </w:p>
    <w:p>
      <w:pPr>
        <w:numPr>
          <w:ilvl w:val="0"/>
          <w:numId w:val="1020"/>
        </w:numPr>
        <w:pStyle w:val="Compact"/>
      </w:pPr>
      <w:r>
        <w:rPr>
          <w:bCs/>
          <w:b/>
        </w:rPr>
        <w:t xml:space="preserve">One chart per metric</w:t>
      </w:r>
      <w:r>
        <w:t xml:space="preserve">, each in its own colour. No combined chart, no trend line.</w:t>
      </w:r>
    </w:p>
    <w:p>
      <w:pPr>
        <w:numPr>
          <w:ilvl w:val="0"/>
          <w:numId w:val="1020"/>
        </w:numPr>
        <w:pStyle w:val="Compact"/>
      </w:pPr>
      <w:r>
        <w:rPr>
          <w:bCs/>
          <w:b/>
        </w:rPr>
        <w:t xml:space="preserve">Bars for each of the last 10 fiscal years.</w:t>
      </w:r>
      <w:r>
        <w:t xml:space="preserve"> </w:t>
      </w:r>
      <w:r>
        <w:t xml:space="preserve">With fewer years: what exists, labelled</w:t>
      </w:r>
      <w:r>
        <w:t xml:space="preserve"> </w:t>
      </w:r>
      <w:r>
        <w:t xml:space="preserve">“</w:t>
      </w:r>
      <w:r>
        <w:t xml:space="preserve">נתונים ל-X שנים</w:t>
      </w:r>
      <w:r>
        <w:t xml:space="preserve">”</w:t>
      </w:r>
      <w:r>
        <w:t xml:space="preserve"> </w:t>
      </w:r>
      <w:r>
        <w:t xml:space="preserve">(</w:t>
      </w:r>
      <w:r>
        <w:t xml:space="preserve">“</w:t>
      </w:r>
      <w:r>
        <w:t xml:space="preserve">data for X years</w:t>
      </w:r>
      <w:r>
        <w:t xml:space="preserve">”</w:t>
      </w:r>
      <w:r>
        <w:t xml:space="preserve">).</w:t>
      </w:r>
    </w:p>
    <w:p>
      <w:pPr>
        <w:numPr>
          <w:ilvl w:val="0"/>
          <w:numId w:val="1020"/>
        </w:numPr>
        <w:pStyle w:val="Compact"/>
      </w:pPr>
      <w:r>
        <w:rPr>
          <w:bCs/>
          <w:b/>
        </w:rPr>
        <w:t xml:space="preserve">Under each chart, 3 / 5 / 7 / 10 years:</w:t>
      </w:r>
    </w:p>
    <w:p>
      <w:pPr>
        <w:numPr>
          <w:ilvl w:val="1"/>
          <w:numId w:val="1021"/>
        </w:numPr>
        <w:pStyle w:val="Compact"/>
      </w:pPr>
      <w:r>
        <w:t xml:space="preserve">CAGR for revenue, net income, EPS and free cash flow. When CAGR is not meaningful: the average, labelled.</w:t>
      </w:r>
    </w:p>
    <w:p>
      <w:pPr>
        <w:numPr>
          <w:ilvl w:val="1"/>
          <w:numId w:val="1021"/>
        </w:numPr>
        <w:pStyle w:val="Compact"/>
      </w:pPr>
      <w:r>
        <w:t xml:space="preserve">The average for return on equity and debt / equity.</w:t>
      </w:r>
    </w:p>
    <w:p>
      <w:pPr>
        <w:numPr>
          <w:ilvl w:val="0"/>
          <w:numId w:val="1020"/>
        </w:numPr>
        <w:pStyle w:val="Compact"/>
      </w:pPr>
      <w:r>
        <w:rPr>
          <w:bCs/>
          <w:b/>
        </w:rPr>
        <w:t xml:space="preserve">The metrics</w:t>
      </w:r>
      <w:r>
        <w:t xml:space="preserve"> </w:t>
      </w:r>
      <w:r>
        <w:t xml:space="preserve">(definitions per profile in Appendix A):</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Title</w:t>
            </w:r>
          </w:p>
        </w:tc>
        <w:tc>
          <w:tcPr/>
          <w:p>
            <w:pPr>
              <w:pStyle w:val="Compact"/>
              <w:jc w:val="left"/>
            </w:pPr>
            <w:r>
              <w:t xml:space="preserve">STANDARD / TECH metric</w:t>
            </w:r>
          </w:p>
        </w:tc>
      </w:tr>
      <w:tr>
        <w:tc>
          <w:tcPr/>
          <w:p>
            <w:pPr>
              <w:pStyle w:val="Compact"/>
              <w:jc w:val="left"/>
            </w:pPr>
            <w:r>
              <w:t xml:space="preserve">Revenue</w:t>
            </w:r>
          </w:p>
        </w:tc>
        <w:tc>
          <w:tcPr/>
          <w:p>
            <w:pPr>
              <w:pStyle w:val="Compact"/>
              <w:jc w:val="left"/>
            </w:pPr>
            <w:r>
              <w:t xml:space="preserve">Revenue</w:t>
            </w:r>
          </w:p>
        </w:tc>
      </w:tr>
      <w:tr>
        <w:tc>
          <w:tcPr/>
          <w:p>
            <w:pPr>
              <w:pStyle w:val="Compact"/>
              <w:jc w:val="left"/>
            </w:pPr>
            <w:r>
              <w:t xml:space="preserve">Net income</w:t>
            </w:r>
          </w:p>
        </w:tc>
        <w:tc>
          <w:tcPr/>
          <w:p>
            <w:pPr>
              <w:pStyle w:val="Compact"/>
              <w:jc w:val="left"/>
            </w:pPr>
            <w:r>
              <w:t xml:space="preserve">Net income to shareholders</w:t>
            </w:r>
          </w:p>
        </w:tc>
      </w:tr>
      <w:tr>
        <w:tc>
          <w:tcPr/>
          <w:p>
            <w:pPr>
              <w:pStyle w:val="Compact"/>
              <w:jc w:val="left"/>
            </w:pPr>
            <w:r>
              <w:t xml:space="preserve">EPS</w:t>
            </w:r>
          </w:p>
        </w:tc>
        <w:tc>
          <w:tcPr/>
          <w:p>
            <w:pPr>
              <w:pStyle w:val="Compact"/>
              <w:jc w:val="left"/>
            </w:pPr>
            <w:r>
              <w:t xml:space="preserve">Diluted EPS</w:t>
            </w:r>
          </w:p>
        </w:tc>
      </w:tr>
      <w:tr>
        <w:tc>
          <w:tcPr/>
          <w:p>
            <w:pPr>
              <w:pStyle w:val="Compact"/>
              <w:jc w:val="left"/>
            </w:pPr>
            <w:r>
              <w:t xml:space="preserve">Return on equity</w:t>
            </w:r>
          </w:p>
        </w:tc>
        <w:tc>
          <w:tcPr/>
          <w:p>
            <w:pPr>
              <w:pStyle w:val="Compact"/>
              <w:jc w:val="left"/>
            </w:pPr>
            <w:r>
              <w:t xml:space="preserve">ROE</w:t>
            </w:r>
          </w:p>
        </w:tc>
      </w:tr>
      <w:tr>
        <w:tc>
          <w:tcPr/>
          <w:p>
            <w:pPr>
              <w:pStyle w:val="Compact"/>
              <w:jc w:val="left"/>
            </w:pPr>
            <w:r>
              <w:t xml:space="preserve">Free cash flow</w:t>
            </w:r>
          </w:p>
        </w:tc>
        <w:tc>
          <w:tcPr/>
          <w:p>
            <w:pPr>
              <w:pStyle w:val="Compact"/>
              <w:jc w:val="left"/>
            </w:pPr>
            <w:r>
              <w:t xml:space="preserve">CFO − capex</w:t>
            </w:r>
          </w:p>
        </w:tc>
      </w:tr>
      <w:tr>
        <w:tc>
          <w:tcPr/>
          <w:p>
            <w:pPr>
              <w:pStyle w:val="Compact"/>
              <w:jc w:val="left"/>
            </w:pPr>
            <w:r>
              <w:t xml:space="preserve">Debt / equity</w:t>
            </w:r>
          </w:p>
        </w:tc>
        <w:tc>
          <w:tcPr/>
          <w:p>
            <w:pPr>
              <w:pStyle w:val="Compact"/>
              <w:jc w:val="left"/>
            </w:pPr>
            <w:r>
              <w:rPr>
                <w:bCs/>
                <w:b/>
              </w:rPr>
              <w:t xml:space="preserve">Financial debt / equity</w:t>
            </w:r>
            <w:r>
              <w:t xml:space="preserve">, the ratio that Graham 3.3 scores</w:t>
            </w:r>
          </w:p>
        </w:tc>
      </w:tr>
    </w:tbl>
    <w:p>
      <w:pPr>
        <w:numPr>
          <w:ilvl w:val="0"/>
          <w:numId w:val="1022"/>
        </w:numPr>
        <w:pStyle w:val="Compact"/>
      </w:pPr>
      <w:r>
        <w:rPr>
          <w:bCs/>
          <w:b/>
        </w:rPr>
        <w:t xml:space="preserve">Banks, insurers and real estate:</w:t>
      </w:r>
      <w:r>
        <w:t xml:space="preserve"> </w:t>
      </w:r>
      <w:r>
        <w:t xml:space="preserve">the titles stay. The metric under each title follows the profile (Appendix A), with a short explanation line.</w:t>
      </w:r>
    </w:p>
    <w:bookmarkEnd w:id="27"/>
    <w:bookmarkStart w:id="28" w:name="score-summary"/>
    <w:p>
      <w:pPr>
        <w:pStyle w:val="Heading3"/>
      </w:pPr>
      <w:r>
        <w:t xml:space="preserve">4.3 Score summary</w:t>
      </w:r>
    </w:p>
    <w:p>
      <w:pPr>
        <w:numPr>
          <w:ilvl w:val="0"/>
          <w:numId w:val="1023"/>
        </w:numPr>
        <w:pStyle w:val="Compact"/>
      </w:pPr>
      <w:r>
        <w:rPr>
          <w:bCs/>
          <w:b/>
        </w:rPr>
        <w:t xml:space="preserve">Table, one row each for Buffett and Graham.</w:t>
      </w:r>
      <w:r>
        <w:t xml:space="preserve"> </w:t>
      </w:r>
      <w:r>
        <w:t xml:space="preserve">Columns:</w:t>
      </w:r>
    </w:p>
    <w:p>
      <w:pPr>
        <w:numPr>
          <w:ilvl w:val="1"/>
          <w:numId w:val="1024"/>
        </w:numPr>
        <w:pStyle w:val="Compact"/>
      </w:pPr>
      <w:r>
        <w:rPr>
          <w:bCs/>
          <w:b/>
        </w:rPr>
        <w:t xml:space="preserve">Quality score</w:t>
      </w:r>
      <w:r>
        <w:t xml:space="preserve">, with label.</w:t>
      </w:r>
    </w:p>
    <w:p>
      <w:pPr>
        <w:numPr>
          <w:ilvl w:val="1"/>
          <w:numId w:val="1024"/>
        </w:numPr>
        <w:pStyle w:val="Compact"/>
      </w:pPr>
      <w:r>
        <w:rPr>
          <w:bCs/>
          <w:b/>
        </w:rPr>
        <w:t xml:space="preserve">Price score.</w:t>
      </w:r>
    </w:p>
    <w:p>
      <w:pPr>
        <w:numPr>
          <w:ilvl w:val="1"/>
          <w:numId w:val="1024"/>
        </w:numPr>
        <w:pStyle w:val="Compact"/>
      </w:pPr>
      <w:r>
        <w:rPr>
          <w:bCs/>
          <w:b/>
        </w:rPr>
        <w:t xml:space="preserve">Fair value.</w:t>
      </w:r>
    </w:p>
    <w:p>
      <w:pPr>
        <w:numPr>
          <w:ilvl w:val="1"/>
          <w:numId w:val="1024"/>
        </w:numPr>
        <w:pStyle w:val="Compact"/>
      </w:pPr>
      <w:r>
        <w:rPr>
          <w:bCs/>
          <w:b/>
        </w:rPr>
        <w:t xml:space="preserve">Buy price.</w:t>
      </w:r>
    </w:p>
    <w:p>
      <w:pPr>
        <w:numPr>
          <w:ilvl w:val="1"/>
          <w:numId w:val="1024"/>
        </w:numPr>
        <w:pStyle w:val="Compact"/>
      </w:pPr>
      <w:r>
        <w:rPr>
          <w:bCs/>
          <w:b/>
        </w:rPr>
        <w:t xml:space="preserve">Margin of safety:</w:t>
      </w:r>
      <w:r>
        <w:t xml:space="preserve"> </w:t>
      </w:r>
      <w:r>
        <w:t xml:space="preserve">current, with the required one in brackets.</w:t>
      </w:r>
    </w:p>
    <w:p>
      <w:pPr>
        <w:numPr>
          <w:ilvl w:val="1"/>
          <w:numId w:val="1024"/>
        </w:numPr>
        <w:pStyle w:val="Compact"/>
      </w:pPr>
      <w:r>
        <w:rPr>
          <w:bCs/>
          <w:b/>
        </w:rPr>
        <w:t xml:space="preserve">Conclusion.</w:t>
      </w:r>
    </w:p>
    <w:p>
      <w:pPr>
        <w:numPr>
          <w:ilvl w:val="0"/>
          <w:numId w:val="1023"/>
        </w:numPr>
        <w:pStyle w:val="Compact"/>
      </w:pPr>
      <w:r>
        <w:t xml:space="preserve">Scores are shown in the continuous colour scale.</w:t>
      </w:r>
    </w:p>
    <w:p>
      <w:pPr>
        <w:numPr>
          <w:ilvl w:val="0"/>
          <w:numId w:val="1023"/>
        </w:numPr>
        <w:pStyle w:val="Compact"/>
      </w:pPr>
      <w:r>
        <w:rPr>
          <w:bCs/>
          <w:b/>
        </w:rPr>
        <w:t xml:space="preserve">“</w:t>
      </w:r>
      <w:r>
        <w:rPr>
          <w:bCs/>
          <w:b/>
        </w:rPr>
        <w:t xml:space="preserve">פירוט</w:t>
      </w:r>
      <w:r>
        <w:rPr>
          <w:bCs/>
          <w:b/>
        </w:rPr>
        <w:t xml:space="preserve">”</w:t>
      </w:r>
      <w:r>
        <w:rPr>
          <w:bCs/>
          <w:b/>
        </w:rPr>
        <w:t xml:space="preserve"> </w:t>
      </w:r>
      <w:r>
        <w:rPr>
          <w:bCs/>
          <w:b/>
        </w:rPr>
        <w:t xml:space="preserve">(</w:t>
      </w:r>
      <w:r>
        <w:rPr>
          <w:bCs/>
          <w:b/>
        </w:rPr>
        <w:t xml:space="preserve">“</w:t>
      </w:r>
      <w:r>
        <w:rPr>
          <w:bCs/>
          <w:b/>
        </w:rPr>
        <w:t xml:space="preserve">details</w:t>
      </w:r>
      <w:r>
        <w:rPr>
          <w:bCs/>
          <w:b/>
        </w:rPr>
        <w:t xml:space="preserve">”</w:t>
      </w:r>
      <w:r>
        <w:rPr>
          <w:bCs/>
          <w:b/>
        </w:rPr>
        <w:t xml:space="preserve">) per model</w:t>
      </w:r>
      <w:r>
        <w:t xml:space="preserve"> </w:t>
      </w:r>
      <w:r>
        <w:t xml:space="preserve">opens two parts:</w:t>
      </w:r>
    </w:p>
    <w:p>
      <w:pPr>
        <w:numPr>
          <w:ilvl w:val="1"/>
          <w:numId w:val="1025"/>
        </w:numPr>
        <w:pStyle w:val="Compact"/>
      </w:pPr>
      <w:r>
        <w:rPr>
          <w:bCs/>
          <w:b/>
        </w:rPr>
        <w:t xml:space="preserve">Criteria:</w:t>
      </w:r>
      <w:r>
        <w:t xml:space="preserve"> </w:t>
      </w:r>
      <w:r>
        <w:t xml:space="preserve">the eight criteria, each with its name and score only (</w:t>
      </w:r>
      <w:r>
        <w:t xml:space="preserve">“</w:t>
      </w:r>
      <w:r>
        <w:t xml:space="preserve">X/weight</w:t>
      </w:r>
      <w:r>
        <w:t xml:space="preserve">”</w:t>
      </w:r>
      <w:r>
        <w:t xml:space="preserve">), in the colour scale. No calculation detail.</w:t>
      </w:r>
    </w:p>
    <w:p>
      <w:pPr>
        <w:numPr>
          <w:ilvl w:val="1"/>
          <w:numId w:val="1025"/>
        </w:numPr>
        <w:pStyle w:val="Compact"/>
      </w:pPr>
      <w:r>
        <w:rPr>
          <w:bCs/>
          <w:b/>
        </w:rPr>
        <w:t xml:space="preserve">Price determination:</w:t>
      </w:r>
      <w:r>
        <w:t xml:space="preserve"> </w:t>
      </w:r>
      <w:r>
        <w:t xml:space="preserve">the method and its components as stored by the engine.</w:t>
      </w:r>
    </w:p>
    <w:p>
      <w:pPr>
        <w:numPr>
          <w:ilvl w:val="2"/>
          <w:numId w:val="1026"/>
        </w:numPr>
        <w:pStyle w:val="Compact"/>
      </w:pPr>
      <w:r>
        <w:rPr>
          <w:bCs/>
          <w:b/>
        </w:rPr>
        <w:t xml:space="preserve">Buffett:</w:t>
      </w:r>
      <w:r>
        <w:t xml:space="preserve"> </w:t>
      </w:r>
      <w:r>
        <w:t xml:space="preserve">fair value, current price, discount, upside, required margin of safety, buy price, price score.</w:t>
      </w:r>
    </w:p>
    <w:p>
      <w:pPr>
        <w:numPr>
          <w:ilvl w:val="2"/>
          <w:numId w:val="1026"/>
        </w:numPr>
        <w:pStyle w:val="Compact"/>
      </w:pPr>
      <w:r>
        <w:rPr>
          <w:bCs/>
          <w:b/>
        </w:rPr>
        <w:t xml:space="preserve">Graham:</w:t>
      </w:r>
      <w:r>
        <w:t xml:space="preserve"> </w:t>
      </w:r>
      <w:r>
        <w:t xml:space="preserve">Graham Number, normalized EPS × 15, BVPS × 1.5, the value (the minimum), current price, required margin, buy price, price score.</w:t>
      </w:r>
    </w:p>
    <w:p>
      <w:pPr>
        <w:numPr>
          <w:ilvl w:val="2"/>
          <w:numId w:val="1026"/>
        </w:numPr>
        <w:pStyle w:val="Compact"/>
      </w:pPr>
      <w:r>
        <w:rPr>
          <w:bCs/>
          <w:b/>
        </w:rPr>
        <w:t xml:space="preserve">Banks, insurers and real estate:</w:t>
      </w:r>
      <w:r>
        <w:t xml:space="preserve"> </w:t>
      </w:r>
      <w:r>
        <w:t xml:space="preserve">the profile’s method.</w:t>
      </w:r>
    </w:p>
    <w:p>
      <w:pPr>
        <w:numPr>
          <w:ilvl w:val="0"/>
          <w:numId w:val="1023"/>
        </w:numPr>
        <w:pStyle w:val="Compact"/>
      </w:pPr>
      <w:r>
        <w:rPr>
          <w:bCs/>
          <w:b/>
        </w:rPr>
        <w:t xml:space="preserve">Price states are shown as text instead of a number:</w:t>
      </w:r>
    </w:p>
    <w:p>
      <w:pPr>
        <w:numPr>
          <w:ilvl w:val="1"/>
          <w:numId w:val="1027"/>
        </w:numPr>
        <w:pStyle w:val="Compact"/>
      </w:pPr>
      <w:r>
        <w:t xml:space="preserve">“</w:t>
      </w:r>
      <w:r>
        <w:t xml:space="preserve">לא מתאים לרכישה</w:t>
      </w:r>
      <w:r>
        <w:t xml:space="preserve">”</w:t>
      </w:r>
      <w:r>
        <w:t xml:space="preserve"> </w:t>
      </w:r>
      <w:r>
        <w:t xml:space="preserve">(</w:t>
      </w:r>
      <w:r>
        <w:t xml:space="preserve">“</w:t>
      </w:r>
      <w:r>
        <w:t xml:space="preserve">not suitable for purchase</w:t>
      </w:r>
      <w:r>
        <w:t xml:space="preserve">”</w:t>
      </w:r>
      <w:r>
        <w:t xml:space="preserve">), when quality is below 55.</w:t>
      </w:r>
    </w:p>
    <w:p>
      <w:pPr>
        <w:numPr>
          <w:ilvl w:val="1"/>
          <w:numId w:val="1027"/>
        </w:numPr>
        <w:pStyle w:val="Compact"/>
      </w:pPr>
      <w:r>
        <w:t xml:space="preserve">“</w:t>
      </w:r>
      <w:r>
        <w:t xml:space="preserve">לא רלוונטי</w:t>
      </w:r>
      <w:r>
        <w:t xml:space="preserve">”</w:t>
      </w:r>
      <w:r>
        <w:t xml:space="preserve"> </w:t>
      </w:r>
      <w:r>
        <w:t xml:space="preserve">(</w:t>
      </w:r>
      <w:r>
        <w:t xml:space="preserve">“</w:t>
      </w:r>
      <w:r>
        <w:t xml:space="preserve">not applicable</w:t>
      </w:r>
      <w:r>
        <w:t xml:space="preserve">”</w:t>
      </w:r>
      <w:r>
        <w:t xml:space="preserve">).</w:t>
      </w:r>
    </w:p>
    <w:p>
      <w:pPr>
        <w:numPr>
          <w:ilvl w:val="1"/>
          <w:numId w:val="1027"/>
        </w:numPr>
        <w:pStyle w:val="Compact"/>
      </w:pPr>
      <w:r>
        <w:t xml:space="preserve">“</w:t>
      </w:r>
      <w:r>
        <w:t xml:space="preserve">לא ניתן לתמחר כרגע</w:t>
      </w:r>
      <w:r>
        <w:t xml:space="preserve">”</w:t>
      </w:r>
      <w:r>
        <w:t xml:space="preserve"> </w:t>
      </w:r>
      <w:r>
        <w:t xml:space="preserve">(</w:t>
      </w:r>
      <w:r>
        <w:t xml:space="preserve">“</w:t>
      </w:r>
      <w:r>
        <w:t xml:space="preserve">cannot be priced at the moment</w:t>
      </w:r>
      <w:r>
        <w:t xml:space="preserve">”</w:t>
      </w:r>
      <w:r>
        <w:t xml:space="preserve">).</w:t>
      </w:r>
    </w:p>
    <w:p>
      <w:pPr>
        <w:numPr>
          <w:ilvl w:val="1"/>
          <w:numId w:val="1027"/>
        </w:numPr>
        <w:pStyle w:val="Compact"/>
      </w:pPr>
      <w:r>
        <w:t xml:space="preserve">“</w:t>
      </w:r>
      <w:r>
        <w:t xml:space="preserve">חסום</w:t>
      </w:r>
      <w:r>
        <w:t xml:space="preserve">”</w:t>
      </w:r>
      <w:r>
        <w:t xml:space="preserve"> </w:t>
      </w:r>
      <w:r>
        <w:t xml:space="preserve">(</w:t>
      </w:r>
      <w:r>
        <w:t xml:space="preserve">“</w:t>
      </w:r>
      <w:r>
        <w:t xml:space="preserve">blocked</w:t>
      </w:r>
      <w:r>
        <w:t xml:space="preserve">”</w:t>
      </w:r>
      <w:r>
        <w:t xml:space="preserve">).</w:t>
      </w:r>
    </w:p>
    <w:p>
      <w:pPr>
        <w:numPr>
          <w:ilvl w:val="1"/>
          <w:numId w:val="1027"/>
        </w:numPr>
        <w:pStyle w:val="Compact"/>
      </w:pPr>
      <w:r>
        <w:t xml:space="preserve">“</w:t>
      </w:r>
      <w:r>
        <w:t xml:space="preserve">המחיר לא עודכן</w:t>
      </w:r>
      <w:r>
        <w:t xml:space="preserve">”</w:t>
      </w:r>
      <w:r>
        <w:t xml:space="preserve"> </w:t>
      </w:r>
      <w:r>
        <w:t xml:space="preserve">(</w:t>
      </w:r>
      <w:r>
        <w:t xml:space="preserve">“</w:t>
      </w:r>
      <w:r>
        <w:t xml:space="preserve">price not updated</w:t>
      </w:r>
      <w:r>
        <w:t xml:space="preserve">”</w:t>
      </w:r>
      <w:r>
        <w:t xml:space="preserve">).</w:t>
      </w:r>
    </w:p>
    <w:p>
      <w:pPr>
        <w:numPr>
          <w:ilvl w:val="1"/>
          <w:numId w:val="1027"/>
        </w:numPr>
        <w:pStyle w:val="Compact"/>
      </w:pPr>
      <w:r>
        <w:t xml:space="preserve">“</w:t>
      </w:r>
      <w:r>
        <w:t xml:space="preserve">מחיר קנייה לא מוצג — כיסוי נתונים נמוך</w:t>
      </w:r>
      <w:r>
        <w:t xml:space="preserve">”</w:t>
      </w:r>
      <w:r>
        <w:t xml:space="preserve"> </w:t>
      </w:r>
      <w:r>
        <w:t xml:space="preserve">(</w:t>
      </w:r>
      <w:r>
        <w:t xml:space="preserve">“</w:t>
      </w:r>
      <w:r>
        <w:t xml:space="preserve">buy price not shown — low data coverage</w:t>
      </w:r>
      <w:r>
        <w:t xml:space="preserve">”</w:t>
      </w:r>
      <w:r>
        <w:t xml:space="preserve">).</w:t>
      </w:r>
    </w:p>
    <w:bookmarkEnd w:id="28"/>
    <w:bookmarkStart w:id="29" w:name="summary-and-analysis"/>
    <w:p>
      <w:pPr>
        <w:pStyle w:val="Heading3"/>
      </w:pPr>
      <w:r>
        <w:t xml:space="preserve">4.4 Summary and analysis</w:t>
      </w:r>
    </w:p>
    <w:p>
      <w:pPr>
        <w:numPr>
          <w:ilvl w:val="0"/>
          <w:numId w:val="1028"/>
        </w:numPr>
        <w:pStyle w:val="Compact"/>
      </w:pPr>
      <w:r>
        <w:rPr>
          <w:bCs/>
          <w:b/>
        </w:rPr>
        <w:t xml:space="preserve">Analysis (D2):</w:t>
      </w:r>
    </w:p>
    <w:p>
      <w:pPr>
        <w:numPr>
          <w:ilvl w:val="1"/>
          <w:numId w:val="1029"/>
        </w:numPr>
        <w:pStyle w:val="Compact"/>
      </w:pPr>
      <w:r>
        <w:t xml:space="preserve">A quality paragraph and a value-and-price paragraph, each at most 60 words.</w:t>
      </w:r>
    </w:p>
    <w:p>
      <w:pPr>
        <w:numPr>
          <w:ilvl w:val="1"/>
          <w:numId w:val="1029"/>
        </w:numPr>
        <w:pStyle w:val="Compact"/>
      </w:pPr>
      <w:r>
        <w:t xml:space="preserve">The peer comparison.</w:t>
      </w:r>
    </w:p>
    <w:p>
      <w:pPr>
        <w:numPr>
          <w:ilvl w:val="1"/>
          <w:numId w:val="1029"/>
        </w:numPr>
        <w:pStyle w:val="Compact"/>
      </w:pPr>
      <w:r>
        <w:t xml:space="preserve">Generated once per run.</w:t>
      </w:r>
    </w:p>
    <w:p>
      <w:pPr>
        <w:numPr>
          <w:ilvl w:val="0"/>
          <w:numId w:val="1028"/>
        </w:numPr>
        <w:pStyle w:val="Compact"/>
      </w:pPr>
      <w:r>
        <w:rPr>
          <w:bCs/>
          <w:b/>
        </w:rPr>
        <w:t xml:space="preserve">Disclaimer:</w:t>
      </w:r>
      <w:r>
        <w:t xml:space="preserve"> </w:t>
      </w:r>
      <w:r>
        <w:t xml:space="preserve">“</w:t>
      </w:r>
      <w:r>
        <w:t xml:space="preserve">ניתוח לימודי, לא ייעוץ השקעות. אין התחייבות לתשואה.</w:t>
      </w:r>
      <w:r>
        <w:t xml:space="preserve">”</w:t>
      </w:r>
      <w:r>
        <w:t xml:space="preserve"> </w:t>
      </w:r>
      <w:r>
        <w:t xml:space="preserve">(</w:t>
      </w:r>
      <w:r>
        <w:t xml:space="preserve">“</w:t>
      </w:r>
      <w:r>
        <w:t xml:space="preserve">Educational analysis, not investment advice. No guarantee of returns.</w:t>
      </w:r>
      <w:r>
        <w:t xml:space="preserve">”</w:t>
      </w:r>
      <w:r>
        <w:t xml:space="preserve">)</w:t>
      </w:r>
    </w:p>
    <w:bookmarkEnd w:id="29"/>
    <w:bookmarkStart w:id="30" w:name="later"/>
    <w:p>
      <w:pPr>
        <w:pStyle w:val="Heading3"/>
      </w:pPr>
      <w:r>
        <w:t xml:space="preserve">4.5 Later</w:t>
      </w:r>
    </w:p>
    <w:p>
      <w:pPr>
        <w:numPr>
          <w:ilvl w:val="0"/>
          <w:numId w:val="1030"/>
        </w:numPr>
        <w:pStyle w:val="Compact"/>
      </w:pPr>
      <w:r>
        <w:t xml:space="preserve">A share-price and returns chart over the years.</w:t>
      </w:r>
    </w:p>
    <w:p>
      <w:pPr>
        <w:numPr>
          <w:ilvl w:val="0"/>
          <w:numId w:val="1030"/>
        </w:numPr>
        <w:pStyle w:val="Compact"/>
      </w:pPr>
      <w:r>
        <w:t xml:space="preserve">It comes from an embedded external component; price history is not stored in the DB.</w:t>
      </w:r>
    </w:p>
    <w:bookmarkEnd w:id="30"/>
    <w:bookmarkEnd w:id="31"/>
    <w:bookmarkStart w:id="32" w:name="labels-and-conclusion"/>
    <w:p>
      <w:pPr>
        <w:pStyle w:val="Heading2"/>
      </w:pPr>
      <w:r>
        <w:t xml:space="preserve">5. Labels and conclusion</w:t>
      </w:r>
    </w:p>
    <w:p>
      <w:pPr>
        <w:pStyle w:val="FirstParagraph"/>
      </w:pPr>
      <w:r>
        <w:t xml:space="preserve">Approved in principle. These are display rules and will be added to the Rulebook.</w:t>
      </w:r>
    </w:p>
    <w:p>
      <w:pPr>
        <w:pStyle w:val="BodyText"/>
      </w:pPr>
      <w:r>
        <w:rPr>
          <w:bCs/>
          <w:b/>
        </w:rPr>
        <w:t xml:space="preserve">Quality labels — the same bands for both models: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Quality score</w:t>
            </w:r>
          </w:p>
        </w:tc>
        <w:tc>
          <w:tcPr/>
          <w:p>
            <w:pPr>
              <w:pStyle w:val="Compact"/>
              <w:jc w:val="left"/>
            </w:pPr>
            <w:r>
              <w:t xml:space="preserve">Graham (Rulebook A.6)</w:t>
            </w:r>
          </w:p>
        </w:tc>
        <w:tc>
          <w:tcPr/>
          <w:p>
            <w:pPr>
              <w:pStyle w:val="Compact"/>
              <w:jc w:val="left"/>
            </w:pPr>
            <w:r>
              <w:t xml:space="preserve">Buffett (decided 2026-10-23)</w:t>
            </w:r>
          </w:p>
        </w:tc>
      </w:tr>
      <w:tr>
        <w:tc>
          <w:tcPr/>
          <w:p>
            <w:pPr>
              <w:pStyle w:val="Compact"/>
              <w:jc w:val="left"/>
            </w:pPr>
            <w:r>
              <w:t xml:space="preserve">85–100</w:t>
            </w:r>
          </w:p>
        </w:tc>
        <w:tc>
          <w:tcPr/>
          <w:p>
            <w:pPr>
              <w:pStyle w:val="Compact"/>
              <w:jc w:val="left"/>
            </w:pPr>
            <w:r>
              <w:t xml:space="preserve">שמרנית וחזקה מאוד (very conservative and strong)</w:t>
            </w:r>
          </w:p>
        </w:tc>
        <w:tc>
          <w:tcPr/>
          <w:p>
            <w:pPr>
              <w:pStyle w:val="Compact"/>
              <w:jc w:val="left"/>
            </w:pPr>
            <w:r>
              <w:t xml:space="preserve">עסק מצוין (an excellent business)</w:t>
            </w:r>
          </w:p>
        </w:tc>
      </w:tr>
      <w:tr>
        <w:tc>
          <w:tcPr/>
          <w:p>
            <w:pPr>
              <w:pStyle w:val="Compact"/>
              <w:jc w:val="left"/>
            </w:pPr>
            <w:r>
              <w:t xml:space="preserve">70–84</w:t>
            </w:r>
          </w:p>
        </w:tc>
        <w:tc>
          <w:tcPr/>
          <w:p>
            <w:pPr>
              <w:pStyle w:val="Compact"/>
              <w:jc w:val="left"/>
            </w:pPr>
            <w:r>
              <w:t xml:space="preserve">טובה ויציבה (good and stable)</w:t>
            </w:r>
          </w:p>
        </w:tc>
        <w:tc>
          <w:tcPr/>
          <w:p>
            <w:pPr>
              <w:pStyle w:val="Compact"/>
              <w:jc w:val="left"/>
            </w:pPr>
            <w:r>
              <w:t xml:space="preserve">עסק טוב (a good business)</w:t>
            </w:r>
          </w:p>
        </w:tc>
      </w:tr>
      <w:tr>
        <w:tc>
          <w:tcPr/>
          <w:p>
            <w:pPr>
              <w:pStyle w:val="Compact"/>
              <w:jc w:val="left"/>
            </w:pPr>
            <w:r>
              <w:t xml:space="preserve">55–69</w:t>
            </w:r>
          </w:p>
        </w:tc>
        <w:tc>
          <w:tcPr/>
          <w:p>
            <w:pPr>
              <w:pStyle w:val="Compact"/>
              <w:jc w:val="left"/>
            </w:pPr>
            <w:r>
              <w:t xml:space="preserve">גבולית (borderline)</w:t>
            </w:r>
          </w:p>
        </w:tc>
        <w:tc>
          <w:tcPr/>
          <w:p>
            <w:pPr>
              <w:pStyle w:val="Compact"/>
              <w:jc w:val="left"/>
            </w:pPr>
            <w:r>
              <w:t xml:space="preserve">עסק בינוני (an average business)</w:t>
            </w:r>
          </w:p>
        </w:tc>
      </w:tr>
      <w:tr>
        <w:tc>
          <w:tcPr/>
          <w:p>
            <w:pPr>
              <w:pStyle w:val="Compact"/>
              <w:jc w:val="left"/>
            </w:pPr>
            <w:r>
              <w:t xml:space="preserve">Below 55</w:t>
            </w:r>
          </w:p>
        </w:tc>
        <w:tc>
          <w:tcPr/>
          <w:p>
            <w:pPr>
              <w:pStyle w:val="Compact"/>
              <w:jc w:val="left"/>
            </w:pPr>
            <w:r>
              <w:t xml:space="preserve">לא מתאימה לגישה הדפנסיבית (not suitable for the defensive approach)</w:t>
            </w:r>
          </w:p>
        </w:tc>
        <w:tc>
          <w:tcPr/>
          <w:p>
            <w:pPr>
              <w:pStyle w:val="Compact"/>
              <w:jc w:val="left"/>
            </w:pPr>
            <w:r>
              <w:t xml:space="preserve">עסק חלש (a weak business)</w:t>
            </w:r>
          </w:p>
        </w:tc>
      </w:tr>
    </w:tbl>
    <w:p>
      <w:pPr>
        <w:pStyle w:val="BodyText"/>
      </w:pPr>
      <w:r>
        <w:rPr>
          <w:bCs/>
          <w:b/>
        </w:rPr>
        <w:t xml:space="preserve">Conclusion — per model:</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Condition</w:t>
            </w:r>
          </w:p>
        </w:tc>
        <w:tc>
          <w:tcPr/>
          <w:p>
            <w:pPr>
              <w:pStyle w:val="Compact"/>
              <w:jc w:val="left"/>
            </w:pPr>
            <w:r>
              <w:t xml:space="preserve">Conclusion</w:t>
            </w:r>
          </w:p>
        </w:tc>
      </w:tr>
      <w:tr>
        <w:tc>
          <w:tcPr/>
          <w:p>
            <w:pPr>
              <w:pStyle w:val="Compact"/>
              <w:jc w:val="left"/>
            </w:pPr>
            <w:r>
              <w:t xml:space="preserve">Quality ≥ 70 and price ≤ buy price</w:t>
            </w:r>
          </w:p>
        </w:tc>
        <w:tc>
          <w:tcPr/>
          <w:p>
            <w:pPr>
              <w:pStyle w:val="Compact"/>
              <w:jc w:val="left"/>
            </w:pPr>
            <w:r>
              <w:t xml:space="preserve">קנייה אפשרית עכשיו (buy possible now)</w:t>
            </w:r>
          </w:p>
        </w:tc>
      </w:tr>
      <w:tr>
        <w:tc>
          <w:tcPr/>
          <w:p>
            <w:pPr>
              <w:pStyle w:val="Compact"/>
              <w:jc w:val="left"/>
            </w:pPr>
            <w:r>
              <w:t xml:space="preserve">Quality ≥ 70 and price &gt; buy price</w:t>
            </w:r>
          </w:p>
        </w:tc>
        <w:tc>
          <w:tcPr/>
          <w:p>
            <w:pPr>
              <w:pStyle w:val="Compact"/>
              <w:jc w:val="left"/>
            </w:pPr>
            <w:r>
              <w:t xml:space="preserve">להמתין למחיר נמוך יותר (wait for a lower price)</w:t>
            </w:r>
          </w:p>
        </w:tc>
      </w:tr>
      <w:tr>
        <w:tc>
          <w:tcPr/>
          <w:p>
            <w:pPr>
              <w:pStyle w:val="Compact"/>
              <w:jc w:val="left"/>
            </w:pPr>
            <w:r>
              <w:t xml:space="preserve">Quality 55–69</w:t>
            </w:r>
          </w:p>
        </w:tc>
        <w:tc>
          <w:tcPr/>
          <w:p>
            <w:pPr>
              <w:pStyle w:val="Compact"/>
              <w:jc w:val="left"/>
            </w:pPr>
            <w:r>
              <w:t xml:space="preserve">מתאים למעקב בלבד (watch only)</w:t>
            </w:r>
          </w:p>
        </w:tc>
      </w:tr>
      <w:tr>
        <w:tc>
          <w:tcPr/>
          <w:p>
            <w:pPr>
              <w:pStyle w:val="Compact"/>
              <w:jc w:val="left"/>
            </w:pPr>
            <w:r>
              <w:t xml:space="preserve">Quality below 55, or cannot be valued</w:t>
            </w:r>
          </w:p>
        </w:tc>
        <w:tc>
          <w:tcPr/>
          <w:p>
            <w:pPr>
              <w:pStyle w:val="Compact"/>
              <w:jc w:val="left"/>
            </w:pPr>
            <w:r>
              <w:t xml:space="preserve">לא מתאים כרגע להשקעת ערך (not suitable for value investing now)</w:t>
            </w:r>
          </w:p>
        </w:tc>
      </w:tr>
      <w:tr>
        <w:tc>
          <w:tcPr/>
          <w:p>
            <w:pPr>
              <w:pStyle w:val="Compact"/>
              <w:jc w:val="left"/>
            </w:pPr>
            <w:r>
              <w:t xml:space="preserve">A stock in the portfolio priced above fair value</w:t>
            </w:r>
          </w:p>
        </w:tc>
        <w:tc>
          <w:tcPr/>
          <w:p>
            <w:pPr>
              <w:pStyle w:val="Compact"/>
              <w:jc w:val="left"/>
            </w:pPr>
            <w:r>
              <w:t xml:space="preserve">מימוש חלקי / לא להוסיף (partial sale / do not add)</w:t>
            </w:r>
          </w:p>
        </w:tc>
      </w:tr>
    </w:tbl>
    <w:p>
      <w:pPr>
        <w:pStyle w:val="BodyText"/>
      </w:pPr>
      <w:r>
        <w:t xml:space="preserve">Each label is shown next to the score itself, never instead of it. Graham’s labels describe the stock for a cautious investor; Buffett’s labels describe the business.</w:t>
      </w:r>
    </w:p>
    <w:bookmarkEnd w:id="32"/>
    <w:bookmarkStart w:id="33" w:name="further-screens-k7"/>
    <w:p>
      <w:pPr>
        <w:pStyle w:val="Heading2"/>
      </w:pPr>
      <w:r>
        <w:t xml:space="preserve">6. Further screens (K7)</w:t>
      </w:r>
    </w:p>
    <w:p>
      <w:pPr>
        <w:pStyle w:val="FirstParagraph"/>
      </w:pPr>
      <w:r>
        <w:t xml:space="preserve">These screens are built in K7 with this content. No special design requests.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Screen</w:t>
            </w:r>
          </w:p>
        </w:tc>
        <w:tc>
          <w:tcPr/>
          <w:p>
            <w:pPr>
              <w:pStyle w:val="Compact"/>
              <w:jc w:val="left"/>
            </w:pPr>
            <w:r>
              <w:t xml:space="preserve">Content</w:t>
            </w:r>
          </w:p>
        </w:tc>
      </w:tr>
      <w:tr>
        <w:tc>
          <w:tcPr/>
          <w:p>
            <w:pPr>
              <w:pStyle w:val="Compact"/>
              <w:jc w:val="left"/>
            </w:pPr>
            <w:r>
              <w:rPr>
                <w:bCs/>
                <w:b/>
              </w:rPr>
              <w:t xml:space="preserve">Search results</w:t>
            </w:r>
            <w:r>
              <w:t xml:space="preserve"> </w:t>
            </w:r>
            <w:r>
              <w:t xml:space="preserve">(from the top bar)</w:t>
            </w:r>
          </w:p>
        </w:tc>
        <w:tc>
          <w:tcPr/>
          <w:p>
            <w:pPr>
              <w:pStyle w:val="Compact"/>
              <w:jc w:val="left"/>
            </w:pPr>
            <w:r>
              <w:rPr>
                <w:bCs/>
                <w:b/>
              </w:rPr>
              <w:t xml:space="preserve">Plain search:</w:t>
            </w:r>
            <w:r>
              <w:t xml:space="preserve"> </w:t>
            </w:r>
            <w:r>
              <w:t xml:space="preserve">name or ticker, typo-tolerant.</w:t>
            </w:r>
            <w:r>
              <w:t xml:space="preserve"> </w:t>
            </w:r>
            <w:r>
              <w:rPr>
                <w:bCs/>
                <w:b/>
              </w:rPr>
              <w:t xml:space="preserve">Smart search:</w:t>
            </w:r>
            <w:r>
              <w:t xml:space="preserve"> </w:t>
            </w:r>
            <w:r>
              <w:t xml:space="preserve">the filter the AI understood is shown, so the user can correct it, followed by the results as a table with the four scores. A stock not found offers the automatic add</w:t>
            </w:r>
          </w:p>
        </w:tc>
      </w:tr>
      <w:tr>
        <w:tc>
          <w:tcPr/>
          <w:p>
            <w:pPr>
              <w:pStyle w:val="Compact"/>
              <w:jc w:val="left"/>
            </w:pPr>
            <w:r>
              <w:rPr>
                <w:bCs/>
                <w:b/>
              </w:rPr>
              <w:t xml:space="preserve">How we score</w:t>
            </w:r>
          </w:p>
        </w:tc>
        <w:tc>
          <w:tcPr/>
          <w:p>
            <w:pPr>
              <w:pStyle w:val="Compact"/>
              <w:jc w:val="left"/>
            </w:pPr>
            <w:r>
              <w:t xml:space="preserve">The two models. The eight criteria and their weights. How fair value and buy price are set. The colours and labels. How the AI is used (quotes from the annual report). Not investment advice</w:t>
            </w:r>
          </w:p>
        </w:tc>
      </w:tr>
      <w:tr>
        <w:tc>
          <w:tcPr/>
          <w:p>
            <w:pPr>
              <w:pStyle w:val="Compact"/>
              <w:jc w:val="left"/>
            </w:pPr>
            <w:r>
              <w:rPr>
                <w:bCs/>
                <w:b/>
              </w:rPr>
              <w:t xml:space="preserve">Account settings</w:t>
            </w:r>
          </w:p>
        </w:tc>
        <w:tc>
          <w:tcPr/>
          <w:p>
            <w:pPr>
              <w:pStyle w:val="Compact"/>
              <w:jc w:val="left"/>
            </w:pPr>
            <w:r>
              <w:t xml:space="preserve">Name, email, password change, screen colour, export of the portfolio, account deletion</w:t>
            </w:r>
          </w:p>
        </w:tc>
      </w:tr>
      <w:tr>
        <w:tc>
          <w:tcPr/>
          <w:p>
            <w:pPr>
              <w:pStyle w:val="Compact"/>
              <w:jc w:val="left"/>
            </w:pPr>
            <w:r>
              <w:rPr>
                <w:bCs/>
                <w:b/>
              </w:rPr>
              <w:t xml:space="preserve">Admin: approval queue</w:t>
            </w:r>
          </w:p>
        </w:tc>
        <w:tc>
          <w:tcPr/>
          <w:p>
            <w:pPr>
              <w:pStyle w:val="Compact"/>
              <w:jc w:val="left"/>
            </w:pPr>
            <w:r>
              <w:t xml:space="preserve">One row per pending item: company, year, item, value, the report quote, the control and its result, and what it affects (score, value, buy price). Actions: approve, correct, reject. A correction triggers a recompute</w:t>
            </w:r>
          </w:p>
        </w:tc>
      </w:tr>
      <w:tr>
        <w:tc>
          <w:tcPr/>
          <w:p>
            <w:pPr>
              <w:pStyle w:val="Compact"/>
              <w:jc w:val="left"/>
            </w:pPr>
            <w:r>
              <w:rPr>
                <w:bCs/>
                <w:b/>
              </w:rPr>
              <w:t xml:space="preserve">Import from file</w:t>
            </w:r>
          </w:p>
        </w:tc>
        <w:tc>
          <w:tcPr/>
          <w:p>
            <w:pPr>
              <w:pStyle w:val="Compact"/>
              <w:jc w:val="left"/>
            </w:pPr>
            <w:r>
              <w:t xml:space="preserve">Upload, then a preview of what was recognised (ticker, quantity, price, date). Manual correction before saving. A list of stocks not found</w:t>
            </w:r>
          </w:p>
        </w:tc>
      </w:tr>
      <w:tr>
        <w:tc>
          <w:tcPr/>
          <w:p>
            <w:pPr>
              <w:pStyle w:val="Compact"/>
              <w:jc w:val="left"/>
            </w:pPr>
            <w:r>
              <w:rPr>
                <w:bCs/>
                <w:b/>
              </w:rPr>
              <w:t xml:space="preserve">Processing state</w:t>
            </w:r>
          </w:p>
        </w:tc>
        <w:tc>
          <w:tcPr/>
          <w:p>
            <w:pPr>
              <w:pStyle w:val="Compact"/>
              <w:jc w:val="left"/>
            </w:pPr>
            <w:r>
              <w:t xml:space="preserve">“</w:t>
            </w:r>
            <w:r>
              <w:t xml:space="preserve">מבצע עיבוד וניתוח של החברה</w:t>
            </w:r>
            <w:r>
              <w:t xml:space="preserve">”</w:t>
            </w:r>
            <w:r>
              <w:t xml:space="preserve"> </w:t>
            </w:r>
            <w:r>
              <w:t xml:space="preserve">(</w:t>
            </w:r>
            <w:r>
              <w:t xml:space="preserve">“</w:t>
            </w:r>
            <w:r>
              <w:t xml:space="preserve">processing and analysing the company</w:t>
            </w:r>
            <w:r>
              <w:t xml:space="preserve">”</w:t>
            </w:r>
            <w:r>
              <w:t xml:space="preserve">), the partial score, AI progress</w:t>
            </w:r>
            <w:r>
              <w:t xml:space="preserve"> </w:t>
            </w:r>
            <w:r>
              <w:t xml:space="preserve">“</w:t>
            </w:r>
            <w:r>
              <w:t xml:space="preserve">n of m</w:t>
            </w:r>
            <w:r>
              <w:t xml:space="preserve">”</w:t>
            </w:r>
            <w:r>
              <w:t xml:space="preserve">, estimated time</w:t>
            </w:r>
          </w:p>
        </w:tc>
      </w:tr>
    </w:tbl>
    <w:bookmarkEnd w:id="33"/>
    <w:bookmarkStart w:id="34" w:name="open"/>
    <w:p>
      <w:pPr>
        <w:pStyle w:val="Heading2"/>
      </w:pPr>
      <w:r>
        <w:t xml:space="preserve">7. Open</w:t>
      </w:r>
    </w:p>
    <w:p>
      <w:pPr>
        <w:numPr>
          <w:ilvl w:val="0"/>
          <w:numId w:val="1031"/>
        </w:numPr>
        <w:pStyle w:val="Compact"/>
      </w:pPr>
      <w:r>
        <w:t xml:space="preserve">Google sign-in.</w:t>
      </w:r>
    </w:p>
    <w:bookmarkEnd w:id="34"/>
    <w:bookmarkStart w:id="35" w:name="X6206e82f67ea15ea802b1309faa0cd982d1b194"/>
    <w:p>
      <w:pPr>
        <w:pStyle w:val="Heading2"/>
      </w:pPr>
      <w:r>
        <w:t xml:space="preserve">Appendix A — Metrics per profile (approved 2026-10-19, unchanged)</w:t>
      </w:r>
    </w:p>
    <w:p>
      <w:pPr>
        <w:pStyle w:val="FirstParagraph"/>
      </w:pPr>
      <w:r>
        <w:rPr>
          <w:bCs/>
          <w:b/>
        </w:rPr>
        <w:t xml:space="preserve">Rule:</w:t>
      </w:r>
      <w:r>
        <w:t xml:space="preserve"> </w:t>
      </w:r>
      <w:r>
        <w:t xml:space="preserve">display only — no effect on any score. Computed in the view</w:t>
      </w:r>
      <w:r>
        <w:t xml:space="preserve"> </w:t>
      </w:r>
      <w:r>
        <w:rPr>
          <w:rStyle w:val="VerbatimChar"/>
        </w:rPr>
        <w:t xml:space="preserve">v_display_metrics</w:t>
      </w:r>
      <w:r>
        <w:t xml:space="preserve"> </w:t>
      </w:r>
      <w:r>
        <w:t xml:space="preserve">from</w:t>
      </w:r>
      <w:r>
        <w:t xml:space="preserve"> </w:t>
      </w:r>
      <w:r>
        <w:rPr>
          <w:rStyle w:val="VerbatimChar"/>
        </w:rPr>
        <w:t xml:space="preserve">financial_facts</w:t>
      </w:r>
      <w:r>
        <w:t xml:space="preserve"> </w:t>
      </w:r>
      <w:r>
        <w:t xml:space="preserve">(raw items and engine-derived items), one row per company and fiscal year. The company’s profile selects the definition. Amounts in the reporting currency.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STANDARD / TECH_ASSET_LIGHT</w:t>
            </w:r>
          </w:p>
        </w:tc>
        <w:tc>
          <w:tcPr/>
          <w:p>
            <w:pPr>
              <w:pStyle w:val="Compact"/>
              <w:jc w:val="left"/>
            </w:pPr>
            <w:r>
              <w:t xml:space="preserve">BANK</w:t>
            </w:r>
          </w:p>
        </w:tc>
        <w:tc>
          <w:tcPr/>
          <w:p>
            <w:pPr>
              <w:pStyle w:val="Compact"/>
              <w:jc w:val="left"/>
            </w:pPr>
            <w:r>
              <w:t xml:space="preserve">INSURANCE</w:t>
            </w:r>
          </w:p>
        </w:tc>
        <w:tc>
          <w:tcPr/>
          <w:p>
            <w:pPr>
              <w:pStyle w:val="Compact"/>
              <w:jc w:val="left"/>
            </w:pPr>
            <w:r>
              <w:t xml:space="preserve">INCOME_REAL_ESTATE</w:t>
            </w:r>
          </w:p>
        </w:tc>
      </w:tr>
      <w:tr>
        <w:tc>
          <w:tcPr/>
          <w:p>
            <w:pPr>
              <w:pStyle w:val="Compact"/>
              <w:jc w:val="left"/>
            </w:pPr>
            <w:r>
              <w:t xml:space="preserve">Revenue</w:t>
            </w:r>
          </w:p>
        </w:tc>
        <w:tc>
          <w:tcPr/>
          <w:p>
            <w:pPr>
              <w:pStyle w:val="Compact"/>
              <w:jc w:val="left"/>
            </w:pPr>
            <w:r>
              <w:t xml:space="preserve">Revenue (FIN-060)</w:t>
            </w:r>
          </w:p>
        </w:tc>
        <w:tc>
          <w:tcPr/>
          <w:p>
            <w:pPr>
              <w:pStyle w:val="Compact"/>
              <w:jc w:val="left"/>
            </w:pPr>
            <w:r>
              <w:t xml:space="preserve">Bank revenue = net interest income + noninterest income (FIN-063 + FIN-064)</w:t>
            </w:r>
          </w:p>
        </w:tc>
        <w:tc>
          <w:tcPr/>
          <w:p>
            <w:pPr>
              <w:pStyle w:val="Compact"/>
              <w:jc w:val="left"/>
            </w:pPr>
            <w:r>
              <w:t xml:space="preserve">Operating revenue = total revenue − investment gains in profit or loss (FIN-060 − FIN-030)</w:t>
            </w:r>
          </w:p>
        </w:tc>
        <w:tc>
          <w:tcPr/>
          <w:p>
            <w:pPr>
              <w:pStyle w:val="Compact"/>
              <w:jc w:val="left"/>
            </w:pPr>
            <w:r>
              <w:t xml:space="preserve">Total revenue (FIN-060)</w:t>
            </w:r>
          </w:p>
        </w:tc>
      </w:tr>
      <w:tr>
        <w:tc>
          <w:tcPr/>
          <w:p>
            <w:pPr>
              <w:pStyle w:val="Compact"/>
              <w:jc w:val="left"/>
            </w:pPr>
            <w:r>
              <w:t xml:space="preserve">Net income</w:t>
            </w:r>
          </w:p>
        </w:tc>
        <w:tc>
          <w:tcPr/>
          <w:p>
            <w:pPr>
              <w:pStyle w:val="Compact"/>
              <w:jc w:val="left"/>
            </w:pPr>
            <w:r>
              <w:t xml:space="preserve">Net income attributable to the parent (FIN-020)</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Net income (FIN-020)</w:t>
            </w:r>
            <w:r>
              <w:t xml:space="preserve"> </w:t>
            </w:r>
            <w:r>
              <w:rPr>
                <w:bCs/>
                <w:b/>
              </w:rPr>
              <w:t xml:space="preserve">and</w:t>
            </w:r>
            <w:r>
              <w:t xml:space="preserve"> </w:t>
            </w:r>
            <w:r>
              <w:t xml:space="preserve">normalized FFO (FIN-070)</w:t>
            </w:r>
          </w:p>
        </w:tc>
      </w:tr>
      <w:tr>
        <w:tc>
          <w:tcPr/>
          <w:p>
            <w:pPr>
              <w:pStyle w:val="Compact"/>
              <w:jc w:val="left"/>
            </w:pPr>
            <w:r>
              <w:t xml:space="preserve">Earnings per share</w:t>
            </w:r>
          </w:p>
        </w:tc>
        <w:tc>
          <w:tcPr/>
          <w:p>
            <w:pPr>
              <w:pStyle w:val="Compact"/>
              <w:jc w:val="left"/>
            </w:pPr>
            <w:r>
              <w:t xml:space="preserve">Diluted EPS (FIN-062)</w:t>
            </w:r>
          </w:p>
        </w:tc>
        <w:tc>
          <w:tcPr/>
          <w:p>
            <w:pPr>
              <w:pStyle w:val="Compact"/>
              <w:jc w:val="left"/>
            </w:pPr>
            <w:r>
              <w:t xml:space="preserve">Same</w:t>
            </w:r>
          </w:p>
        </w:tc>
        <w:tc>
          <w:tcPr/>
          <w:p>
            <w:pPr>
              <w:pStyle w:val="Compact"/>
              <w:jc w:val="left"/>
            </w:pPr>
            <w:r>
              <w:t xml:space="preserve">Diluted EPS</w:t>
            </w:r>
            <w:r>
              <w:t xml:space="preserve"> </w:t>
            </w:r>
            <w:r>
              <w:rPr>
                <w:bCs/>
                <w:b/>
              </w:rPr>
              <w:t xml:space="preserve">and</w:t>
            </w:r>
            <w:r>
              <w:t xml:space="preserve"> </w:t>
            </w:r>
            <w:r>
              <w:t xml:space="preserve">operating EPS (DRV-006)</w:t>
            </w:r>
          </w:p>
        </w:tc>
        <w:tc>
          <w:tcPr/>
          <w:p>
            <w:pPr>
              <w:pStyle w:val="Compact"/>
              <w:jc w:val="left"/>
            </w:pPr>
            <w:r>
              <w:t xml:space="preserve">Normalized FFO per share (DRV-001)</w:t>
            </w:r>
          </w:p>
        </w:tc>
      </w:tr>
      <w:tr>
        <w:tc>
          <w:tcPr/>
          <w:p>
            <w:pPr>
              <w:pStyle w:val="Compact"/>
              <w:jc w:val="left"/>
            </w:pPr>
            <w:r>
              <w:t xml:space="preserve">Return on equity</w:t>
            </w:r>
          </w:p>
        </w:tc>
        <w:tc>
          <w:tcPr/>
          <w:p>
            <w:pPr>
              <w:pStyle w:val="Compact"/>
              <w:jc w:val="left"/>
            </w:pPr>
            <w:r>
              <w:t xml:space="preserve">ROE = net income / average equity (FIN-020 / avg FIN-010)</w:t>
            </w:r>
          </w:p>
        </w:tc>
        <w:tc>
          <w:tcPr/>
          <w:p>
            <w:pPr>
              <w:pStyle w:val="Compact"/>
              <w:jc w:val="left"/>
            </w:pPr>
            <w:r>
              <w:t xml:space="preserve">ROTCE = (net income − preferred dividends) / average tangible common equity; TCE = equity − preferred stock − goodwill − intangibles</w:t>
            </w:r>
          </w:p>
        </w:tc>
        <w:tc>
          <w:tcPr/>
          <w:p>
            <w:pPr>
              <w:pStyle w:val="Compact"/>
              <w:jc w:val="left"/>
            </w:pPr>
            <w:r>
              <w:t xml:space="preserve">Operating ROE = normalized operating profit after tax / average adjusted equity (DRV-004 / avg DRV-005)</w:t>
            </w:r>
          </w:p>
        </w:tc>
        <w:tc>
          <w:tcPr/>
          <w:p>
            <w:pPr>
              <w:pStyle w:val="Compact"/>
              <w:jc w:val="left"/>
            </w:pPr>
            <w:r>
              <w:t xml:space="preserve">Normalized FFO / average equity (labelled: ordinary ROE is distorted by depreciation)</w:t>
            </w:r>
          </w:p>
        </w:tc>
      </w:tr>
      <w:tr>
        <w:tc>
          <w:tcPr/>
          <w:p>
            <w:pPr>
              <w:pStyle w:val="Compact"/>
              <w:jc w:val="left"/>
            </w:pPr>
            <w:r>
              <w:t xml:space="preserve">Free cash flow</w:t>
            </w:r>
          </w:p>
        </w:tc>
        <w:tc>
          <w:tcPr/>
          <w:p>
            <w:pPr>
              <w:pStyle w:val="Compact"/>
              <w:jc w:val="left"/>
            </w:pPr>
            <w:r>
              <w:t xml:space="preserve">CFO − capex (FIN-080 − FIN-081; SBC not deducted, as the quality cards)</w:t>
            </w:r>
          </w:p>
        </w:tc>
        <w:tc>
          <w:tcPr/>
          <w:p>
            <w:pPr>
              <w:pStyle w:val="Compact"/>
              <w:jc w:val="left"/>
            </w:pPr>
            <w:r>
              <w:rPr>
                <w:bCs/>
                <w:b/>
              </w:rPr>
              <w:t xml:space="preserve">Not shown</w:t>
            </w:r>
            <w:r>
              <w:t xml:space="preserve"> </w:t>
            </w:r>
            <w:r>
              <w:t xml:space="preserve">(cash flow is not representative for a bank)</w:t>
            </w:r>
          </w:p>
        </w:tc>
        <w:tc>
          <w:tcPr/>
          <w:p>
            <w:pPr>
              <w:pStyle w:val="Compact"/>
              <w:jc w:val="left"/>
            </w:pPr>
            <w:r>
              <w:rPr>
                <w:bCs/>
                <w:b/>
              </w:rPr>
              <w:t xml:space="preserve">Not shown</w:t>
            </w:r>
          </w:p>
        </w:tc>
        <w:tc>
          <w:tcPr/>
          <w:p>
            <w:pPr>
              <w:pStyle w:val="Compact"/>
              <w:jc w:val="left"/>
            </w:pPr>
            <w:r>
              <w:t xml:space="preserve">Owner earnings (DRV-002)</w:t>
            </w:r>
          </w:p>
        </w:tc>
      </w:tr>
      <w:tr>
        <w:tc>
          <w:tcPr/>
          <w:p>
            <w:pPr>
              <w:pStyle w:val="Compact"/>
              <w:jc w:val="left"/>
            </w:pPr>
            <w:r>
              <w:t xml:space="preserve">Debt / equity</w:t>
            </w:r>
          </w:p>
        </w:tc>
        <w:tc>
          <w:tcPr/>
          <w:p>
            <w:pPr>
              <w:pStyle w:val="Compact"/>
              <w:jc w:val="left"/>
            </w:pPr>
            <w:r>
              <w:t xml:space="preserve">Financial debt / equity (FIN-011 / FIN-010)</w:t>
            </w:r>
          </w:p>
        </w:tc>
        <w:tc>
          <w:tcPr/>
          <w:p>
            <w:pPr>
              <w:pStyle w:val="Compact"/>
              <w:jc w:val="left"/>
            </w:pPr>
            <w:r>
              <w:rPr>
                <w:bCs/>
                <w:b/>
              </w:rPr>
              <w:t xml:space="preserve">CET1 ratio</w:t>
            </w:r>
            <w:r>
              <w:t xml:space="preserve"> </w:t>
            </w:r>
            <w:r>
              <w:t xml:space="preserve">instead (FIN-106; deposits are a bank’s raw material)</w:t>
            </w:r>
          </w:p>
        </w:tc>
        <w:tc>
          <w:tcPr/>
          <w:p>
            <w:pPr>
              <w:pStyle w:val="Compact"/>
              <w:jc w:val="left"/>
            </w:pPr>
            <w:r>
              <w:t xml:space="preserve">Financial leverage = debt / (debt + adjusted equity) (FIN-011, DRV-005)</w:t>
            </w:r>
          </w:p>
        </w:tc>
        <w:tc>
          <w:tcPr/>
          <w:p>
            <w:pPr>
              <w:pStyle w:val="Compact"/>
              <w:jc w:val="left"/>
            </w:pPr>
            <w:r>
              <w:t xml:space="preserve">Net debt / EBITDAre (DRV-003)</w:t>
            </w:r>
          </w:p>
        </w:tc>
      </w:tr>
    </w:tbl>
    <w:p>
      <w:pPr>
        <w:pStyle w:val="BodyText"/>
      </w:pPr>
      <w:r>
        <w:rPr>
          <w:bCs/>
          <w:b/>
        </w:rPr>
        <w:t xml:space="preserve">Conventions:</w:t>
      </w:r>
    </w:p>
    <w:p>
      <w:pPr>
        <w:numPr>
          <w:ilvl w:val="0"/>
          <w:numId w:val="1032"/>
        </w:numPr>
        <w:pStyle w:val="Compact"/>
      </w:pPr>
      <w:r>
        <w:rPr>
          <w:bCs/>
          <w:b/>
        </w:rPr>
        <w:t xml:space="preserve">Average</w:t>
      </w:r>
      <w:r>
        <w:t xml:space="preserve"> </w:t>
      </w:r>
      <w:r>
        <w:t xml:space="preserve">equity = (start of year + end of year) / 2; first available year: end of year only, flagged.</w:t>
      </w:r>
    </w:p>
    <w:p>
      <w:pPr>
        <w:numPr>
          <w:ilvl w:val="0"/>
          <w:numId w:val="1032"/>
        </w:numPr>
        <w:pStyle w:val="Compact"/>
      </w:pPr>
      <w:r>
        <w:rPr>
          <w:bCs/>
          <w:b/>
        </w:rPr>
        <w:t xml:space="preserve">Missing input</w:t>
      </w:r>
      <w:r>
        <w:t xml:space="preserve"> </w:t>
      </w:r>
      <w:r>
        <w:t xml:space="preserve">→ the cell shows</w:t>
      </w:r>
      <w:r>
        <w:t xml:space="preserve"> </w:t>
      </w:r>
      <w:r>
        <w:t xml:space="preserve">“</w:t>
      </w:r>
      <w:r>
        <w:t xml:space="preserve">—</w:t>
      </w:r>
      <w:r>
        <w:t xml:space="preserve">”</w:t>
      </w:r>
      <w:r>
        <w:t xml:space="preserve"> </w:t>
      </w:r>
      <w:r>
        <w:t xml:space="preserve">with the reason (missing data, not applicable). No imputation.</w:t>
      </w:r>
    </w:p>
    <w:p>
      <w:pPr>
        <w:numPr>
          <w:ilvl w:val="0"/>
          <w:numId w:val="1032"/>
        </w:numPr>
        <w:pStyle w:val="Compact"/>
      </w:pPr>
      <w:r>
        <w:rPr>
          <w:bCs/>
          <w:b/>
        </w:rPr>
        <w:t xml:space="preserve">Denominator ≤ 0</w:t>
      </w:r>
      <w:r>
        <w:t xml:space="preserve"> </w:t>
      </w:r>
      <w:r>
        <w:t xml:space="preserve">(e.g., negative equity, EBITDAre ≤ 0) →</w:t>
      </w:r>
      <w:r>
        <w:t xml:space="preserve"> </w:t>
      </w:r>
      <w:r>
        <w:t xml:space="preserve">“</w:t>
      </w:r>
      <w:r>
        <w:t xml:space="preserve">not meaningful</w:t>
      </w:r>
      <w:r>
        <w:t xml:space="preserve">”</w:t>
      </w:r>
      <w:r>
        <w:t xml:space="preserve">, not a number. For an</w:t>
      </w:r>
      <w:r>
        <w:t xml:space="preserve"> </w:t>
      </w:r>
      <w:r>
        <w:rPr>
          <w:bCs/>
          <w:b/>
        </w:rPr>
        <w:t xml:space="preserve">average</w:t>
      </w:r>
      <w:r>
        <w:t xml:space="preserve"> </w:t>
      </w:r>
      <w:r>
        <w:t xml:space="preserve">denominator, the test applies to</w:t>
      </w:r>
      <w:r>
        <w:t xml:space="preserve"> </w:t>
      </w:r>
      <w:r>
        <w:rPr>
          <w:bCs/>
          <w:b/>
        </w:rPr>
        <w:t xml:space="preserve">each end point</w:t>
      </w:r>
      <w:r>
        <w:t xml:space="preserve">: if equity (or the profile’s equity base) is ≤ 0 at the start or at the end of the year, the return on equity is</w:t>
      </w:r>
      <w:r>
        <w:t xml:space="preserve"> </w:t>
      </w:r>
      <w:r>
        <w:t xml:space="preserve">“</w:t>
      </w:r>
      <w:r>
        <w:t xml:space="preserve">not meaningful</w:t>
      </w:r>
      <w:r>
        <w:t xml:space="preserve">”</w:t>
      </w:r>
      <w:r>
        <w:t xml:space="preserve">, even when the average is positive (2026-10-19).</w:t>
      </w:r>
    </w:p>
    <w:p>
      <w:pPr>
        <w:numPr>
          <w:ilvl w:val="0"/>
          <w:numId w:val="1032"/>
        </w:numPr>
        <w:pStyle w:val="Compact"/>
      </w:pPr>
      <w:r>
        <w:rPr>
          <w:bCs/>
          <w:b/>
        </w:rPr>
        <w:t xml:space="preserve">History:</w:t>
      </w:r>
      <w:r>
        <w:t xml:space="preserve"> </w:t>
      </w:r>
      <w:r>
        <w:t xml:space="preserve">every fiscal year in</w:t>
      </w:r>
      <w:r>
        <w:t xml:space="preserve"> </w:t>
      </w:r>
      <w:r>
        <w:rPr>
          <w:rStyle w:val="VerbatimChar"/>
        </w:rPr>
        <w:t xml:space="preserve">financial_facts</w:t>
      </w:r>
      <w:r>
        <w:t xml:space="preserve"> </w:t>
      </w:r>
      <w:r>
        <w:t xml:space="preserve">(up to 10); the latest year is highlighted.</w:t>
      </w:r>
    </w:p>
    <w:p>
      <w:pPr>
        <w:numPr>
          <w:ilvl w:val="0"/>
          <w:numId w:val="1032"/>
        </w:numPr>
        <w:pStyle w:val="Compact"/>
      </w:pPr>
      <w:r>
        <w:rPr>
          <w:bCs/>
          <w:b/>
        </w:rPr>
        <w:t xml:space="preserve">Labels</w:t>
      </w:r>
      <w:r>
        <w:t xml:space="preserve"> </w:t>
      </w:r>
      <w:r>
        <w:t xml:space="preserve">name the metric actually shown (e.g.,</w:t>
      </w:r>
      <w:r>
        <w:t xml:space="preserve"> </w:t>
      </w:r>
      <w:r>
        <w:t xml:space="preserve">“</w:t>
      </w:r>
      <w:r>
        <w:t xml:space="preserve">ROTCE</w:t>
      </w:r>
      <w:r>
        <w:t xml:space="preserve">”</w:t>
      </w:r>
      <w:r>
        <w:t xml:space="preserve"> </w:t>
      </w:r>
      <w:r>
        <w:t xml:space="preserve">for a bank,</w:t>
      </w:r>
      <w:r>
        <w:t xml:space="preserve"> </w:t>
      </w:r>
      <w:r>
        <w:t xml:space="preserve">“</w:t>
      </w:r>
      <w:r>
        <w:t xml:space="preserve">Net debt / EBITDAre</w:t>
      </w:r>
      <w:r>
        <w:t xml:space="preserve">”</w:t>
      </w:r>
      <w:r>
        <w:t xml:space="preserve"> </w:t>
      </w:r>
      <w:r>
        <w:t xml:space="preserve">for real estate), never the generic name alone.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ValueCompass — Display Specification</dc:title>
  <dc:creator/>
  <cp:keywords/>
  <dcterms:created xsi:type="dcterms:W3CDTF">2026-10-22T22:00:12Z</dcterms:created>
  <dcterms:modified xsi:type="dcterms:W3CDTF">2026-10-22T22:00:12Z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2026-10-23_01-00 · English (source of truth) · approved</vt:lpwstr>
  </property>
</Properties>
</file>