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2026-10-20_13-27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5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2026-10-20_13-27 (amends 2026-10-17_21-51: C5 extended, CL12; FIN-186 added, CL13; price score of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clarified, CL14; Part B classification, CL15).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investments, preferred stock, preferred dividends)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(industry — selects the candidate rows below; also used for display and peer comparison, no direct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</w:t>
      </w:r>
      <w:r>
        <w:t xml:space="preserve"> </w:t>
      </w:r>
      <w:r>
        <w:rPr>
          <w:bCs/>
          <w:b/>
        </w:rPr>
        <w:t xml:space="preserve">Order of operations:</w:t>
      </w:r>
      <w:r>
        <w:t xml:space="preserve"> </w:t>
      </w:r>
      <w:r>
        <w:t xml:space="preserve">(1) the company’s industry is classified (B.1); (2) the rows below are tested in order for that industry, and the first match wins. Code assigns.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 (B.1)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carriers; managed health insurance; insurance brokers and services (guard)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and insurance brokers fail: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REITs and income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SPACs (SIC 6770); asset-backed issuers (SIC 6189); credit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platforms and advertising (search, social networks, online marketplaces — not online retail with its own inventory and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electronic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medians; gross profit may be derived per C4,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(every test, incl. both 5b tests)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Undetermined:</w:t>
      </w:r>
      <w:r>
        <w:t xml:space="preserve"> </w:t>
      </w:r>
      <w:r>
        <w:t xml:space="preserve">when an input of a test is missing (e.g., an insurance-liability component not tagged in a year), the year’s result is</w:t>
      </w:r>
      <w:r>
        <w:t xml:space="preserve"> </w:t>
      </w:r>
      <w:r>
        <w:t xml:space="preserve">“</w:t>
      </w:r>
      <w:r>
        <w:t xml:space="preserve">undetermined</w:t>
      </w:r>
      <w:r>
        <w:t xml:space="preserve">”</w:t>
      </w:r>
      <w:r>
        <w:t xml:space="preserve"> </w:t>
      </w:r>
      <w:r>
        <w:t xml:space="preserve">— not a failure (CL15).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An</w:t>
      </w:r>
      <w:r>
        <w:t xml:space="preserve"> </w:t>
      </w:r>
      <w:r>
        <w:t xml:space="preserve">“</w:t>
      </w:r>
      <w:r>
        <w:t xml:space="preserve">undetermined</w:t>
      </w:r>
      <w:r>
        <w:t xml:space="preserve">”</w:t>
      </w:r>
      <w:r>
        <w:t xml:space="preserve"> </w:t>
      </w:r>
      <w:r>
        <w:t xml:space="preserve">year is neither a different result nor a break in the sequence.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reason; the computed profile stays visible next to the override.</w:t>
      </w:r>
    </w:p>
    <w:bookmarkStart w:id="30" w:name="Xfab92bb3b15e38491ed47f8bde58e5fed98532d"/>
    <w:p>
      <w:pPr>
        <w:pStyle w:val="Heading3"/>
      </w:pPr>
      <w:r>
        <w:t xml:space="preserve">B.1 Industry classification (CL15, 2026-10-20)</w:t>
      </w:r>
    </w:p>
    <w:p>
      <w:pPr>
        <w:pStyle w:val="FirstParagraph"/>
      </w:pPr>
      <w:r>
        <w:rPr>
          <w:bCs/>
          <w:b/>
        </w:rPr>
        <w:t xml:space="preserve">Three tiers, in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SIC code (submissions; FIN-188) mapped by the table below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SIC code maps to one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Data-provider industry (FIN-189), mapped by a ValueCompass mapping table (data, not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SIC code is ambiguous (marked</w:t>
            </w:r>
            <w:r>
              <w:t xml:space="preserve"> </w:t>
            </w:r>
            <w:r>
              <w:t xml:space="preserve">“</w:t>
            </w:r>
            <w:r>
              <w:t xml:space="preserve">multi</w:t>
            </w:r>
            <w:r>
              <w:t xml:space="preserve">”</w:t>
            </w:r>
            <w:r>
              <w:t xml:space="preserve"> </w:t>
            </w:r>
            <w:r>
              <w:t xml:space="preserve">below) or maps to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for a company whose business may be a candidate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when it maps to one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on the company’s annual report (Business section, TXT-001): choose one industry from the closed list, with a quote (R16, R18)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provider industry, or tiers 1–2 do not decide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 when two sources agree</w:t>
            </w:r>
            <w:r>
              <w:t xml:space="preserve"> </w:t>
            </w:r>
            <w:r>
              <w:t xml:space="preserve">(tier 2 and tier 3);</w:t>
            </w:r>
            <w:r>
              <w:t xml:space="preserve"> </w:t>
            </w:r>
            <w:r>
              <w:rPr>
                <w:bCs/>
                <w:b/>
              </w:rPr>
              <w:t xml:space="preserve">admin approval</w:t>
            </w:r>
            <w:r>
              <w:t xml:space="preserve"> </w:t>
            </w:r>
            <w:r>
              <w:t xml:space="preserve">when they disagree. Until decided: STANDARD with the flag</w:t>
            </w:r>
            <w:r>
              <w:t xml:space="preserve"> </w:t>
            </w:r>
            <w:r>
              <w:t xml:space="preserve">“</w:t>
            </w:r>
            <w:r>
              <w:t xml:space="preserve">classification pending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Non-US companies: tier 1 is the local classification (Israel: TASE industry); tiers 2–3 as above.</w:t>
      </w:r>
    </w:p>
    <w:p>
      <w:pPr>
        <w:pStyle w:val="BodyText"/>
      </w:pPr>
      <w:r>
        <w:rPr>
          <w:bCs/>
          <w:b/>
        </w:rPr>
        <w:t xml:space="preserve">ValueCompass industries (router layer):</w:t>
      </w:r>
      <w:r>
        <w:t xml:space="preserve"> </w:t>
      </w:r>
      <w:r>
        <w:t xml:space="preserve">Banks; Investment banks and brokers; Consumer and commercial credit; Insurance carriers; Managed health insurance; Insurance brokers and services; Property REITs and income real estate; Mortgage REITs; BDCs and credit funds; SPACs and asset-backed issuers; Software; IT services; Internet platforms and advertising; Hardware; Semiconductors; Semiconductor equipment; Communications equipment; Electronic components; Asset managers; Exchanges and data; Payments; Homebuilders and developers; Other. The display layer may refine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into further industries.</w:t>
      </w:r>
    </w:p>
    <w:p>
      <w:pPr>
        <w:pStyle w:val="BodyText"/>
      </w:pPr>
      <w:r>
        <w:rPr>
          <w:bCs/>
          <w:b/>
        </w:rPr>
        <w:t xml:space="preserve">SIC → industry (US):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6021, 6022, 6029, 6035, 6036; 6011, 6019, 6081, 6082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6211, 6221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and brokers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decides BANK or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6111, 6141, 6153, 6159, 6162, 6163, 6172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and commercial credit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only if loans and receivables / total assets ≥50%; otherwise tiers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6311, 6321, 6331, 6351, 6361, 6399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carriers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2 test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brokers and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Guard: row 2 test still runs (a misclassified carrier 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— numeric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 test below; otherwise Property REITs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6500, 6510, 6512, 6513, 6519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REITs and income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3 test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6552, 1520–1531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Homebuilders and developers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managers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Exchanges and data by default; tiers 2–3 when the provider says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6726, 6799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BDCs and credit funds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6770, 6189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SPACs and asset-backed issuers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7371, 7372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7373, 7374, 7379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7370, 7310, 7311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platforms and advertising when tiers 2–3 confirm; advertising agencies →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3570–3579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3559, 3827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equipment when tiers 2–3 confirm; otherwise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3661, 3663, 3669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equipment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3670–3679 except 3674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components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/ internet platforms / other by tiers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2–3 still run when the provider industry is a candidate industry (e.g., internet platforms under 4700, 5961, 7011, 7841)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Mortgage REIT test (SIC 6798, latest year, code):</w:t>
      </w:r>
      <w:r>
        <w:t xml:space="preserve"> </w:t>
      </w:r>
      <w:r>
        <w:t xml:space="preserve">mortgage REIT when investment property / total assets &lt;50%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either interest income / total revenue ≥50% (FIN-190) or (mortgage loans + mortgage-backed securities) / total assets ≥50% (FIN-191). Otherwise Property REITs (row 3 decides; failing → STANDARD). S3a applies.</w:t>
      </w:r>
    </w:p>
    <w:p>
      <w:pPr>
        <w:pStyle w:val="BodyText"/>
      </w:pPr>
      <w:r>
        <w:rPr>
          <w:bCs/>
          <w:b/>
        </w:rPr>
        <w:t xml:space="preserve">BDC identification:</w:t>
      </w:r>
      <w:r>
        <w:t xml:space="preserve"> </w:t>
      </w:r>
      <w:r>
        <w:t xml:space="preserve">SIC 6726 / 6799, or net asset value per share reported and investments at fair value ≥50% of total assets (FIN-192).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rt-c-quality-criterion-cards"/>
    <w:p>
      <w:pPr>
        <w:pStyle w:val="Heading2"/>
      </w:pPr>
      <w:r>
        <w:t xml:space="preserve">Part C — Quality criterion cards</w:t>
      </w:r>
    </w:p>
    <w:bookmarkEnd w:id="32"/>
    <w:bookmarkStart w:id="34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3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with a clear model (sale, subscription,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sources, or a model that needs explanation (licensing, advertising,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5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5"/>
    <w:bookmarkStart w:id="36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6"/>
    <w:bookmarkStart w:id="37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7"/>
    <w:bookmarkStart w:id="38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40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0"/>
    <w:bookmarkStart w:id="41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3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3"/>
    <w:bookmarkStart w:id="44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4"/>
    <w:bookmarkStart w:id="45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5"/>
    <w:bookmarkStart w:id="46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8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8"/>
    <w:bookmarkStart w:id="49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9"/>
    <w:bookmarkStart w:id="50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50"/>
    <w:bookmarkStart w:id="51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3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3"/>
    <w:bookmarkStart w:id="54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4"/>
    <w:bookmarkStart w:id="55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5"/>
    <w:bookmarkStart w:id="56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8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8"/>
    <w:bookmarkStart w:id="59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1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1"/>
    <w:bookmarkStart w:id="62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5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4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an eroding position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6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6"/>
    <w:bookmarkStart w:id="67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7"/>
    <w:bookmarkStart w:id="68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8"/>
    <w:bookmarkStart w:id="69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1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1"/>
    <w:bookmarkStart w:id="72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2"/>
    <w:bookmarkStart w:id="73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3"/>
    <w:bookmarkStart w:id="74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8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6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6"/>
    <w:bookmarkStart w:id="77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9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9"/>
    <w:bookmarkStart w:id="80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4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2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2"/>
    <w:bookmarkStart w:id="83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5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5"/>
    <w:bookmarkStart w:id="86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6"/>
    <w:bookmarkStart w:id="87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7"/>
    <w:bookmarkStart w:id="88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90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90"/>
    <w:bookmarkStart w:id="91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1"/>
    <w:bookmarkStart w:id="92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2"/>
    <w:bookmarkStart w:id="93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13" w:name="part-d-pricing-cards"/>
    <w:p>
      <w:pPr>
        <w:pStyle w:val="Heading2"/>
      </w:pPr>
      <w:r>
        <w:t xml:space="preserve">Part D — Pricing cards</w:t>
      </w:r>
    </w:p>
    <w:bookmarkStart w:id="95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Two kinds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be valued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(CL14):</w:t>
      </w:r>
      <w:r>
        <w:t xml:space="preserve"> </w:t>
      </w:r>
      <w:r>
        <w:t xml:space="preserve">(a) the model</w:t>
      </w:r>
      <w:r>
        <w:t xml:space="preserve"> </w:t>
      </w:r>
      <w:r>
        <w:rPr>
          <w:bCs/>
          <w:b/>
        </w:rPr>
        <w:t xml:space="preserve">computed</w:t>
      </w:r>
      <w:r>
        <w:t xml:space="preserve"> </w:t>
      </w:r>
      <w:r>
        <w:t xml:space="preserve">a value and it is ≤ 0 → price score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(C15); (b) the model has</w:t>
      </w:r>
      <w:r>
        <w:t xml:space="preserve"> </w:t>
      </w:r>
      <w:r>
        <w:rPr>
          <w:bCs/>
          <w:b/>
        </w:rPr>
        <w:t xml:space="preserve">no valid value</w:t>
      </w:r>
      <w:r>
        <w:t xml:space="preserve"> </w:t>
      </w:r>
      <w:r>
        <w:t xml:space="preserve">— a missing input (M6), a non-positive base (D.1 owner-earnings base, D.2 normalized EPS or BVPS, D.3 / D.4 TCE₀ / E₀ ≤ 0), or a model condition (V6 ROTCE / ROE_norm ≤ 2.5%, V5 operating loss year) → price score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applicable</w:t>
      </w:r>
      <w:r>
        <w:rPr>
          <w:bCs/>
          <w:b/>
        </w:rPr>
        <w:t xml:space="preserve">”</w:t>
      </w:r>
      <w:r>
        <w:t xml:space="preserve">. Neither case has a buy price.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5"/>
    <w:bookmarkStart w:id="99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6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6"/>
    <w:bookmarkStart w:id="97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7"/>
    <w:bookmarkStart w:id="98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8"/>
    <w:bookmarkEnd w:id="99"/>
    <w:bookmarkStart w:id="105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100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100"/>
    <w:bookmarkStart w:id="101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1"/>
    <w:bookmarkStart w:id="102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2"/>
    <w:bookmarkStart w:id="103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3"/>
    <w:bookmarkStart w:id="104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4"/>
    <w:bookmarkEnd w:id="105"/>
    <w:bookmarkStart w:id="109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6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displayed.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(no valid value, CL14); a computed value per share ≤ 0 → price score 0, no buy price (C15)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6"/>
    <w:bookmarkStart w:id="107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7"/>
    <w:bookmarkStart w:id="108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8"/>
    <w:bookmarkEnd w:id="109"/>
    <w:bookmarkStart w:id="110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A computed value ≤ 0 → price score 0, no buy price (C15); the other cannot-be-valued cases →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(CL14)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10"/>
    <w:bookmarkStart w:id="112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1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4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 of an insurer (before realized and unrealized gains)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engine field</w:t>
            </w:r>
            <w:r>
              <w:t xml:space="preserve"> </w:t>
            </w:r>
            <w:r>
              <w:rPr>
                <w:rStyle w:val="VerbatimChar"/>
              </w:rPr>
              <w:t xml:space="preserve">net_investment_income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inputs (engine)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and development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ResearchAndDevelopmentExpense</w:t>
            </w:r>
            <w:r>
              <w:t xml:space="preserve">; alt.</w:t>
            </w:r>
            <w:r>
              <w:t xml:space="preserve"> </w:t>
            </w:r>
            <w:r>
              <w:rPr>
                <w:rStyle w:val="VerbatimChar"/>
              </w:rPr>
              <w:t xml:space="preserve">ResearchAndDevelopmentExpenseExcludingAcquiredInProcessCost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row 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Standard Industrial Classification code and description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sicDescription</w:t>
            </w:r>
            <w:r>
              <w:t xml:space="preserve"> </w:t>
            </w:r>
            <w:r>
              <w:t xml:space="preserve">(submissions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tier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name from the price/data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yfinance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(operating)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reported as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InterestAndDividendIncomeOperating</w:t>
            </w:r>
            <w:r>
              <w:t xml:space="preserve">; alt.</w:t>
            </w:r>
            <w:r>
              <w:t xml:space="preserve"> </w:t>
            </w:r>
            <w:r>
              <w:rPr>
                <w:rStyle w:val="VerbatimChar"/>
              </w:rPr>
              <w:t xml:space="preserve">InterestIncomeOperating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mortgage REIT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held + mortgage-backed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MortgageLoansOnRealEstate</w:t>
            </w:r>
            <w:r>
              <w:t xml:space="preserve">; MBS tags; extraction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mortgage REIT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per share; investments at 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asset value per share and investments owned at fair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financial highlights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NetAssetValuePerShare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InvestmentOwnedAtFairValue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B.1 BDC identification</w:t>
            </w:r>
          </w:p>
        </w:tc>
      </w:tr>
    </w:tbl>
    <w:bookmarkEnd w:id="114"/>
    <w:bookmarkStart w:id="115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7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industry classification in three tiers (SIC → provider industry → AI on the annual report; automatic when two sources agree, admin approval on disagreement); ValueCompass industries and SIC map; mortgage REIT test and BDC identification; SPACs and asset-backed issuers UNSUPPORTED; internet platforms defined;</w:t>
            </w:r>
            <w:r>
              <w:t xml:space="preserve"> </w:t>
            </w:r>
            <w:r>
              <w:t xml:space="preserve">“</w:t>
            </w:r>
            <w:r>
              <w:t xml:space="preserve">undetermined</w:t>
            </w:r>
            <w:r>
              <w:t xml:space="preserve">”</w:t>
            </w:r>
            <w:r>
              <w:t xml:space="preserve"> </w:t>
            </w:r>
            <w:r>
              <w:t xml:space="preserve">year in stability; gross profit derivation (C4) and S3a in 5b; FIN-187 to FIN-192 (code stage K4a)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kinds of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: computed value ≤ 0 → price score 0 (C15); no valid value (missing input, non-positive base, V6 / V5 conditions) →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. Corrects the 2026-10-17 wording in D.3 / D.4 P2 that extended price score 0 to every case (found in code stage K3)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FIN-186 net investment income added: read by the INSURANCE engine but missing from the dictionary (found in code stage 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extended to preferred stock and preferred dividends (absent line in a retrieved statement = 0, flagged); found in the DB stage: without it ROTCE of a bank without preferred stock would be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3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9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9"/>
    <w:bookmarkStart w:id="120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20"/>
    <w:bookmarkStart w:id="121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1"/>
    <w:bookmarkStart w:id="122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4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2026-10-20T10:27:18Z</dcterms:created>
  <dcterms:modified xsi:type="dcterms:W3CDTF">2026-10-20T10:27:18Z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2026-10-20_13-27 · English (source of truth)</vt:lpwstr>
  </property>
</Properties>
</file>