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Skills:</w:t>
      </w:r>
      <w:r>
        <w:t xml:space="preserve"> </w:t>
      </w:r>
      <w:r>
        <w:t xml:space="preserve">Classification,</w:t>
      </w:r>
      <w:r>
        <w:t xml:space="preserve"> </w:t>
      </w:r>
      <w:r>
        <w:t xml:space="preserve">Extraction,</w:t>
      </w:r>
      <w:r>
        <w:t xml:space="preserve"> </w:t>
      </w:r>
      <w:r>
        <w:t xml:space="preserve">Content</w:t>
      </w:r>
      <w:r>
        <w:t xml:space="preserve"> </w:t>
      </w:r>
      <w:r>
        <w:t xml:space="preserve">(B1–B15,</w:t>
      </w:r>
      <w:r>
        <w:t xml:space="preserve"> </w:t>
      </w:r>
      <w:r>
        <w:t xml:space="preserve">C1,</w:t>
      </w:r>
      <w:r>
        <w:t xml:space="preserve"> </w:t>
      </w:r>
      <w:r>
        <w:t xml:space="preserve">D1–D2)</w:t>
      </w:r>
    </w:p>
    <w:p>
      <w:pPr>
        <w:pStyle w:val="Subtitle"/>
      </w:pPr>
      <w:r>
        <w:t xml:space="preserve">2026-10-21_12-39</w:t>
      </w:r>
      <w:r>
        <w:t xml:space="preserve"> </w:t>
      </w:r>
      <w:r>
        <w:t xml:space="preserve">·</w:t>
      </w:r>
      <w:r>
        <w:t xml:space="preserve"> </w:t>
      </w:r>
      <w:r>
        <w:t xml:space="preserve">prompts</w:t>
      </w:r>
      <w:r>
        <w:t xml:space="preserve"> </w:t>
      </w:r>
      <w:r>
        <w:t xml:space="preserve">in</w:t>
      </w:r>
      <w:r>
        <w:t xml:space="preserve"> </w:t>
      </w:r>
      <w:r>
        <w:t xml:space="preserve">English</w:t>
      </w:r>
      <w:r>
        <w:t xml:space="preserve"> </w:t>
      </w:r>
      <w:r>
        <w:t xml:space="preserve">·</w:t>
      </w:r>
      <w:r>
        <w:t xml:space="preserve"> </w:t>
      </w:r>
      <w:r>
        <w:t xml:space="preserve">for</w:t>
      </w:r>
      <w:r>
        <w:t xml:space="preserve"> </w:t>
      </w:r>
      <w:r>
        <w:t xml:space="preserve">approval</w:t>
      </w:r>
    </w:p>
    <w:bookmarkStart w:id="45" w:name="X626782e43a2803d03e009430622f22180a46431"/>
    <w:p>
      <w:pPr>
        <w:pStyle w:val="Heading1"/>
      </w:pPr>
      <w:r>
        <w:t xml:space="preserve">AI Skills: Classification, Extraction, Content</w:t>
      </w:r>
    </w:p>
    <w:p>
      <w:pPr>
        <w:pStyle w:val="FirstParagraph"/>
      </w:pPr>
      <w:r>
        <w:rPr>
          <w:bCs/>
          <w:b/>
        </w:rPr>
        <w:t xml:space="preserve">עברית — מה במסמך:</w:t>
      </w:r>
      <w:r>
        <w:t xml:space="preserve"> </w:t>
      </w:r>
      <w:r>
        <w:t xml:space="preserve">שאר הסקילים של ק5, באותו מבנה של סקילי הניקוד (A1–A14): תבנית משותפת לכל סוג + בלוק נתונים לכל סקיל.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— סיווג ענף (#15).</w:t>
      </w:r>
      <w:r>
        <w:t xml:space="preserve"> </w:t>
      </w:r>
      <w:r>
        <w:rPr>
          <w:bCs/>
          <w:b/>
        </w:rPr>
        <w:t xml:space="preserve">B1–B15</w:t>
      </w:r>
      <w:r>
        <w:t xml:space="preserve"> </w:t>
      </w:r>
      <w:r>
        <w:t xml:space="preserve">— חילוץ נתונים (#16–#29, כולל החילוץ הכללי).</w:t>
      </w:r>
      <w:r>
        <w:t xml:space="preserve"> </w:t>
      </w:r>
      <w:r>
        <w:rPr>
          <w:bCs/>
          <w:b/>
        </w:rPr>
        <w:t xml:space="preserve">D1</w:t>
      </w:r>
      <w:r>
        <w:t xml:space="preserve"> </w:t>
      </w:r>
      <w:r>
        <w:t xml:space="preserve">— רקע על החברה (#30).</w:t>
      </w:r>
      <w:r>
        <w:t xml:space="preserve"> </w:t>
      </w:r>
      <w:r>
        <w:rPr>
          <w:bCs/>
          <w:b/>
        </w:rPr>
        <w:t xml:space="preserve">D2</w:t>
      </w:r>
      <w:r>
        <w:t xml:space="preserve"> </w:t>
      </w:r>
      <w:r>
        <w:t xml:space="preserve">— ניתוח תוצאות (#31). החיפוש החכם (#32) ייכתב לפני ק7, יחד עם מסכי החיפוש. שמות הנתונים (</w:t>
      </w:r>
      <w:r>
        <w:rPr>
          <w:rStyle w:val="VerbatimChar"/>
        </w:rPr>
        <w:t xml:space="preserve">item_key</w:t>
      </w:r>
      <w:r>
        <w:t xml:space="preserve">) הם השמות במילון ב-DB; ההגדרות — מחלק ה בספר הכללים 2026-10-20_23-21. כללי האישור — לפי ההחלטה מ-21.10.2026.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Rulebook 2026-10-20_23-21 (Parts B.1, C, D, E); AI Layer Specification 2026-10-20_23-23; Scoring skills 2026-10-21_12-17.</w:t>
      </w:r>
    </w:p>
    <w:bookmarkStart w:id="22" w:name="classification-c1-15"/>
    <w:p>
      <w:pPr>
        <w:pStyle w:val="Heading2"/>
      </w:pPr>
      <w:r>
        <w:t xml:space="preserve">1. Classification — C1 (#15)</w:t>
      </w:r>
    </w:p>
    <w:bookmarkStart w:id="20" w:name="template"/>
    <w:p>
      <w:pPr>
        <w:pStyle w:val="Heading3"/>
      </w:pPr>
      <w:r>
        <w:t xml:space="preserve">1.1 Template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Choose the ONE industry, from the closed list below, that best</w:t>
      </w:r>
      <w:r>
        <w:br/>
      </w:r>
      <w:r>
        <w:rPr>
          <w:rStyle w:val="VerbatimChar"/>
        </w:rPr>
        <w:t xml:space="preserve">describes the company's main business, using ONLY the annual-report text provided.</w:t>
      </w:r>
      <w:r>
        <w:br/>
      </w:r>
      <w:r>
        <w:rPr>
          <w:rStyle w:val="VerbatimChar"/>
        </w:rPr>
        <w:t xml:space="preserve">Rules: use only the text; quote 1–3 exact sentences that show the main business; if the</w:t>
      </w:r>
      <w:r>
        <w:br/>
      </w:r>
      <w:r>
        <w:rPr>
          <w:rStyle w:val="VerbatimChar"/>
        </w:rPr>
        <w:t xml:space="preserve">text does not allow a choice, return industry = null and insufficient_evidence = true.</w:t>
      </w:r>
      <w:r>
        <w:br/>
      </w:r>
      <w:r>
        <w:rPr>
          <w:rStyle w:val="VerbatimChar"/>
        </w:rPr>
        <w:t xml:space="preserve">Return ONLY the JSON object under OUTPUT.</w:t>
      </w:r>
      <w:r>
        <w:br/>
      </w:r>
      <w:r>
        <w:br/>
      </w:r>
      <w:r>
        <w:rPr>
          <w:rStyle w:val="VerbatimChar"/>
        </w:rPr>
        <w:t xml:space="preserve">INDUSTRIES (ValueCompass, Rulebook Part B.1 — choose exactly one name as written)</w:t>
      </w:r>
      <w:r>
        <w:br/>
      </w:r>
      <w:r>
        <w:rPr>
          <w:rStyle w:val="VerbatimChar"/>
        </w:rPr>
        <w:t xml:space="preserve">{industry_list_with_definitions}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</w:t>
      </w:r>
      <w:r>
        <w:br/>
      </w:r>
      <w:r>
        <w:rPr>
          <w:rStyle w:val="VerbatimChar"/>
        </w:rPr>
        <w:t xml:space="preserve">SIC: {sic} {sic_description} · PROVIDER INDUSTRY: {provider_industry}</w:t>
      </w:r>
      <w:r>
        <w:br/>
      </w:r>
      <w:r>
        <w:rPr>
          <w:rStyle w:val="VerbatimChar"/>
        </w:rPr>
        <w:t xml:space="preserve">TEXT (TXT-001 Business,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"CLS-1", "version": {version}, "industry": "&lt;name&gt;" | null,</w:t>
      </w:r>
      <w:r>
        <w:br/>
      </w:r>
      <w:r>
        <w:rPr>
          <w:rStyle w:val="VerbatimChar"/>
        </w:rPr>
        <w:t xml:space="preserve"> "insufficient_evidence": true | false, "reasoning": "&lt;at most 3 sentences&gt;",</w:t>
      </w:r>
      <w:r>
        <w:br/>
      </w:r>
      <w:r>
        <w:rPr>
          <w:rStyle w:val="VerbatimChar"/>
        </w:rPr>
        <w:t xml:space="preserve"> "quotes": [{"text": "&lt;exact quote&gt;", "section": "TXT-001"}]}</w:t>
      </w:r>
    </w:p>
    <w:bookmarkEnd w:id="20"/>
    <w:bookmarkStart w:id="21" w:name="block"/>
    <w:p>
      <w:pPr>
        <w:pStyle w:val="Heading3"/>
      </w:pPr>
      <w:r>
        <w:t xml:space="preserve">1.2 Block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CLS-1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when tiers 1–2 of Part B.1 did not decide (ambiguous SIC, or provider industry marked tier3)</w:t>
      </w:r>
      <w:r>
        <w:br/>
      </w:r>
      <w:r>
        <w:rPr>
          <w:rStyle w:val="FunctionTok"/>
        </w:rPr>
        <w:t xml:space="preserve">industry_definitions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sent with the list; the two that most need a boundary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Internet platforms and advertising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search, social networks, online marketplaces that connect buyers and sellers; NOT online retail that holds its own inventory and logistics (that is Other)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card networks, payment processing and digital wallets</w:t>
      </w:r>
      <w:r>
        <w:br/>
      </w:r>
      <w:r>
        <w:rPr>
          <w:rStyle w:val="FunctionTok"/>
        </w:rPr>
        <w:t xml:space="preserve">decision_by_code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agrees with the provider industry → decided; disagrees → admin approval; until then STANDARD with "classification pending"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on disagreement (always reviewed then)</w:t>
      </w:r>
    </w:p>
    <w:p>
      <w:pPr>
        <w:pStyle w:val="FirstParagraph"/>
      </w:pPr>
      <w:r>
        <w:t xml:space="preserve">SIC and provider industry are shown to the AI as context only; the answer must rest on the quoted text.</w:t>
      </w:r>
    </w:p>
    <w:bookmarkEnd w:id="21"/>
    <w:bookmarkEnd w:id="22"/>
    <w:bookmarkStart w:id="40" w:name="extraction-b1b15-1629"/>
    <w:p>
      <w:pPr>
        <w:pStyle w:val="Heading2"/>
      </w:pPr>
      <w:r>
        <w:t xml:space="preserve">2. Extraction — B1–B15 (#16–#29)</w:t>
      </w:r>
    </w:p>
    <w:bookmarkStart w:id="23" w:name="template-1"/>
    <w:p>
      <w:pPr>
        <w:pStyle w:val="Heading3"/>
      </w:pPr>
      <w:r>
        <w:t xml:space="preserve">2.1 Template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Extract the requested figures from the annual-report text below.</w:t>
      </w:r>
      <w:r>
        <w:br/>
      </w:r>
      <w:r>
        <w:rPr>
          <w:rStyle w:val="VerbatimChar"/>
        </w:rPr>
        <w:t xml:space="preserve">You do not compute, convert, estimate or fill gaps.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Report each figure exactly as stated in the text, with its unit and scale</w:t>
      </w:r>
      <w:r>
        <w:br/>
      </w:r>
      <w:r>
        <w:rPr>
          <w:rStyle w:val="VerbatimChar"/>
        </w:rPr>
        <w:t xml:space="preserve">   (e.g., "in millions"). Do not convert units or currencies.</w:t>
      </w:r>
      <w:r>
        <w:br/>
      </w:r>
      <w:r>
        <w:rPr>
          <w:rStyle w:val="VerbatimChar"/>
        </w:rPr>
        <w:t xml:space="preserve">2. Every figure must come with a quote copied character for character that CONTAINS the figure.</w:t>
      </w:r>
      <w:r>
        <w:br/>
      </w:r>
      <w:r>
        <w:rPr>
          <w:rStyle w:val="VerbatimChar"/>
        </w:rPr>
        <w:t xml:space="preserve">3. If a figure is not disclosed, return value = null with value_state = "not_disclosed".</w:t>
      </w:r>
      <w:r>
        <w:br/>
      </w:r>
      <w:r>
        <w:rPr>
          <w:rStyle w:val="VerbatimChar"/>
        </w:rPr>
        <w:t xml:space="preserve">   If the text says it does not apply, value_state = "NA". Never guess.</w:t>
      </w:r>
      <w:r>
        <w:br/>
      </w:r>
      <w:r>
        <w:rPr>
          <w:rStyle w:val="VerbatimChar"/>
        </w:rPr>
        <w:t xml:space="preserve">4. Report the period the figure refers to (fiscal year end, or "Q4 average" etc. as stated).</w:t>
      </w:r>
      <w:r>
        <w:br/>
      </w:r>
      <w:r>
        <w:rPr>
          <w:rStyle w:val="VerbatimChar"/>
        </w:rPr>
        <w:t xml:space="preserve">5. When the text states the basis (consolidated / company share / group / a regulatory</w:t>
      </w:r>
      <w:r>
        <w:br/>
      </w:r>
      <w:r>
        <w:rPr>
          <w:rStyle w:val="VerbatimChar"/>
        </w:rPr>
        <w:t xml:space="preserve">   approach), report it in "basis".</w:t>
      </w:r>
      <w:r>
        <w:br/>
      </w:r>
      <w:r>
        <w:rPr>
          <w:rStyle w:val="VerbatimChar"/>
        </w:rPr>
        <w:t xml:space="preserve">6. Return ONLY the JSON object under OUTPUT.</w:t>
      </w:r>
      <w:r>
        <w:br/>
      </w:r>
      <w:r>
        <w:br/>
      </w:r>
      <w:r>
        <w:rPr>
          <w:rStyle w:val="VerbatimChar"/>
        </w:rPr>
        <w:t xml:space="preserve">TASK ({skill_id}, version {version})</w:t>
      </w:r>
      <w:r>
        <w:br/>
      </w:r>
      <w:r>
        <w:rPr>
          <w:rStyle w:val="VerbatimChar"/>
        </w:rPr>
        <w:t xml:space="preserve">{task}</w:t>
      </w:r>
      <w:r>
        <w:br/>
      </w:r>
      <w:r>
        <w:br/>
      </w: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{items_table}          # item_key — definition — expected unit — notes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 · PROFILE: {profile}</w:t>
      </w:r>
      <w:r>
        <w:br/>
      </w:r>
      <w:r>
        <w:rPr>
          <w:rStyle w:val="VerbatimChar"/>
        </w:rPr>
        <w:t xml:space="preserve">TEXT ({sections},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"{skill_id}", "version": {version}, "items": [</w:t>
      </w:r>
      <w:r>
        <w:br/>
      </w:r>
      <w:r>
        <w:rPr>
          <w:rStyle w:val="VerbatimChar"/>
        </w:rPr>
        <w:t xml:space="preserve">  {"item_key": "&lt;key&gt;", "period": "&lt;as stated&gt;", "value": &lt;number | null&gt;,</w:t>
      </w:r>
      <w:r>
        <w:br/>
      </w:r>
      <w:r>
        <w:rPr>
          <w:rStyle w:val="VerbatimChar"/>
        </w:rPr>
        <w:t xml:space="preserve">   "unit": "USD" | "percent" | "count" | "ratio" | "sq_ft" | "MW",</w:t>
      </w:r>
      <w:r>
        <w:br/>
      </w:r>
      <w:r>
        <w:rPr>
          <w:rStyle w:val="VerbatimChar"/>
        </w:rPr>
        <w:t xml:space="preserve">   "scale": 1 | 1000 | 1000000 | 1000000000, "basis": "&lt;as stated or null&gt;",</w:t>
      </w:r>
      <w:r>
        <w:br/>
      </w:r>
      <w:r>
        <w:rPr>
          <w:rStyle w:val="VerbatimChar"/>
        </w:rPr>
        <w:t xml:space="preserve">   "value_state": "value" | "NA" | "not_disclosed",</w:t>
      </w:r>
      <w:r>
        <w:br/>
      </w:r>
      <w:r>
        <w:rPr>
          <w:rStyle w:val="VerbatimChar"/>
        </w:rPr>
        <w:t xml:space="preserve">   "quote": {"text": "&lt;exact quote containing the figure&gt;", "section": "&lt;section&gt;"}} ]}</w:t>
      </w:r>
    </w:p>
    <w:p>
      <w:pPr>
        <w:pStyle w:val="FirstParagraph"/>
      </w:pPr>
      <w:r>
        <w:rPr>
          <w:bCs/>
          <w:b/>
        </w:rPr>
        <w:t xml:space="preserve">Code checks (2026-10-20_23-23 §4.4):</w:t>
      </w:r>
      <w:r>
        <w:t xml:space="preserve"> </w:t>
      </w:r>
      <w:r>
        <w:t xml:space="preserve">quote found verbatim; the number appears in the quote after scale; unit allowed; period matches the fiscal year. Then the control and the approval rule of each block.</w:t>
      </w:r>
    </w:p>
    <w:bookmarkEnd w:id="23"/>
    <w:bookmarkStart w:id="39" w:name="blocks"/>
    <w:p>
      <w:pPr>
        <w:pStyle w:val="Heading3"/>
      </w:pPr>
      <w:r>
        <w:t xml:space="preserve">2.2 Blocks</w:t>
      </w:r>
    </w:p>
    <w:bookmarkStart w:id="24" w:name="b1-bank-capital-and-liquidity-16"/>
    <w:p>
      <w:pPr>
        <w:pStyle w:val="Heading4"/>
      </w:pPr>
      <w:r>
        <w:t xml:space="preserve">B1 — Bank capital and liquidity (#16)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EXT-BANK-CAP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bank's regulatory capital and liquidity figures for the fiscal year end.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NOTE:regulatory_capital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LCR_disclosure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cet1_ratio_standardized / cet1_ratio_advanced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CET1 capital ratio under each approach reported (percent)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cet1_required_standardized / cet1_required_advanced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CET1 requirement incl. buffers, per approach (percent) (V9)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total_capital_standardized / total_capital_advanced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 regulatory capital (USD) (FIN-141)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rwa_standardized / rwa_advanced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risk-weighted assets (USD) (FIN-144)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lcr_q4_average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liquidity coverage ratio, Q4 average; basis = measurement type as stated (V10); NA when exempt (V11)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scb, gsib_surcharge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stress capital buffer and G-SIB surcharge (percent) (FIN-171)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uninsured_deposits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 display only (FIN-170)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CET1 ratio ≈ CET1 capital / RWA when both are disclosed (within 0.2 pp)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4"/>
    <w:bookmarkStart w:id="25" w:name="b2-bank-loan-breakdown-17"/>
    <w:p>
      <w:pPr>
        <w:pStyle w:val="Heading4"/>
      </w:pPr>
      <w:r>
        <w:t xml:space="preserve">B2 — Bank loan breakdown (#17)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EXT-BANK-LOANS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the loan portfolio lines exactly as the bank reports them, with amounts, at fiscal year end.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NOTE:loans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loan_line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row per reported line (name as stated, amount in USD); code maps lines to the 5 categories (residential mortgage; CRE and construction; C&amp;I; consumer; other)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 of lines = total loans reported (within 1%)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5"/>
    <w:bookmarkStart w:id="26" w:name="b3-insurance-capital-and-reserves-18"/>
    <w:p>
      <w:pPr>
        <w:pStyle w:val="Heading4"/>
      </w:pPr>
      <w:r>
        <w:t xml:space="preserve">B3 — Insurance capital and reserves (#18)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EXT-INS-CAP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INSURANCE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insurer's regulatory capital ratio and prior-year reserve development.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NOTE:statutory_capital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NOTE:reserve_rollforward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reg_capital_ratio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ratio as reported (percent); basis = regime and level (e.g., "RBC % of ACL", "CAL", "SCR", "SMR"), entity (group / lead subsidiary), and period (Q3 rules: a stated floor is reported as the floor, flagged)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prior_year_dev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(un)favorable prior-period reserve development (USD; sign as stated)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ldti_remeasurement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adverse LDTI remeasurement (USD), when untagged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beyond the checks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6"/>
    <w:bookmarkStart w:id="27" w:name="X3a8cef458eb26f58bc225eed272486d4c1a5262"/>
    <w:p>
      <w:pPr>
        <w:pStyle w:val="Heading4"/>
      </w:pPr>
      <w:r>
        <w:t xml:space="preserve">B4 — Insurance investments, catastrophes, ALM (#19)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EXT-INS-INV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INSURANCE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investment portfolio by category and credit quality, catastrophe losses and whether ALM is disclosed.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NOTE:investments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NOTE:credit_quality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inv_cash, inv_short_term, inv_fixed_maturities, inv_equity, inv_illiquid_loans, inv_real_estate, inv_other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inv_ig_fixed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investment-grade fixed income (USD) — BBB− / Baa3 or better, NAIC 1–2; unrated is NOT investment grade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inv_ig_share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investment-grade share of fixed income (percent), when stated instead of an amount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cat_loss_latest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catastrophe losses of the year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alm_disclosed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when asset-liability (duration) matching is disclosed, else 0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categories sum to total investments (within 2%)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7"/>
    <w:bookmarkStart w:id="28" w:name="b5-real-estate-operating-data-20"/>
    <w:p>
      <w:pPr>
        <w:pStyle w:val="Heading4"/>
      </w:pPr>
      <w:r>
        <w:t xml:space="preserve">B5 — Real-estate operating data (#20)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EXT-RE-OPS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occupancy, largest tenant, same-property NOI growth and new-investment yields.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occupancy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metric of Table A by asset type (percent; data centers: leased / available capacity); basis = the company's primary reported basis (RE21)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largest_tenant_share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largest independent tenant share of rent or NOI (percent); basis = rent or NOI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same_property_noi_growth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like-for-like NOI growth (percent); basis = the company's primary basis (RE21)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acquisition_yield, development_yield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stabilized yield (percent); acquisition_invested, development_invested: amounts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values within physical bounds (0–100%)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28"/>
    <w:bookmarkStart w:id="29" w:name="b6-real-estate-maintenance-spending-21"/>
    <w:p>
      <w:pPr>
        <w:pStyle w:val="Heading4"/>
      </w:pPr>
      <w:r>
        <w:t xml:space="preserve">B6 — Real-estate maintenance spending (#21)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EXT-RE-MAINT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recurring maintenance capital expenditure and income-preserving tenant improvements and leasing commissions, as the company defines them in its AFFO reconciliation.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AFFO_reconciliation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NOTE:capex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maint_capex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recurring / maintenance capex (USD); towers: AFFO capital improvement + corporate capex (RE20a)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ti_lc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income-preserving TI and leasing commissions (USD); residential and self-storage: NA (RE20)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straight_line_rent_affo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straight-line rent adjustment as shown in the AFFO reconciliation (USD, sign as stated)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Q6 — OE per share vs (reported AFFO − SBC) per share, gap ≤ 15% (E11)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Q6 passes; admin approval when Q6 is flagged</w:t>
      </w:r>
    </w:p>
    <w:bookmarkEnd w:id="29"/>
    <w:bookmarkStart w:id="30" w:name="b7-real-estate-property-value-22"/>
    <w:p>
      <w:pPr>
        <w:pStyle w:val="Heading4"/>
      </w:pPr>
      <w:r>
        <w:t xml:space="preserve">B7 — Real-estate property value (#22)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EXT-RE-VALUE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disclosed fair value of investment property and the split between stabilized income property and development / land.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NOTE:fair_value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fair_value_real_estate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economic property value (USD); basis REQUIRED (consolidated or company share; with or without joint ventures — RP2c)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stabilized_value, other_property_value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stabilized vs development / land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stabilized_noi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NOI of stabilized property (USD), when disclosed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basis stated in the quote, and fair value / gross real estate at cost within 0.5×–3×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control passes; admin approval otherwise</w:t>
      </w:r>
    </w:p>
    <w:bookmarkEnd w:id="30"/>
    <w:bookmarkStart w:id="31" w:name="b8-real-estate-liquidity-23"/>
    <w:p>
      <w:pPr>
        <w:pStyle w:val="Heading4"/>
      </w:pPr>
      <w:r>
        <w:t xml:space="preserve">B8 — Real-estate liquidity (#23)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EXT-RE-LIQ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committed undrawn credit facilities and debt maturing in the next 12 and 24 months.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NOTE:debt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TXT-004 liquidity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committed_undrawn_facilities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committed AND available (undrawn) amount (USD) — not the total facility size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debt_maturity_year1, debt_maturity_year2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principal maturing within 12 / 13–24 months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RP1a 12-month coverage computed by code; if 0.8 ≤ coverage ≤ 1.25 the result is near the block threshold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outside 0.8–1.25; admin approval inside</w:t>
      </w:r>
    </w:p>
    <w:bookmarkEnd w:id="31"/>
    <w:bookmarkStart w:id="32" w:name="b9-unencumbered-noi-and-assets-24"/>
    <w:p>
      <w:pPr>
        <w:pStyle w:val="Heading4"/>
      </w:pPr>
      <w:r>
        <w:t xml:space="preserve">B9 — Unencumbered NOI and assets (#24)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EXT-RE-UNENC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share of NOI and of assets that is unencumbered (free of secured debt).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NOTE:debt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supplemental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unencumbered_noi_share, unencumbered_assets_share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(percent)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0–100%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32"/>
    <w:bookmarkStart w:id="33" w:name="b10-nav-balance-sheet-classification-25"/>
    <w:p>
      <w:pPr>
        <w:pStyle w:val="Heading4"/>
      </w:pPr>
      <w:r>
        <w:t xml:space="preserve">B10 — NAV balance-sheet classification (#25)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EXT-RE-NAV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 EVERY line of the balance sheet's asset side to one class of Rulebook RP2a. Report each line as stated, with its amount and the class.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balance_sheet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bsa_noi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already in the capitalized NOI → counted as 0 (real estate in place, acquired lease intangibles, straight-line rent receivable, deferred leasing costs, ground-lease right-of-use assets)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bsa_carry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development, construction in progress, land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bsa_inre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equity-method interests in real-estate joint ventures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bsa_carryfin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— notes and loans receivable, financial investments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bsa_wc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working capital — excluded (receivables, prepaid and other current assets; mixed lines that cannot be split)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bsa_excl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excluded — cash (already in net debt), goodwill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bsa_other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of the above (unidentified)</w:t>
      </w:r>
      <w:r>
        <w:br/>
      </w:r>
      <w:r>
        <w:rPr>
          <w:rStyle w:val="FunctionTok"/>
        </w:rPr>
        <w:t xml:space="preserve">output_per_line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line name as stated, amount (USD), class, quote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lines sum to total assets (within 0.5%); unidentified &gt; 10% of total assets → no Graham price score (RP2a)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 (classification is interpretation; no external number to check against). Shown to the admin as a table of lines with the proposed class.</w:t>
      </w:r>
    </w:p>
    <w:bookmarkEnd w:id="33"/>
    <w:bookmarkStart w:id="34" w:name="X85c3a39775cf67603ecc20ed1e206f7f7d64b03"/>
    <w:p>
      <w:pPr>
        <w:pStyle w:val="Heading4"/>
      </w:pPr>
      <w:r>
        <w:t xml:space="preserve">B11 — Operating-partnership units and single basis (#26)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EXT-RE-OPU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operating-partnership (OP) units and the facts needed to put FFO, deductions and share count on one basis (RE28, RP2b).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NOTE:equity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NOTE:noncontrolling_interests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NOTE:EPS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op_units_count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 units outstanding held by others (count)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op_units_book_value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carrying value of OP-unit noncontrolling interest (USD)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diluted_includes_op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when diluted shares include OP units, else 0 (quote required)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partnership_units_weighted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weighted OP units (count), when stated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shares_basis_override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 basis stated by the company for per-share FFO (count), when it differs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inc_share_of_bplp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company's share of the operating partnership's income (percent), when stated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reliable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 (rare — only REITs with an operating partnership; directly moves value per share)</w:t>
      </w:r>
    </w:p>
    <w:bookmarkEnd w:id="34"/>
    <w:bookmarkStart w:id="35" w:name="b12-ffo-normalization-items-27"/>
    <w:p>
      <w:pPr>
        <w:pStyle w:val="Heading4"/>
      </w:pPr>
      <w:r>
        <w:t xml:space="preserve">B12 — FFO normalization items (#27)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EXT-RE-FFO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INCOME_REAL_ESTATE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company's FFO reconciliation lines and the non-recurring items of RE30, each with the sign as it affects net income.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FFO_reconciliation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NOTE:gains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NOTE:impairments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recon_net_income, recon_re_da, recon_nci_jv, recon_gi_net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FFO reconciliation lines (USD, sign as shown)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reported_ffo, reported_core_ffo, reported_affo, reported_ebitdare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(USD); core FFO per share (USD/share) when stated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re29_re_sale_gains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gains / losses on sales of real estate incl. development property and land (RE29)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re29_nonre_impairments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impairments of non-real-estate assets and investments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re29a_nonre_inv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realized and unrealized results of non-real-estate investments (RE29a)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re29b_fx_net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unrealized FX remeasurement NET of the related hedging derivatives (RE29b); without a net line, the amount the company itself adds back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debt_extinguishment, transaction_costs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(USD, sign as stated) — RE30 item 5</w:t>
      </w:r>
      <w:r>
        <w:br/>
      </w:r>
      <w:r>
        <w:rPr>
          <w:rStyle w:val="FunctionTok"/>
        </w:rPr>
        <w:t xml:space="preserve">note_to_ai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 each amount as a gain (+) or loss (−) as it affects net income. Do not decide whether an item is already removed in the company's FFO — code does that.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E11 — computed FFO vs reported FFO gap ≤ 10%; RE29b 5 pp control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both controls pass; admin approval when either is flagged</w:t>
      </w:r>
    </w:p>
    <w:bookmarkEnd w:id="35"/>
    <w:bookmarkStart w:id="36" w:name="b13-profile-test-inputs-28"/>
    <w:p>
      <w:pPr>
        <w:pStyle w:val="Heading4"/>
      </w:pPr>
      <w:r>
        <w:t xml:space="preserve">B13 — Profile-test inputs (#28)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EXT-PROFILE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 (router)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the figures the profile router needs when they are not tagged.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balance_sheet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income_statement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NOTE:real_estate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NOTE:reserves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profile_total_assets, profile_property_value, profile_rental_revenue, profile_total_revenue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(USD) — real-estate test, every year in the window (RE11, RE15: property incl. acquired lease intangibles)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mortgage_loans_mbs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mortgage loans held + mortgage-backed securities (USD) (FIN-191)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insurance liability components when only in an extension 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claims, future policy benefits, policyholder account balances, unearned premiums (USD)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router test result's distance from its threshold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result is more than 5 pp from the threshold; admin approval inside the S3a band</w:t>
      </w:r>
    </w:p>
    <w:bookmarkEnd w:id="36"/>
    <w:bookmarkStart w:id="37" w:name="b14-general-fallback-extraction-29"/>
    <w:p>
      <w:pPr>
        <w:pStyle w:val="Heading4"/>
      </w:pPr>
      <w:r>
        <w:t xml:space="preserve">B14 — General fallback extraction (#29)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EXT-GENERAL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found no tag for a dictionary item in a year where the statement was retrieved, and the item is not covered by B1–B13</w:t>
      </w:r>
      <w:r>
        <w:br/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ONE dictionary item for ONE fiscal year from the financial statements.</w:t>
      </w:r>
      <w:r>
        <w:br/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'{item_key} — {definition from Rulebook Part E} — {statement} — expected unit {unit}'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the statement named in the dictionary row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its notes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compared with adjacent years — a value more than 3× or less than ⅓ of both neighbours is flagged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when the item feeds one sub-item and the control passes; admin approval when the item feeds value, buy price or profile, or when the control is flagged</w:t>
      </w:r>
    </w:p>
    <w:bookmarkEnd w:id="37"/>
    <w:bookmarkStart w:id="38" w:name="X5a94116fd0432da5263acc431bb84a82d6078d9"/>
    <w:p>
      <w:pPr>
        <w:pStyle w:val="Heading4"/>
      </w:pPr>
      <w:r>
        <w:t xml:space="preserve">B15 — Insurance-liability components (router) — folded into B13</w:t>
      </w:r>
    </w:p>
    <w:p>
      <w:pPr>
        <w:pStyle w:val="FirstParagraph"/>
      </w:pPr>
      <w:r>
        <w:t xml:space="preserve">Kept as a separate number in the skill list (#28) for traceability; implemented inside B13.</w:t>
      </w:r>
    </w:p>
    <w:bookmarkEnd w:id="38"/>
    <w:bookmarkEnd w:id="39"/>
    <w:bookmarkEnd w:id="40"/>
    <w:bookmarkStart w:id="43" w:name="content-d1-d2"/>
    <w:p>
      <w:pPr>
        <w:pStyle w:val="Heading2"/>
      </w:pPr>
      <w:r>
        <w:t xml:space="preserve">3. Content — D1, D2</w:t>
      </w:r>
    </w:p>
    <w:bookmarkStart w:id="41" w:name="d1-company-background-30"/>
    <w:p>
      <w:pPr>
        <w:pStyle w:val="Heading3"/>
      </w:pPr>
      <w:r>
        <w:t xml:space="preserve">3.1 D1 — Company background (#30)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Write a short background of the company for investors, using</w:t>
      </w:r>
      <w:r>
        <w:br/>
      </w:r>
      <w:r>
        <w:rPr>
          <w:rStyle w:val="VerbatimChar"/>
        </w:rPr>
        <w:t xml:space="preserve">ONLY the annual-report text and the facts provided. Do not use outside knowledge. Do not</w:t>
      </w:r>
      <w:r>
        <w:br/>
      </w:r>
      <w:r>
        <w:rPr>
          <w:rStyle w:val="VerbatimChar"/>
        </w:rPr>
        <w:t xml:space="preserve">give opinions on the stock, its price or its score. Do not state any number that is not in</w:t>
      </w:r>
      <w:r>
        <w:br/>
      </w:r>
      <w:r>
        <w:rPr>
          <w:rStyle w:val="VerbatimChar"/>
        </w:rPr>
        <w:t xml:space="preserve">FACTS. Write in Hebrew, plain and neutral.</w:t>
      </w:r>
      <w:r>
        <w:br/>
      </w:r>
      <w:r>
        <w:br/>
      </w:r>
      <w:r>
        <w:rPr>
          <w:rStyle w:val="VerbatimChar"/>
        </w:rPr>
        <w:t xml:space="preserve">STRUCTURE (exactly these five parts, one or two sentences each; total at most 120 words)</w:t>
      </w:r>
      <w:r>
        <w:br/>
      </w:r>
      <w:r>
        <w:rPr>
          <w:rStyle w:val="VerbatimChar"/>
        </w:rPr>
        <w:t xml:space="preserve">1. What the company does and its main products or services.</w:t>
      </w:r>
      <w:r>
        <w:br/>
      </w:r>
      <w:r>
        <w:rPr>
          <w:rStyle w:val="VerbatimChar"/>
        </w:rPr>
        <w:t xml:space="preserve">2. Main segments.</w:t>
      </w:r>
      <w:r>
        <w:br/>
      </w:r>
      <w:r>
        <w:rPr>
          <w:rStyle w:val="VerbatimChar"/>
        </w:rPr>
        <w:t xml:space="preserve">3. Where it operates (main markets / geographies).</w:t>
      </w:r>
      <w:r>
        <w:br/>
      </w:r>
      <w:r>
        <w:rPr>
          <w:rStyle w:val="VerbatimChar"/>
        </w:rPr>
        <w:t xml:space="preserve">4. Business environment and main competitors (as named in the report).</w:t>
      </w:r>
      <w:r>
        <w:br/>
      </w:r>
      <w:r>
        <w:rPr>
          <w:rStyle w:val="VerbatimChar"/>
        </w:rPr>
        <w:t xml:space="preserve">5. Competitive advantage — use MOAT exactly as given; do not add or change it.</w:t>
      </w:r>
      <w:r>
        <w:br/>
      </w:r>
      <w:r>
        <w:br/>
      </w:r>
      <w:r>
        <w:rPr>
          <w:rStyle w:val="VerbatimChar"/>
        </w:rPr>
        <w:t xml:space="preserve">FACTS (from ValueCompass): industry {industry}; revenue {revenue} {currency} (FY{fiscal_year});</w:t>
      </w:r>
      <w:r>
        <w:br/>
      </w:r>
      <w:r>
        <w:rPr>
          <w:rStyle w:val="VerbatimChar"/>
        </w:rPr>
        <w:t xml:space="preserve">ONE SENTENCE: {b31_q5_one_sentence}; MOAT: {b32_q5_answer} / {moat_source} / {moat_reasoning}</w:t>
      </w:r>
      <w:r>
        <w:br/>
      </w:r>
      <w:r>
        <w:br/>
      </w:r>
      <w:r>
        <w:rPr>
          <w:rStyle w:val="VerbatimChar"/>
        </w:rPr>
        <w:t xml:space="preserve">TEXT (TXT-001, TXT-003, TXT-005,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"BG-1", "version": {version}, "text_he": "&lt;background&gt;",</w:t>
      </w:r>
      <w:r>
        <w:br/>
      </w:r>
      <w:r>
        <w:rPr>
          <w:rStyle w:val="VerbatimChar"/>
        </w:rPr>
        <w:t xml:space="preserve"> "competitors": ["&lt;as named&gt;"], "quotes": [{"text": "&lt;exact quote&gt;", "section": "..."}]}</w:t>
      </w:r>
    </w:p>
    <w:p>
      <w:pPr>
        <w:pStyle w:val="SourceCode"/>
      </w:pP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once per annual report (with A1–A14)</w:t>
      </w:r>
      <w:r>
        <w:br/>
      </w:r>
      <w:r>
        <w:rPr>
          <w:rStyle w:val="FunctionTok"/>
        </w:rPr>
        <w:t xml:space="preserve">code_checks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≤ 120 words; every number in text_he appears in FACTS; competitors appear in the quotes; moat wording consistent with A7 (source matches)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41"/>
    <w:bookmarkStart w:id="42" w:name="d2-results-analysis-31"/>
    <w:p>
      <w:pPr>
        <w:pStyle w:val="Heading3"/>
      </w:pPr>
      <w:r>
        <w:t xml:space="preserve">3.2 D2 — Results analysis (#31)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ValueCompass. Explain a company's ValueCompass results to an investor, using</w:t>
      </w:r>
      <w:r>
        <w:br/>
      </w:r>
      <w:r>
        <w:rPr>
          <w:rStyle w:val="VerbatimChar"/>
        </w:rPr>
        <w:t xml:space="preserve">ONLY the results provided below. Do not add facts, numbers or opinions that are not in</w:t>
      </w:r>
      <w:r>
        <w:br/>
      </w:r>
      <w:r>
        <w:rPr>
          <w:rStyle w:val="VerbatimChar"/>
        </w:rPr>
        <w:t xml:space="preserve">RESULTS. Do not tell the reader to buy or sell. Do not mention the current share price</w:t>
      </w:r>
      <w:r>
        <w:br/>
      </w:r>
      <w:r>
        <w:rPr>
          <w:rStyle w:val="VerbatimChar"/>
        </w:rPr>
        <w:t xml:space="preserve">(it changes daily). Write in Hebrew, plain and neutral.</w:t>
      </w:r>
      <w:r>
        <w:br/>
      </w:r>
      <w:r>
        <w:br/>
      </w:r>
      <w:r>
        <w:rPr>
          <w:rStyle w:val="VerbatimChar"/>
        </w:rPr>
        <w:t xml:space="preserve">STRUCTURE (two paragraphs, each at most 60 words)</w:t>
      </w:r>
      <w:r>
        <w:br/>
      </w:r>
      <w:r>
        <w:rPr>
          <w:rStyle w:val="VerbatimChar"/>
        </w:rPr>
        <w:t xml:space="preserve">1. Quality: what drove the Buffett and Graham quality scores — the strongest and weakest</w:t>
      </w:r>
      <w:r>
        <w:br/>
      </w:r>
      <w:r>
        <w:rPr>
          <w:rStyle w:val="VerbatimChar"/>
        </w:rPr>
        <w:t xml:space="preserve">   criteria, and the position versus peers as given in PEERS.</w:t>
      </w:r>
      <w:r>
        <w:br/>
      </w:r>
      <w:r>
        <w:rPr>
          <w:rStyle w:val="VerbatimChar"/>
        </w:rPr>
        <w:t xml:space="preserve">2. Value: what drove the Buffett and Graham values and what determines the buy price</w:t>
      </w:r>
      <w:r>
        <w:br/>
      </w:r>
      <w:r>
        <w:rPr>
          <w:rStyle w:val="VerbatimChar"/>
        </w:rPr>
        <w:t xml:space="preserve">   (margin of safety by quality; "not suitable" below quality 55; blocks or flags if any).</w:t>
      </w:r>
      <w:r>
        <w:br/>
      </w:r>
      <w:r>
        <w:rPr>
          <w:rStyle w:val="VerbatimChar"/>
        </w:rPr>
        <w:t xml:space="preserve">Refer to criteria by their names as given. Every number you write must appear in RESULTS or PEERS.</w:t>
      </w:r>
      <w:r>
        <w:br/>
      </w:r>
      <w:r>
        <w:br/>
      </w:r>
      <w:r>
        <w:rPr>
          <w:rStyle w:val="VerbatimChar"/>
        </w:rPr>
        <w:t xml:space="preserve">RESULTS (from the scoring run {run_id}; profile {profile}):</w:t>
      </w:r>
      <w:r>
        <w:br/>
      </w:r>
      <w:r>
        <w:rPr>
          <w:rStyle w:val="VerbatimChar"/>
        </w:rPr>
        <w:t xml:space="preserve">{results_json}      # scores, coverage, per-criterion points and max, key metric values, values, buy prices, states and flags</w:t>
      </w:r>
      <w:r>
        <w:br/>
      </w:r>
      <w:r>
        <w:rPr>
          <w:rStyle w:val="VerbatimChar"/>
        </w:rPr>
        <w:t xml:space="preserve">PEERS (computed by code; group {peer_group_definition}, n = {n}):</w:t>
      </w:r>
      <w:r>
        <w:br/>
      </w:r>
      <w:r>
        <w:rPr>
          <w:rStyle w:val="VerbatimChar"/>
        </w:rPr>
        <w:t xml:space="preserve">{peers_json}        # percentile of each quality score and of key metrics within the group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"AN-1", "version": {version}, "quality_he": "&lt;paragraph 1&gt;", "value_he": "&lt;paragraph 2&gt;",</w:t>
      </w:r>
      <w:r>
        <w:br/>
      </w:r>
      <w:r>
        <w:rPr>
          <w:rStyle w:val="VerbatimChar"/>
        </w:rPr>
        <w:t xml:space="preserve"> "criteria_cited": ["&lt;criterion id&gt;", ...]}</w:t>
      </w:r>
    </w:p>
    <w:p>
      <w:pPr>
        <w:pStyle w:val="SourceCode"/>
      </w:pP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once per scoring run (new annual report or rulebook change); stored and shown as is — not regenerated when the page is opened</w:t>
      </w:r>
      <w:r>
        <w:br/>
      </w:r>
      <w:r>
        <w:rPr>
          <w:rStyle w:val="FunctionTok"/>
        </w:rPr>
        <w:t xml:space="preserve">code_checks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each paragraph ≤ 60 words (longer → regenerated, not cut); every number appears in RESULTS / PEERS; criteria_cited exist in the run; no price wording</w:t>
      </w:r>
      <w:r>
        <w:br/>
      </w:r>
      <w:r>
        <w:rPr>
          <w:rStyle w:val="FunctionTok"/>
        </w:rPr>
        <w:t xml:space="preserve">peer_group (code, fixed)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same profile and same ValueCompass industry; when fewer than 5 companies, same profile only; n and definition always shown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</w:t>
      </w:r>
    </w:p>
    <w:bookmarkEnd w:id="42"/>
    <w:bookmarkEnd w:id="43"/>
    <w:bookmarkStart w:id="44" w:name="language-decision-proposed"/>
    <w:p>
      <w:pPr>
        <w:pStyle w:val="Heading2"/>
      </w:pPr>
      <w:r>
        <w:t xml:space="preserve">4. Language decision (proposed)</w:t>
      </w:r>
    </w:p>
    <w:p>
      <w:pPr>
        <w:pStyle w:val="FirstParagraph"/>
      </w:pPr>
      <w:r>
        <w:t xml:space="preserve">Prompts in English (2026-10-20_23-23 §10.2).</w:t>
      </w:r>
      <w:r>
        <w:t xml:space="preserve"> </w:t>
      </w:r>
      <w:r>
        <w:rPr>
          <w:bCs/>
          <w:b/>
        </w:rPr>
        <w:t xml:space="preserve">User-facing text (D1, D2) is generated directly in Hebrew</w:t>
      </w:r>
      <w:r>
        <w:t xml:space="preserve">; an English version can be generated later from the same inputs. Judgment and extraction answers stay in English (internal), with display labels translated by the UI.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Skills: Classification, Extraction, Content (B1–B15, C1, D1–D2)</dc:title>
  <dc:creator/>
  <cp:keywords/>
  <dcterms:created xsi:type="dcterms:W3CDTF">2026-10-21T09:39:06Z</dcterms:created>
  <dcterms:modified xsi:type="dcterms:W3CDTF">2026-10-21T09:39:06Z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2026-10-21_12-39 · prompts in English · for approval</vt:lpwstr>
  </property>
</Properties>
</file>