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Scoring</w:t>
      </w:r>
      <w:r>
        <w:t xml:space="preserve"> </w:t>
      </w:r>
      <w:r>
        <w:t xml:space="preserve">Skills</w:t>
      </w:r>
      <w:r>
        <w:t xml:space="preserve"> </w:t>
      </w:r>
      <w:r>
        <w:t xml:space="preserve">(A1–A14)</w:t>
      </w:r>
    </w:p>
    <w:p>
      <w:pPr>
        <w:pStyle w:val="Subtitle"/>
      </w:pPr>
      <w:r>
        <w:t xml:space="preserve">2026-10-21_19-28</w:t>
      </w:r>
      <w:r>
        <w:t xml:space="preserve"> </w:t>
      </w:r>
      <w:r>
        <w:t xml:space="preserve">·</w:t>
      </w:r>
      <w:r>
        <w:t xml:space="preserve"> </w:t>
      </w:r>
      <w:r>
        <w:t xml:space="preserve">prompts</w:t>
      </w:r>
      <w:r>
        <w:t xml:space="preserve"> </w:t>
      </w:r>
      <w:r>
        <w:t xml:space="preserve">in</w:t>
      </w:r>
      <w:r>
        <w:t xml:space="preserve"> </w:t>
      </w:r>
      <w:r>
        <w:t xml:space="preserve">English</w:t>
      </w:r>
      <w:r>
        <w:t xml:space="preserve"> </w:t>
      </w:r>
      <w:r>
        <w:t xml:space="preserve">(decision:</w:t>
      </w:r>
      <w:r>
        <w:t xml:space="preserve"> </w:t>
      </w:r>
      <w:r>
        <w:t xml:space="preserve">AI</w:t>
      </w:r>
      <w:r>
        <w:t xml:space="preserve"> </w:t>
      </w:r>
      <w:r>
        <w:t xml:space="preserve">spec</w:t>
      </w:r>
      <w:r>
        <w:t xml:space="preserve"> </w:t>
      </w:r>
      <w:r>
        <w:t xml:space="preserve">§10.2)</w:t>
      </w:r>
      <w:r>
        <w:t xml:space="preserve"> </w:t>
      </w:r>
      <w:r>
        <w:t xml:space="preserve">·</w:t>
      </w:r>
      <w:r>
        <w:t xml:space="preserve"> </w:t>
      </w:r>
      <w:r>
        <w:t xml:space="preserve">for</w:t>
      </w:r>
      <w:r>
        <w:t xml:space="preserve"> </w:t>
      </w:r>
      <w:r>
        <w:t xml:space="preserve">approval</w:t>
      </w:r>
    </w:p>
    <w:bookmarkStart w:id="38" w:name="Xf2c55e12ae5b676c54cca4c8b58f7147483c410"/>
    <w:p>
      <w:pPr>
        <w:pStyle w:val="Heading1"/>
      </w:pPr>
      <w:r>
        <w:t xml:space="preserve">AI Scoring Skills A1–A14 — version 3 (calibration)</w:t>
      </w:r>
    </w:p>
    <w:p>
      <w:pPr>
        <w:pStyle w:val="FirstParagraph"/>
      </w:pPr>
      <w:r>
        <w:rPr>
          <w:bCs/>
          <w:b/>
        </w:rPr>
        <w:t xml:space="preserve">גרסה 2 (21.10.2026):</w:t>
      </w:r>
      <w:r>
        <w:t xml:space="preserve"> </w:t>
      </w:r>
      <w:r>
        <w:t xml:space="preserve">כיול אחרי ק5א — 90 מתוך 101 תשובות היו 2, ו-INTC קיבלה 2 במעמד תחרותי. נוספו לתבנית כללים 6–8 (תיאור עצמי = טענה ולא ראיה; 2 דורש ראיה ספציפית; בין שתי רמות — הנמוכה; עקביות עם עובדות הקוד), ובלוק FACTS GIVEN BY CODE. ל-A6, ‏A7, ‏A10, ‏A12 נוספו עובדות מהנתונים (מגמות הכנסות, מרווחים, תשואה על ההון), ול-A6 ו-A12 גם פרק הדירקטוריון. כל הסקילים עלו לגרסה 2.</w:t>
      </w:r>
    </w:p>
    <w:p>
      <w:pPr>
        <w:pStyle w:val="BodyText"/>
      </w:pPr>
      <w:r>
        <w:rPr>
          <w:bCs/>
          <w:b/>
        </w:rPr>
        <w:t xml:space="preserve">גרסה 3 (21.10.2026, ספר 2026-10-21_19-26):</w:t>
      </w:r>
      <w:r>
        <w:t xml:space="preserve"> </w:t>
      </w:r>
      <w:r>
        <w:t xml:space="preserve">‏A3 — סקאלה חדשה (CL17: המודל הרגיל של הפרופיל = מודל אחד). ‏A12 — בודק ביסוס בלבד; 0 = כבר לא שחקנית משמעותית (CL18); הכיוון נשאר רק ב-A6. ‏A7 — רק מקור החפיר והראיות מהדוח; התשואה העקבית נספרת בקוד בסעיף 3 של הכרטיס ולא כאן (בלי ספירה כפולה). שלושתם עלו לגרסה 3.</w:t>
      </w:r>
    </w:p>
    <w:p>
      <w:pPr>
        <w:pStyle w:val="BodyText"/>
      </w:pPr>
      <w:r>
        <w:rPr>
          <w:bCs/>
          <w:b/>
        </w:rPr>
        <w:t xml:space="preserve">עברית — מה במסמך:</w:t>
      </w:r>
      <w:r>
        <w:t xml:space="preserve"> </w:t>
      </w:r>
      <w:r>
        <w:t xml:space="preserve">כאן כתובים 14 סקילי הניקוד (שאלות האיכות 2 / 1 / 0) בדיוק כפי שהקוד ישלח אותם ל-Gemini. כל סקיל = תבנית משותפת (סעיף 1) + בלוק נתונים קצר (סעיף 3). הסקאלה בכל בלוק מועתקת</w:t>
      </w:r>
      <w:r>
        <w:t xml:space="preserve"> </w:t>
      </w:r>
      <w:r>
        <w:rPr>
          <w:bCs/>
          <w:b/>
        </w:rPr>
        <w:t xml:space="preserve">מילה במילה</w:t>
      </w:r>
      <w:r>
        <w:t xml:space="preserve"> </w:t>
      </w:r>
      <w:r>
        <w:t xml:space="preserve">מכרטיס בספר הכללים 2026-10-21_19-26; שינוי בכרטיס → גרסת הסקיל עולה. ה-prompts באנגלית (החלטה 2 במפרט ה-AI); ההסברים בעברית. בק5 הבלוקים יישמרו כקובץ נתונים (</w:t>
      </w:r>
      <w:r>
        <w:rPr>
          <w:rStyle w:val="VerbatimChar"/>
        </w:rPr>
        <w:t xml:space="preserve">src/ai/skills/scoring.yaml</w:t>
      </w:r>
      <w:r>
        <w:t xml:space="preserve">), לא כקוד.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Rulebook 2026-10-21_19-26 (Part C cards; R1, R2, R13, R16, R18); AI Layer Specification 2026-10-21_16-00 (§2–§5).</w:t>
      </w:r>
    </w:p>
    <w:bookmarkStart w:id="20" w:name="common-template-all-a-skills"/>
    <w:p>
      <w:pPr>
        <w:pStyle w:val="Heading2"/>
      </w:pPr>
      <w:r>
        <w:t xml:space="preserve">1. Common template (all A-skills)</w:t>
      </w:r>
    </w:p>
    <w:p>
      <w:pPr>
        <w:pStyle w:val="FirstParagraph"/>
      </w:pPr>
      <w:r>
        <w:t xml:space="preserve">Code assembles the prompt from this template and one skill block. Placeholders in</w:t>
      </w:r>
      <w:r>
        <w:t xml:space="preserve"> </w:t>
      </w:r>
      <w:r>
        <w:rPr>
          <w:rStyle w:val="VerbatimChar"/>
        </w:rPr>
        <w:t xml:space="preserve">{braces}</w:t>
      </w:r>
      <w:r>
        <w:t xml:space="preserve"> </w:t>
      </w:r>
      <w:r>
        <w:t xml:space="preserve">are filled by code.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ValueCompass, a value-investing scoring system. You answer ONE predefined</w:t>
      </w:r>
      <w:r>
        <w:br/>
      </w:r>
      <w:r>
        <w:rPr>
          <w:rStyle w:val="VerbatimChar"/>
        </w:rPr>
        <w:t xml:space="preserve">question about ONE company, using ONLY the annual-report text provided below.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Use only the text provided. Do not use outside knowledge, news, or your memory of the company.</w:t>
      </w:r>
      <w:r>
        <w:br/>
      </w:r>
      <w:r>
        <w:rPr>
          <w:rStyle w:val="VerbatimChar"/>
        </w:rPr>
        <w:t xml:space="preserve">2. Apply the SCALE exactly as written. Choose the single level that fits best.</w:t>
      </w:r>
      <w:r>
        <w:br/>
      </w:r>
      <w:r>
        <w:rPr>
          <w:rStyle w:val="VerbatimChar"/>
        </w:rPr>
        <w:t xml:space="preserve">3. Every answer except insufficient evidence must be supported by 1–3 quotes copied</w:t>
      </w:r>
      <w:r>
        <w:br/>
      </w:r>
      <w:r>
        <w:rPr>
          <w:rStyle w:val="VerbatimChar"/>
        </w:rPr>
        <w:t xml:space="preserve">   character for character from the text (no paraphrase, no ellipsis inside a quote).</w:t>
      </w:r>
      <w:r>
        <w:br/>
      </w:r>
      <w:r>
        <w:rPr>
          <w:rStyle w:val="VerbatimChar"/>
        </w:rPr>
        <w:t xml:space="preserve">4. If the text does not allow an answer, return answer = null and insufficient_evidence = true.</w:t>
      </w:r>
      <w:r>
        <w:br/>
      </w:r>
      <w:r>
        <w:rPr>
          <w:rStyle w:val="VerbatimChar"/>
        </w:rPr>
        <w:t xml:space="preserve">   Do not guess. Do not default to 1.</w:t>
      </w:r>
      <w:r>
        <w:br/>
      </w:r>
      <w:r>
        <w:rPr>
          <w:rStyle w:val="VerbatimChar"/>
        </w:rPr>
        <w:t xml:space="preserve">5. Do not compute scores, give investment opinions, or mention prices.</w:t>
      </w:r>
      <w:r>
        <w:br/>
      </w:r>
      <w:r>
        <w:rPr>
          <w:rStyle w:val="VerbatimChar"/>
        </w:rPr>
        <w:t xml:space="preserve">6. A company's description of itself ("leader", "strong position", "well positioned") is a CLAIM,</w:t>
      </w:r>
      <w:r>
        <w:br/>
      </w:r>
      <w:r>
        <w:rPr>
          <w:rStyle w:val="VerbatimChar"/>
        </w:rPr>
        <w:t xml:space="preserve">   not evidence. Count it only when supported by specific facts in the text or in FACTS GIVEN BY CODE</w:t>
      </w:r>
      <w:r>
        <w:br/>
      </w:r>
      <w:r>
        <w:rPr>
          <w:rStyle w:val="VerbatimChar"/>
        </w:rPr>
        <w:t xml:space="preserve">   (rankings, market shares, customer numbers, trends).</w:t>
      </w:r>
      <w:r>
        <w:br/>
      </w:r>
      <w:r>
        <w:rPr>
          <w:rStyle w:val="VerbatimChar"/>
        </w:rPr>
        <w:t xml:space="preserve">7. Level 2 requires specific evidence. When the evidence fits two levels, choose the LOWER one.</w:t>
      </w:r>
      <w:r>
        <w:br/>
      </w:r>
      <w:r>
        <w:rPr>
          <w:rStyle w:val="VerbatimChar"/>
        </w:rPr>
        <w:t xml:space="preserve">8. When FACTS GIVEN BY CODE are provided, they are correct; your answer must be consistent with them</w:t>
      </w:r>
      <w:r>
        <w:br/>
      </w:r>
      <w:r>
        <w:rPr>
          <w:rStyle w:val="VerbatimChar"/>
        </w:rPr>
        <w:t xml:space="preserve">   (e.g., declining revenue and margins do not fit "stable or improving position").</w:t>
      </w:r>
      <w:r>
        <w:br/>
      </w:r>
      <w:r>
        <w:rPr>
          <w:rStyle w:val="VerbatimChar"/>
        </w:rPr>
        <w:t xml:space="preserve">9. Return ONLY the JSON object described under OUTPUT. No text before or after it.</w:t>
      </w:r>
      <w:r>
        <w:br/>
      </w:r>
      <w:r>
        <w:br/>
      </w:r>
      <w:r>
        <w:rPr>
          <w:rStyle w:val="VerbatimChar"/>
        </w:rPr>
        <w:t xml:space="preserve">QUESTION ({skill_id}, version {version})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</w:rPr>
        <w:t xml:space="preserve">SCALE (ValueCompass Rulebook, card {card} — apply exactly)</w:t>
      </w:r>
      <w:r>
        <w:br/>
      </w:r>
      <w:r>
        <w:rPr>
          <w:rStyle w:val="VerbatimChar"/>
        </w:rPr>
        <w:t xml:space="preserve">2 = {scale_2}</w:t>
      </w:r>
      <w:r>
        <w:br/>
      </w:r>
      <w:r>
        <w:rPr>
          <w:rStyle w:val="VerbatimChar"/>
        </w:rPr>
        <w:t xml:space="preserve">1 = {scale_1}</w:t>
      </w:r>
      <w:r>
        <w:br/>
      </w:r>
      <w:r>
        <w:rPr>
          <w:rStyle w:val="VerbatimChar"/>
        </w:rPr>
        <w:t xml:space="preserve">0 = {scale_0}</w:t>
      </w:r>
      <w:r>
        <w:br/>
      </w:r>
      <w:r>
        <w:br/>
      </w:r>
      <w:r>
        <w:rPr>
          <w:rStyle w:val="VerbatimChar"/>
        </w:rPr>
        <w:t xml:space="preserve">WHAT TO LOOK FOR</w:t>
      </w:r>
      <w:r>
        <w:br/>
      </w:r>
      <w:r>
        <w:rPr>
          <w:rStyle w:val="VerbatimChar"/>
        </w:rPr>
        <w:t xml:space="preserve">{evidence_focus}</w:t>
      </w:r>
      <w:r>
        <w:br/>
      </w:r>
      <w:r>
        <w:rPr>
          <w:rStyle w:val="VerbatimChar"/>
        </w:rPr>
        <w:t xml:space="preserve">{profile_note}</w:t>
      </w:r>
      <w:r>
        <w:br/>
      </w:r>
      <w:r>
        <w:br/>
      </w:r>
      <w:r>
        <w:rPr>
          <w:rStyle w:val="VerbatimChar"/>
        </w:rPr>
        <w:t xml:space="preserve">FACTS GIVEN BY CODE (when provided; from ValueCompass data, already verified)</w:t>
      </w:r>
      <w:r>
        <w:br/>
      </w:r>
      <w:r>
        <w:rPr>
          <w:rStyle w:val="VerbatimChar"/>
        </w:rPr>
        <w:t xml:space="preserve">{facts}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 · PROFILE: {profile}</w:t>
      </w:r>
      <w:r>
        <w:br/>
      </w:r>
      <w:r>
        <w:rPr>
          <w:rStyle w:val="VerbatimChar"/>
        </w:rPr>
        <w:t xml:space="preserve">TEXT ({sections},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"{skill_id}", "version": {version},</w:t>
      </w:r>
      <w:r>
        <w:br/>
      </w:r>
      <w:r>
        <w:rPr>
          <w:rStyle w:val="VerbatimChar"/>
        </w:rPr>
        <w:t xml:space="preserve"> "answer": 2 | 1 | 0 | null, "insufficient_evidence": true | false,</w:t>
      </w:r>
      <w:r>
        <w:br/>
      </w:r>
      <w:r>
        <w:rPr>
          <w:rStyle w:val="VerbatimChar"/>
        </w:rPr>
        <w:t xml:space="preserve"> "reasoning": "&lt;at most 3 sentences&gt;",</w:t>
      </w:r>
      <w:r>
        <w:br/>
      </w:r>
      <w:r>
        <w:rPr>
          <w:rStyle w:val="VerbatimChar"/>
        </w:rPr>
        <w:t xml:space="preserve"> "quotes": [{"text": "&lt;exact quote&gt;", "section": "&lt;TXT-00x&gt;"}]{extra_output}}</w:t>
      </w:r>
    </w:p>
    <w:p>
      <w:pPr>
        <w:pStyle w:val="FirstParagraph"/>
      </w:pPr>
      <w:r>
        <w:rPr>
          <w:bCs/>
          <w:b/>
        </w:rPr>
        <w:t xml:space="preserve">Model settings:</w:t>
      </w:r>
      <w:r>
        <w:t xml:space="preserve"> </w:t>
      </w:r>
      <w:r>
        <w:t xml:space="preserve">temperature 0; fixed model version (recorded per answer); one call per skill per company per fiscal year.</w:t>
      </w:r>
    </w:p>
    <w:bookmarkEnd w:id="20"/>
    <w:bookmarkStart w:id="21" w:name="X22264901964f0df47a205a824b48af25b405a54"/>
    <w:p>
      <w:pPr>
        <w:pStyle w:val="Heading2"/>
      </w:pPr>
      <w:r>
        <w:t xml:space="preserve">2. Code checks and points (reminder from 2026-10-21_16-00 §4.4)</w:t>
      </w:r>
    </w:p>
    <w:p>
      <w:pPr>
        <w:pStyle w:val="FirstParagraph"/>
      </w:pPr>
      <w:r>
        <w:t xml:space="preserve">Code rejects an answer when: invalid JSON (one retry), answer not in {2, 1, 0, null}, any quote not found verbatim in the text sent (after whitespace / quote-mark normalization), no quote for a non-null answer, or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missing when required. Rejected →</w:t>
      </w:r>
      <w:r>
        <w:t xml:space="preserve"> </w:t>
      </w:r>
      <w:r>
        <w:t xml:space="preserve">“</w:t>
      </w:r>
      <w:r>
        <w:t xml:space="preserve">insufficient evidence</w:t>
      </w:r>
      <w:r>
        <w:t xml:space="preserve">”</w:t>
      </w:r>
      <w:r>
        <w:t xml:space="preserve"> </w:t>
      </w:r>
      <w:r>
        <w:t xml:space="preserve">(missing, R16). Points = code, per the card (column</w:t>
      </w:r>
      <w:r>
        <w:t xml:space="preserve"> </w:t>
      </w:r>
      <w:r>
        <w:t xml:space="preserve">“</w:t>
      </w:r>
      <w:r>
        <w:t xml:space="preserve">Points</w:t>
      </w:r>
      <w:r>
        <w:t xml:space="preserve">”</w:t>
      </w:r>
      <w:r>
        <w:t xml:space="preserve"> </w:t>
      </w:r>
      <w:r>
        <w:t xml:space="preserve">below).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/ 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from answer (code)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A1–A5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#1–#5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(each 0–2; criterion = sum, 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0.5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 — only when the gate sends it to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3.8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3.3-BANK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3, 1 → 1.5, 0 → 0 — only without a loan breakdown</w:t>
            </w:r>
          </w:p>
        </w:tc>
      </w:tr>
    </w:tbl>
    <w:bookmarkEnd w:id="21"/>
    <w:bookmarkStart w:id="36" w:name="skill-blocks"/>
    <w:p>
      <w:pPr>
        <w:pStyle w:val="Heading2"/>
      </w:pPr>
      <w:r>
        <w:t xml:space="preserve">3. Skill blocks</w:t>
      </w:r>
    </w:p>
    <w:bookmarkStart w:id="22" w:name="a1-b3.1-q1-what-the-company-sells"/>
    <w:p>
      <w:pPr>
        <w:pStyle w:val="Heading3"/>
      </w:pPr>
      <w:r>
        <w:t xml:space="preserve">A1 — B3.1-Q1 · What the company sells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B3.1-Q1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#1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it clear what the company sells?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main products or services can be named in simple words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Generally clear, but many products or very technical ones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Unclear what is actually sold (holdings, complex financial products)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description of products and services in the Business section; whether the main ones can be named in plain words.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"products" are the property types leased (e.g., offices, warehouses, apartments). Consider asset types and lease structure.</w:t>
      </w:r>
    </w:p>
    <w:bookmarkEnd w:id="22"/>
    <w:bookmarkStart w:id="23" w:name="a2-b3.1-q2-who-the-customers-are"/>
    <w:p>
      <w:pPr>
        <w:pStyle w:val="Heading3"/>
      </w:pPr>
      <w:r>
        <w:t xml:space="preserve">A2 — B3.1-Q2 · Who the customers are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B3.1-Q2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#2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it clear who the customers are?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main customer types can be identified (consumers, businesses, governments)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Several different customer types, or sales through intermediaries that hide the customer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Unclear who pays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Statements naming customer types, distribution channels and who ultimately pays.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Customers are the tenants; consider tenant types and industries.</w:t>
      </w:r>
    </w:p>
    <w:bookmarkEnd w:id="23"/>
    <w:bookmarkStart w:id="24" w:name="a3-b3.1-q3-revenue-sources"/>
    <w:p>
      <w:pPr>
        <w:pStyle w:val="Heading3"/>
      </w:pPr>
      <w:r>
        <w:t xml:space="preserve">A3 — B3.1-Q3 · Revenue sources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Are the revenue sources simple to understand?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Few main sources, each with a model that can be explained in one line (sale, subscription, fee, rent, premium, interest margin); the profile's standard model counts as one model (BANK: interest, investment income and fees; INSURANCE: premiums and investment income; INCOME_REAL_ESTATE: rent)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Several sources that differ in nature, or a material part of revenue (about a quarter or more) depends on something hard to see from outside (trading gains, fair-value remeasurement, gain-on-sale, complex contracts)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Many unrelated sources that cannot be summarized together, or a non-transparent model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How the company earns money — revenue streams, segments and the revenue model of each; whether an outsider can see what the customer pays for and when revenue arises. Estimate the share of revenue from hard-to-see sources when reported.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-005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Rental income, recoveries and other property income; note corporate complexity (joint ventures, operating partnership) if it obscures the model.</w:t>
      </w:r>
    </w:p>
    <w:bookmarkEnd w:id="24"/>
    <w:bookmarkStart w:id="25" w:name="a4-b3.1-q4-main-risks"/>
    <w:p>
      <w:pPr>
        <w:pStyle w:val="Heading3"/>
      </w:pPr>
      <w:r>
        <w:t xml:space="preserve">A4 — B3.1-Q4 · Main risks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Are the main risks clear?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2–4 concrete business risks can be named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Very generic risks, or so many that they cannot be ranked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business depends on a factor that cannot be assessed (single clinical trial, commodity price, open regulation)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 Factors — whether a few concrete business risks stand out from boilerplate.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-002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'"main_risks": ["&lt;risk 1&gt;", "&lt;risk 2&gt;", ...]   (2–4 items, plain words; required when answer = 2)'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25"/>
    <w:bookmarkStart w:id="26" w:name="a5-b3.1-q5-one-sentence"/>
    <w:p>
      <w:pPr>
        <w:pStyle w:val="Heading3"/>
      </w:pPr>
      <w:r>
        <w:t xml:space="preserve">A5 — B3.1-Q5 · One sentence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 the business be explained in one sentence?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 sentence of up to 25 words: what, for whom, and how it makes money'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Needs two sentences, or the sentence omits a central part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possible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 the sentence yourself from the text; it must say what is sold, to whom, and how the company makes money.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'"one_sentence": "&lt;the sentence; code checks ≤ 25 words when answer = 2&gt;"'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p>
      <w:pPr>
        <w:pStyle w:val="FirstParagraph"/>
      </w:pPr>
      <w:r>
        <w:t xml:space="preserve">Code check: when answer = 2,</w:t>
      </w:r>
      <w:r>
        <w:t xml:space="preserve"> </w:t>
      </w:r>
      <w:r>
        <w:rPr>
          <w:rStyle w:val="VerbatimChar"/>
        </w:rPr>
        <w:t xml:space="preserve">one_sentence</w:t>
      </w:r>
      <w:r>
        <w:t xml:space="preserve"> </w:t>
      </w:r>
      <w:r>
        <w:t xml:space="preserve">≤ 25 words; otherwise the answer is rejected. The sentence is also reused by the company background (skill #30).</w:t>
      </w:r>
    </w:p>
    <w:bookmarkEnd w:id="26"/>
    <w:bookmarkStart w:id="27" w:name="a6-b3.2-q4-competitive-position"/>
    <w:p>
      <w:pPr>
        <w:pStyle w:val="Heading3"/>
      </w:pPr>
      <w:r>
        <w:t xml:space="preserve">A6 — B3.2-Q4 · Competitive position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B3.2-Q4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C.B3.2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 competitive position stable?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 leader or among the largest, with a stable or improving position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 but not leading, or mixed signals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Losing market share, or the position is eroding (new entrants, price war)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Evidence of the position and its DIRECTION — rankings, market shares, competitive wins and losses, and the revenue and margin trend in FACTS. Self-descriptions alone are not enough for 2.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 for each of the last 5 years and its CAGR; gross and operating margin, first 2 vs last 2 years; segment revenue trend when reported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Judge the durability of the location and asset advantage; do not treat a temporarily rising property market as a stable competitive position.</w:t>
      </w:r>
    </w:p>
    <w:bookmarkEnd w:id="27"/>
    <w:bookmarkStart w:id="28" w:name="a7-b3.2-q5-moat"/>
    <w:p>
      <w:pPr>
        <w:pStyle w:val="Heading3"/>
      </w:pPr>
      <w:r>
        <w:t xml:space="preserve">A7 — B3.2-Q5 · Moat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B3.2-Q5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C.B3.2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there a clear moat?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concrete moat source can be named (brand, switching costs, scale, network effect, regulation, data, infrastructure), with evidence from the report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plausible but generic or unproven moat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identifiable moat, commodity product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moat source and specific evidence for it in the report — market share, number of users or customers, switching costs, retention, pricing power, licences, cost advantage. A source named only in the company's own words fits 1. Do not judge return persistence: code scores it in sub-item 3 of this card.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'"moat_source": "brand" | "switching_costs" | "scale" | "network_effect" | "regulation" | "data" | "infrastructure" | "location" | "none"'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location or irreplaceable-asset advantage counts ("location"); a rising market does not.</w:t>
      </w:r>
    </w:p>
    <w:p>
      <w:pPr>
        <w:pStyle w:val="FirstParagraph"/>
      </w:pPr>
      <w:r>
        <w:t xml:space="preserve">The moat answer is reused by the company background (skill #30), so the two never contradict.</w:t>
      </w:r>
    </w:p>
    <w:bookmarkEnd w:id="28"/>
    <w:bookmarkStart w:id="29" w:name="a8-b3.7-q3-ma-value"/>
    <w:p>
      <w:pPr>
        <w:pStyle w:val="Heading3"/>
      </w:pPr>
      <w:r>
        <w:t xml:space="preserve">A8 — B3.7-Q3 · M&amp;A value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B3.7-Q3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C.B3.7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Did M&amp;A create value?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Acquisitions were integrated and generated growth, with no material goodwill impairments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Mixed picture, or too early to judge a large recent acquisition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 goodwill impairments, overpayment, or acquisitions outside the core business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Acquisitions of the last 5 years, their stated results, integration, and any goodwill impairments.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NOTE:business_combinations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NOTE:goodwill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when code finds acquisitions material (Σ acquisitions / Σ FCF ≥ 10%, or Σ FCF ≤ 0 with acquisitions; BANK / INSURANCE on net income)</w:t>
      </w:r>
      <w:r>
        <w:br/>
      </w:r>
      <w:r>
        <w:rPr>
          <w:rStyle w:val="FunctionTok"/>
        </w:rPr>
        <w:t xml:space="preserve">inputs_from_code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acquisitions and goodwill-impairment amounts per year (given as facts, not to be recomputed)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Corporate acquisitions only (mergers, purchases of companies or platforms) — not purchases of individual properties.</w:t>
      </w:r>
    </w:p>
    <w:bookmarkEnd w:id="29"/>
    <w:bookmarkStart w:id="30" w:name="a9-b3.7-q5-management"/>
    <w:p>
      <w:pPr>
        <w:pStyle w:val="Heading3"/>
      </w:pPr>
      <w:r>
        <w:t xml:space="preserve">A9 — B3.7-Q5 · Management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B3.7-Q5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C.B3.7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management transparent, conservative and consistent?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Clear reporting, consistent strategy, no restatements or governance disputes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'Mixed signals: heavy use of "adjusted" metrics, frequent strategy changes'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Restatements, governance problems, aggressive accounting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MD&amp;A tone and consistency, use of non-GAAP metrics, restatements, material weaknesses (Item 9A), governance disputes.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Also consider equity issuance relative to value per share and the use of disposal proceeds.</w:t>
      </w:r>
    </w:p>
    <w:bookmarkEnd w:id="30"/>
    <w:bookmarkStart w:id="31" w:name="a10-b3.8-q6-sustainable-growth"/>
    <w:p>
      <w:pPr>
        <w:pStyle w:val="Heading3"/>
      </w:pPr>
      <w:r>
        <w:t xml:space="preserve">A10 — B3.8-Q6 · Sustainable growth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B3.8-Q6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C.B3.8</w:t>
      </w:r>
      <w:r>
        <w:rPr>
          <w:rStyle w:val="CommentTok"/>
        </w:rPr>
        <w:t xml:space="preserve"> #6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Does the growth look sustainable?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'Clear, durable growth drivers: expanding market, new products, pricing power; not reliant on one-off events'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Growth partly depends on acquisitions, cyclicality or a single product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Growth from one-off events, a shrinking market, or only from acquisitions and debt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growth drivers management describes and whether they are recurring, checked against the actual growth record in FACTS (organic vs acquired where stated).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 and EPS for each of the last 5 years with CAGR; acquisitions per year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Distinguish organic growth (same-property NOI, rents) from acquisition-led and revaluation-led growth.</w:t>
      </w:r>
    </w:p>
    <w:bookmarkEnd w:id="31"/>
    <w:bookmarkStart w:id="32" w:name="a11-g3.1-q3-dependence"/>
    <w:p>
      <w:pPr>
        <w:pStyle w:val="Heading3"/>
      </w:pPr>
      <w:r>
        <w:t xml:space="preserve">A11 — G3.1-Q3 · Dependence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G3.1-Q3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C.G3.1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there a critical dependence on one product, customer or market?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customer above 10% of revenue, and no product or license whose loss would threaten the business; a single reported segment does not by itself reduce the score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customer at 10%–25%, or a central product, but with a significant additional revenue base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customer above 25%, a single product, or dependence on one license or market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Largest customer share (&gt;10% disclosure), largest product or segment, dependence on a license, patent or single market.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-005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'"largest_exposure": {"type": "customer" | "product" | "license" | "market" | "none", "name": "&lt;as stated&gt;", "share_pct": &lt;number or null&gt;}'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2"/>
    <w:bookmarkStart w:id="33" w:name="a12-g3.1-q4-business-position"/>
    <w:p>
      <w:pPr>
        <w:pStyle w:val="Heading3"/>
      </w:pPr>
      <w:r>
        <w:t xml:space="preserve">A12 — G3.1-Q4 · Business position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G3.1-Q4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C.G3.1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Does the company have a proven business position in its industry?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of the central players in its industry or niche, with evidence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mid-sized player with a stable but not prominent position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Young company, development stage, or no longer a significant player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How established the position is — years in the industry, market share or ranking where reported, scale versus competitors, long-standing material customers. Do not judge the direction (gaining or losing): that is A6 (rulebook CL18).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years since the first annual report; latest-year revenue in USD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3"/>
    <w:bookmarkStart w:id="34" w:name="a13-g3.8-q3-one-time-items"/>
    <w:p>
      <w:pPr>
        <w:pStyle w:val="Heading3"/>
      </w:pPr>
      <w:r>
        <w:t xml:space="preserve">A13 — G3.8-Q3 · One-time items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G3.8-Q3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C.G3.8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 reported earnings depend on one-time items?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Immaterial (below ~10% of net income every year)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material item, or recurring "one-time" items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 items in most years, or earnings rely on them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Impairments, restructuring, asset-sale gains, legal settlements and one-off tax items over the last 5 years, and their size relative to net income.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NOTE:income_statement_items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 and TECH_ASSET_LIGHT</w:t>
      </w:r>
      <w:r>
        <w:br/>
      </w:r>
      <w:r>
        <w:rPr>
          <w:rStyle w:val="FunctionTok"/>
        </w:rPr>
        <w:t xml:space="preserve">inputs_from_code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 income for each of the 5 years (given as facts, so the AI judges materiality against them)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'"items": [{"year": &lt;FY&gt;, "description": "&lt;as stated&gt;", "amount": &lt;number or null&gt;}]'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4"/>
    <w:bookmarkStart w:id="35" w:name="a14-g3.3b-q4-loan-diversification-banks"/>
    <w:p>
      <w:pPr>
        <w:pStyle w:val="Heading3"/>
      </w:pPr>
      <w:r>
        <w:t xml:space="preserve">A14 — G3.3B-Q4 · Loan diversification (banks)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G3.3B-Q4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C.G3.3-BANK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 loan book diversified?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Spread across loan types, industries and regions; no dominant exposure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prominent but not dominant exposure to one type, industry or region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dominant exposure (CRE, one industry, region or borrower)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Descriptions of the loan portfolio by type, industry and geography, and any stated concentrations.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NOTE:loans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 only, and only when no numeric loan breakdown is available (D4)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5"/>
    <w:bookmarkEnd w:id="36"/>
    <w:bookmarkStart w:id="37" w:name="what-is-fixed-and-what-is-filled"/>
    <w:p>
      <w:pPr>
        <w:pStyle w:val="Heading2"/>
      </w:pPr>
      <w:r>
        <w:t xml:space="preserve">4. What is fixed and what is filled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Fixed in the skill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by code at call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Question, scale (verbatim from the card), evidence focus, sections, gate, extra output, profile notes,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ticker, fiscal year, profile, filing accession, section text, facts given to the AI (A8, A13)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Versioning:</w:t>
      </w:r>
      <w:r>
        <w:t xml:space="preserve"> </w:t>
      </w:r>
      <w:r>
        <w:t xml:space="preserve">any change to a skill block raises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 stored answers with an older version are recomputed at the next run (R18).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Scoring Skills (A1–A14)</dc:title>
  <dc:creator/>
  <cp:keywords/>
  <dcterms:created xsi:type="dcterms:W3CDTF">2026-10-21T16:28:28Z</dcterms:created>
  <dcterms:modified xsi:type="dcterms:W3CDTF">2026-10-21T16:28:28Z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2026-10-21_19-28 · prompts in English (decision: AI spec §10.2) · for approval</vt:lpwstr>
  </property>
</Properties>
</file>