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ptos" w:hAnsi="Aptos" w:eastAsia="Aptos" w:cs="Aptos"/>
          <w:b/>
          <w:color w:val="1F4E79"/>
          <w:sz w:val="44"/>
        </w:rPr>
        <w:t>Value Investing Scorecards: Buffett and Graham</w:t>
      </w:r>
    </w:p>
    <w:tbl>
      <w:tblPr>
        <w:tblStyle w:val="TableGrid"/>
        <w:tblW w:type="auto" w:w="0"/>
        <w:jc w:val="center"/>
        <w:tblLook w:firstColumn="1" w:firstRow="1" w:lastColumn="0" w:lastRow="0" w:noHBand="0" w:noVBand="1" w:val="04A0"/>
      </w:tblPr>
      <w:tblGrid>
        <w:gridCol w:w="10200"/>
      </w:tblGrid>
      <w:tr>
        <w:tc>
          <w:tcPr>
            <w:tcW w:type="dxa" w:w="10200"/>
            <w:vAlign w:val="center"/>
            <w:shd w:fill="F2F2F2"/>
          </w:tcPr>
          <w:p>
            <w:pPr>
              <w:jc w:val="left"/>
            </w:pPr>
            <w:r/>
            <w:r>
              <w:rPr>
                <w:rFonts w:ascii="Aptos" w:hAnsi="Aptos" w:eastAsia="Aptos" w:cs="Aptos"/>
                <w:b w:val="0"/>
                <w:sz w:val="20"/>
              </w:rPr>
              <w:t>Source note: The scoring models in this document are not official Warren Buffett or Benjamin Graham scorecards. They are practical, investor-built frameworks inspired by their value investing principles, designed for screening, comparison, and consistent investment documentation.</w:t>
            </w:r>
          </w:p>
        </w:tc>
      </w:tr>
    </w:tbl>
    <w:p/>
    <w:p>
      <w:pPr>
        <w:pStyle w:val="Heading1"/>
        <w:spacing w:before="200" w:after="120"/>
      </w:pPr>
      <w:r>
        <w:rPr>
          <w:rFonts w:ascii="Aptos" w:hAnsi="Aptos" w:eastAsia="Aptos" w:cs="Aptos"/>
          <w:b/>
          <w:color w:val="1F4E79"/>
          <w:sz w:val="32"/>
        </w:rPr>
        <w:t>Part A — Buffett Investment Attractiveness Scorecard</w:t>
      </w:r>
    </w:p>
    <w:p>
      <w:pPr>
        <w:pStyle w:val="Heading2"/>
        <w:spacing w:before="200" w:after="120"/>
      </w:pPr>
      <w:r>
        <w:rPr>
          <w:rFonts w:ascii="Aptos" w:hAnsi="Aptos" w:eastAsia="Aptos" w:cs="Aptos"/>
          <w:b/>
          <w:color w:val="1F4E79"/>
          <w:sz w:val="26"/>
        </w:rPr>
        <w:t>1. Explanation of the Scorecard</w:t>
      </w:r>
    </w:p>
    <w:p>
      <w:pPr>
        <w:spacing w:after="120" w:line="259" w:lineRule="auto"/>
        <w:jc w:val="left"/>
      </w:pPr>
      <w:r>
        <w:rPr>
          <w:rFonts w:ascii="Aptos" w:hAnsi="Aptos" w:eastAsia="Aptos" w:cs="Aptos"/>
          <w:b w:val="0"/>
          <w:i w:val="0"/>
          <w:sz w:val="22"/>
        </w:rPr>
        <w:t>The Buffett scorecard evaluates whether a stock fits a Warren Buffett-style value investing approach. It does not ask only whether the stock is cheap. It first asks whether the company is high quality: understandable, profitable, growing, competitively advantaged, conservatively financed, and led by management that allocates capital well.</w:t>
      </w:r>
    </w:p>
    <w:p>
      <w:pPr>
        <w:spacing w:after="120" w:line="259" w:lineRule="auto"/>
        <w:jc w:val="left"/>
      </w:pPr>
      <w:r>
        <w:rPr>
          <w:rFonts w:ascii="Aptos" w:hAnsi="Aptos" w:eastAsia="Aptos" w:cs="Aptos"/>
          <w:b w:val="0"/>
          <w:i w:val="0"/>
          <w:sz w:val="22"/>
        </w:rPr>
        <w:t>The model has two separate parts: a Business and Financial Quality Score out of 100 points, and a Stock Price Versus Fair Value Score out of 10 points, shown alongside the valuation discount or premium in percentage terms.</w:t>
      </w:r>
    </w:p>
    <w:p>
      <w:pPr>
        <w:spacing w:after="120" w:line="259" w:lineRule="auto"/>
        <w:jc w:val="left"/>
      </w:pPr>
      <w:r>
        <w:rPr>
          <w:rFonts w:ascii="Aptos" w:hAnsi="Aptos" w:eastAsia="Aptos" w:cs="Aptos"/>
          <w:b/>
          <w:i w:val="0"/>
          <w:sz w:val="22"/>
        </w:rPr>
        <w:t>Core principle: first evaluate whether this is a high-quality business. Only then evaluate whether the stock price is attractive enough.</w:t>
      </w:r>
    </w:p>
    <w:p>
      <w:pPr>
        <w:pStyle w:val="Heading2"/>
        <w:spacing w:before="200" w:after="120"/>
      </w:pPr>
      <w:r>
        <w:rPr>
          <w:rFonts w:ascii="Aptos" w:hAnsi="Aptos" w:eastAsia="Aptos" w:cs="Aptos"/>
          <w:b/>
          <w:color w:val="1F4E79"/>
          <w:sz w:val="26"/>
        </w:rPr>
        <w:t>2. Business and Financial Quality Score Structure</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Criterion</w:t>
            </w:r>
          </w:p>
        </w:tc>
        <w:tc>
          <w:tcPr>
            <w:tcW w:type="dxa" w:w="5100"/>
            <w:vAlign w:val="center"/>
            <w:shd w:fill="D9EAF7"/>
          </w:tcPr>
          <w:p>
            <w:pPr>
              <w:jc w:val="left"/>
            </w:pPr>
            <w:r/>
            <w:r>
              <w:rPr>
                <w:rFonts w:ascii="Aptos" w:hAnsi="Aptos" w:eastAsia="Aptos" w:cs="Aptos"/>
                <w:b/>
                <w:sz w:val="19"/>
              </w:rPr>
              <w:t>Weight</w:t>
            </w:r>
          </w:p>
        </w:tc>
      </w:tr>
      <w:tr>
        <w:tc>
          <w:tcPr>
            <w:tcW w:type="dxa" w:w="5100"/>
            <w:vAlign w:val="center"/>
          </w:tcPr>
          <w:p>
            <w:pPr>
              <w:jc w:val="left"/>
            </w:pPr>
            <w:r/>
            <w:r>
              <w:rPr>
                <w:rFonts w:ascii="Aptos" w:hAnsi="Aptos" w:eastAsia="Aptos" w:cs="Aptos"/>
                <w:b w:val="0"/>
                <w:sz w:val="19"/>
              </w:rPr>
              <w:t>Simple and understandable business</w:t>
            </w:r>
          </w:p>
        </w:tc>
        <w:tc>
          <w:tcPr>
            <w:tcW w:type="dxa" w:w="5100"/>
            <w:vAlign w:val="center"/>
          </w:tcPr>
          <w:p>
            <w:pPr>
              <w:jc w:val="left"/>
            </w:pPr>
            <w:r/>
            <w:r>
              <w:rPr>
                <w:rFonts w:ascii="Aptos" w:hAnsi="Aptos" w:eastAsia="Aptos" w:cs="Aptos"/>
                <w:b w:val="0"/>
                <w:sz w:val="19"/>
              </w:rPr>
              <w:t>10</w:t>
            </w:r>
          </w:p>
        </w:tc>
      </w:tr>
      <w:tr>
        <w:tc>
          <w:tcPr>
            <w:tcW w:type="dxa" w:w="5100"/>
            <w:vAlign w:val="center"/>
          </w:tcPr>
          <w:p>
            <w:pPr>
              <w:jc w:val="left"/>
            </w:pPr>
            <w:r/>
            <w:r>
              <w:rPr>
                <w:rFonts w:ascii="Aptos" w:hAnsi="Aptos" w:eastAsia="Aptos" w:cs="Aptos"/>
                <w:b w:val="0"/>
                <w:sz w:val="19"/>
              </w:rPr>
              <w:t>Competitive advantage — moat</w:t>
            </w:r>
          </w:p>
        </w:tc>
        <w:tc>
          <w:tcPr>
            <w:tcW w:type="dxa" w:w="5100"/>
            <w:vAlign w:val="center"/>
          </w:tcPr>
          <w:p>
            <w:pPr>
              <w:jc w:val="left"/>
            </w:pPr>
            <w:r/>
            <w:r>
              <w:rPr>
                <w:rFonts w:ascii="Aptos" w:hAnsi="Aptos" w:eastAsia="Aptos" w:cs="Aptos"/>
                <w:b w:val="0"/>
                <w:sz w:val="19"/>
              </w:rPr>
              <w:t>10</w:t>
            </w:r>
          </w:p>
        </w:tc>
      </w:tr>
      <w:tr>
        <w:tc>
          <w:tcPr>
            <w:tcW w:type="dxa" w:w="5100"/>
            <w:vAlign w:val="center"/>
          </w:tcPr>
          <w:p>
            <w:pPr>
              <w:jc w:val="left"/>
            </w:pPr>
            <w:r/>
            <w:r>
              <w:rPr>
                <w:rFonts w:ascii="Aptos" w:hAnsi="Aptos" w:eastAsia="Aptos" w:cs="Aptos"/>
                <w:b w:val="0"/>
                <w:sz w:val="19"/>
              </w:rPr>
              <w:t>Consistent profitability</w:t>
            </w:r>
          </w:p>
        </w:tc>
        <w:tc>
          <w:tcPr>
            <w:tcW w:type="dxa" w:w="5100"/>
            <w:vAlign w:val="center"/>
          </w:tcPr>
          <w:p>
            <w:pPr>
              <w:jc w:val="left"/>
            </w:pPr>
            <w:r/>
            <w:r>
              <w:rPr>
                <w:rFonts w:ascii="Aptos" w:hAnsi="Aptos" w:eastAsia="Aptos" w:cs="Aptos"/>
                <w:b w:val="0"/>
                <w:sz w:val="19"/>
              </w:rPr>
              <w:t>15</w:t>
            </w:r>
          </w:p>
        </w:tc>
      </w:tr>
      <w:tr>
        <w:tc>
          <w:tcPr>
            <w:tcW w:type="dxa" w:w="5100"/>
            <w:vAlign w:val="center"/>
          </w:tcPr>
          <w:p>
            <w:pPr>
              <w:jc w:val="left"/>
            </w:pPr>
            <w:r/>
            <w:r>
              <w:rPr>
                <w:rFonts w:ascii="Aptos" w:hAnsi="Aptos" w:eastAsia="Aptos" w:cs="Aptos"/>
                <w:b w:val="0"/>
                <w:sz w:val="19"/>
              </w:rPr>
              <w:t>High return on capital</w:t>
            </w:r>
          </w:p>
        </w:tc>
        <w:tc>
          <w:tcPr>
            <w:tcW w:type="dxa" w:w="5100"/>
            <w:vAlign w:val="center"/>
          </w:tcPr>
          <w:p>
            <w:pPr>
              <w:jc w:val="left"/>
            </w:pPr>
            <w:r/>
            <w:r>
              <w:rPr>
                <w:rFonts w:ascii="Aptos" w:hAnsi="Aptos" w:eastAsia="Aptos" w:cs="Aptos"/>
                <w:b w:val="0"/>
                <w:sz w:val="19"/>
              </w:rPr>
              <w:t>15</w:t>
            </w:r>
          </w:p>
        </w:tc>
      </w:tr>
      <w:tr>
        <w:tc>
          <w:tcPr>
            <w:tcW w:type="dxa" w:w="5100"/>
            <w:vAlign w:val="center"/>
          </w:tcPr>
          <w:p>
            <w:pPr>
              <w:jc w:val="left"/>
            </w:pPr>
            <w:r/>
            <w:r>
              <w:rPr>
                <w:rFonts w:ascii="Aptos" w:hAnsi="Aptos" w:eastAsia="Aptos" w:cs="Aptos"/>
                <w:b w:val="0"/>
                <w:sz w:val="19"/>
              </w:rPr>
              <w:t>Free cash flow / owner earnings</w:t>
            </w:r>
          </w:p>
        </w:tc>
        <w:tc>
          <w:tcPr>
            <w:tcW w:type="dxa" w:w="5100"/>
            <w:vAlign w:val="center"/>
          </w:tcPr>
          <w:p>
            <w:pPr>
              <w:jc w:val="left"/>
            </w:pPr>
            <w:r/>
            <w:r>
              <w:rPr>
                <w:rFonts w:ascii="Aptos" w:hAnsi="Aptos" w:eastAsia="Aptos" w:cs="Aptos"/>
                <w:b w:val="0"/>
                <w:sz w:val="19"/>
              </w:rPr>
              <w:t>15</w:t>
            </w:r>
          </w:p>
        </w:tc>
      </w:tr>
      <w:tr>
        <w:tc>
          <w:tcPr>
            <w:tcW w:type="dxa" w:w="5100"/>
            <w:vAlign w:val="center"/>
          </w:tcPr>
          <w:p>
            <w:pPr>
              <w:jc w:val="left"/>
            </w:pPr>
            <w:r/>
            <w:r>
              <w:rPr>
                <w:rFonts w:ascii="Aptos" w:hAnsi="Aptos" w:eastAsia="Aptos" w:cs="Aptos"/>
                <w:b w:val="0"/>
                <w:sz w:val="19"/>
              </w:rPr>
              <w:t>Strong balance sheet and reasonable debt</w:t>
            </w:r>
          </w:p>
        </w:tc>
        <w:tc>
          <w:tcPr>
            <w:tcW w:type="dxa" w:w="5100"/>
            <w:vAlign w:val="center"/>
          </w:tcPr>
          <w:p>
            <w:pPr>
              <w:jc w:val="left"/>
            </w:pPr>
            <w:r/>
            <w:r>
              <w:rPr>
                <w:rFonts w:ascii="Aptos" w:hAnsi="Aptos" w:eastAsia="Aptos" w:cs="Aptos"/>
                <w:b w:val="0"/>
                <w:sz w:val="19"/>
              </w:rPr>
              <w:t>10</w:t>
            </w:r>
          </w:p>
        </w:tc>
      </w:tr>
      <w:tr>
        <w:tc>
          <w:tcPr>
            <w:tcW w:type="dxa" w:w="5100"/>
            <w:vAlign w:val="center"/>
          </w:tcPr>
          <w:p>
            <w:pPr>
              <w:jc w:val="left"/>
            </w:pPr>
            <w:r/>
            <w:r>
              <w:rPr>
                <w:rFonts w:ascii="Aptos" w:hAnsi="Aptos" w:eastAsia="Aptos" w:cs="Aptos"/>
                <w:b w:val="0"/>
                <w:sz w:val="19"/>
              </w:rPr>
              <w:t>Management and capital allocation</w:t>
            </w:r>
          </w:p>
        </w:tc>
        <w:tc>
          <w:tcPr>
            <w:tcW w:type="dxa" w:w="5100"/>
            <w:vAlign w:val="center"/>
          </w:tcPr>
          <w:p>
            <w:pPr>
              <w:jc w:val="left"/>
            </w:pPr>
            <w:r/>
            <w:r>
              <w:rPr>
                <w:rFonts w:ascii="Aptos" w:hAnsi="Aptos" w:eastAsia="Aptos" w:cs="Aptos"/>
                <w:b w:val="0"/>
                <w:sz w:val="19"/>
              </w:rPr>
              <w:t>10</w:t>
            </w:r>
          </w:p>
        </w:tc>
      </w:tr>
      <w:tr>
        <w:tc>
          <w:tcPr>
            <w:tcW w:type="dxa" w:w="5100"/>
            <w:vAlign w:val="center"/>
          </w:tcPr>
          <w:p>
            <w:pPr>
              <w:jc w:val="left"/>
            </w:pPr>
            <w:r/>
            <w:r>
              <w:rPr>
                <w:rFonts w:ascii="Aptos" w:hAnsi="Aptos" w:eastAsia="Aptos" w:cs="Aptos"/>
                <w:b w:val="0"/>
                <w:sz w:val="19"/>
              </w:rPr>
              <w:t>High-quality and sustainable growth</w:t>
            </w:r>
          </w:p>
        </w:tc>
        <w:tc>
          <w:tcPr>
            <w:tcW w:type="dxa" w:w="5100"/>
            <w:vAlign w:val="center"/>
          </w:tcPr>
          <w:p>
            <w:pPr>
              <w:jc w:val="left"/>
            </w:pPr>
            <w:r/>
            <w:r>
              <w:rPr>
                <w:rFonts w:ascii="Aptos" w:hAnsi="Aptos" w:eastAsia="Aptos" w:cs="Aptos"/>
                <w:b w:val="0"/>
                <w:sz w:val="19"/>
              </w:rPr>
              <w:t>15</w:t>
            </w:r>
          </w:p>
        </w:tc>
      </w:tr>
      <w:tr>
        <w:tc>
          <w:tcPr>
            <w:tcW w:type="dxa" w:w="5100"/>
            <w:vAlign w:val="center"/>
          </w:tcPr>
          <w:p>
            <w:pPr>
              <w:jc w:val="left"/>
            </w:pPr>
            <w:r/>
            <w:r>
              <w:rPr>
                <w:rFonts w:ascii="Aptos" w:hAnsi="Aptos" w:eastAsia="Aptos" w:cs="Aptos"/>
                <w:b w:val="0"/>
                <w:sz w:val="19"/>
              </w:rPr>
              <w:t>Total</w:t>
            </w:r>
          </w:p>
        </w:tc>
        <w:tc>
          <w:tcPr>
            <w:tcW w:type="dxa" w:w="5100"/>
            <w:vAlign w:val="center"/>
          </w:tcPr>
          <w:p>
            <w:pPr>
              <w:jc w:val="left"/>
            </w:pPr>
            <w:r/>
            <w:r>
              <w:rPr>
                <w:rFonts w:ascii="Aptos" w:hAnsi="Aptos" w:eastAsia="Aptos" w:cs="Aptos"/>
                <w:b w:val="0"/>
                <w:sz w:val="19"/>
              </w:rPr>
              <w:t>100</w:t>
            </w:r>
          </w:p>
        </w:tc>
      </w:tr>
    </w:tbl>
    <w:p/>
    <w:p>
      <w:pPr>
        <w:spacing w:after="120" w:line="259" w:lineRule="auto"/>
        <w:jc w:val="left"/>
      </w:pPr>
      <w:r>
        <w:rPr>
          <w:rFonts w:ascii="Aptos" w:hAnsi="Aptos" w:eastAsia="Aptos" w:cs="Aptos"/>
          <w:b w:val="0"/>
          <w:i w:val="0"/>
          <w:sz w:val="22"/>
        </w:rPr>
        <w:t>This score evaluates the company itself, regardless of the current share price. A company can receive a high quality score even when the stock is too expensive to buy now.</w:t>
      </w:r>
    </w:p>
    <w:p>
      <w:pPr>
        <w:pStyle w:val="Heading2"/>
        <w:spacing w:before="200" w:after="120"/>
      </w:pPr>
      <w:r>
        <w:rPr>
          <w:rFonts w:ascii="Aptos" w:hAnsi="Aptos" w:eastAsia="Aptos" w:cs="Aptos"/>
          <w:b/>
          <w:color w:val="1F4E79"/>
          <w:sz w:val="26"/>
        </w:rPr>
        <w:t>3. Business Criteria in the Scorecard</w:t>
      </w:r>
    </w:p>
    <w:p>
      <w:pPr>
        <w:pStyle w:val="Heading3"/>
        <w:spacing w:before="200" w:after="120"/>
      </w:pPr>
      <w:r>
        <w:rPr>
          <w:rFonts w:ascii="Aptos" w:hAnsi="Aptos" w:eastAsia="Aptos" w:cs="Aptos"/>
          <w:b/>
          <w:color w:val="000000"/>
          <w:sz w:val="23"/>
        </w:rPr>
        <w:t>3.1 Simple and Understandable Business — 10 points</w:t>
      </w:r>
    </w:p>
    <w:p>
      <w:pPr>
        <w:spacing w:after="120" w:line="259" w:lineRule="auto"/>
        <w:jc w:val="left"/>
      </w:pPr>
      <w:r>
        <w:rPr>
          <w:rFonts w:ascii="Aptos" w:hAnsi="Aptos" w:eastAsia="Aptos" w:cs="Aptos"/>
          <w:b w:val="0"/>
          <w:i w:val="0"/>
          <w:sz w:val="22"/>
        </w:rPr>
        <w:t>Explanation: This criterion evaluates whether it is clear how the company makes money: what it sells, who its customers are, how revenue is generated, and what the key risks are.</w:t>
      </w:r>
    </w:p>
    <w:p>
      <w:pPr>
        <w:spacing w:after="120" w:line="259" w:lineRule="auto"/>
        <w:jc w:val="left"/>
      </w:pPr>
      <w:r>
        <w:rPr>
          <w:rFonts w:ascii="Aptos" w:hAnsi="Aptos" w:eastAsia="Aptos" w:cs="Aptos"/>
          <w:b/>
          <w:i w:val="0"/>
          <w:sz w:val="22"/>
        </w:rPr>
        <w:t>How to calculate the criterion:</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Question</w:t>
            </w:r>
          </w:p>
        </w:tc>
        <w:tc>
          <w:tcPr>
            <w:tcW w:type="dxa" w:w="5100"/>
            <w:vAlign w:val="center"/>
            <w:shd w:fill="D9EAF7"/>
          </w:tcPr>
          <w:p>
            <w:pPr>
              <w:jc w:val="left"/>
            </w:pPr>
            <w:r/>
            <w:r>
              <w:rPr>
                <w:rFonts w:ascii="Aptos" w:hAnsi="Aptos" w:eastAsia="Aptos" w:cs="Aptos"/>
                <w:b/>
                <w:sz w:val="19"/>
              </w:rPr>
              <w:t>Desired answer</w:t>
            </w:r>
          </w:p>
        </w:tc>
      </w:tr>
      <w:tr>
        <w:tc>
          <w:tcPr>
            <w:tcW w:type="dxa" w:w="5100"/>
            <w:vAlign w:val="center"/>
          </w:tcPr>
          <w:p>
            <w:pPr>
              <w:jc w:val="left"/>
            </w:pPr>
            <w:r/>
            <w:r>
              <w:rPr>
                <w:rFonts w:ascii="Aptos" w:hAnsi="Aptos" w:eastAsia="Aptos" w:cs="Aptos"/>
                <w:b w:val="0"/>
                <w:sz w:val="19"/>
              </w:rPr>
              <w:t>Is it clear what the company sells?</w:t>
            </w:r>
          </w:p>
        </w:tc>
        <w:tc>
          <w:tcPr>
            <w:tcW w:type="dxa" w:w="5100"/>
            <w:vAlign w:val="center"/>
          </w:tcPr>
          <w:p>
            <w:pPr>
              <w:jc w:val="left"/>
            </w:pPr>
            <w:r/>
            <w:r>
              <w:rPr>
                <w:rFonts w:ascii="Aptos" w:hAnsi="Aptos" w:eastAsia="Aptos" w:cs="Aptos"/>
                <w:b w:val="0"/>
                <w:sz w:val="19"/>
              </w:rPr>
              <w:t>Yes</w:t>
            </w:r>
          </w:p>
        </w:tc>
      </w:tr>
      <w:tr>
        <w:tc>
          <w:tcPr>
            <w:tcW w:type="dxa" w:w="5100"/>
            <w:vAlign w:val="center"/>
          </w:tcPr>
          <w:p>
            <w:pPr>
              <w:jc w:val="left"/>
            </w:pPr>
            <w:r/>
            <w:r>
              <w:rPr>
                <w:rFonts w:ascii="Aptos" w:hAnsi="Aptos" w:eastAsia="Aptos" w:cs="Aptos"/>
                <w:b w:val="0"/>
                <w:sz w:val="19"/>
              </w:rPr>
              <w:t>Is it clear who the customers are?</w:t>
            </w:r>
          </w:p>
        </w:tc>
        <w:tc>
          <w:tcPr>
            <w:tcW w:type="dxa" w:w="5100"/>
            <w:vAlign w:val="center"/>
          </w:tcPr>
          <w:p>
            <w:pPr>
              <w:jc w:val="left"/>
            </w:pPr>
            <w:r/>
            <w:r>
              <w:rPr>
                <w:rFonts w:ascii="Aptos" w:hAnsi="Aptos" w:eastAsia="Aptos" w:cs="Aptos"/>
                <w:b w:val="0"/>
                <w:sz w:val="19"/>
              </w:rPr>
              <w:t>Yes</w:t>
            </w:r>
          </w:p>
        </w:tc>
      </w:tr>
      <w:tr>
        <w:tc>
          <w:tcPr>
            <w:tcW w:type="dxa" w:w="5100"/>
            <w:vAlign w:val="center"/>
          </w:tcPr>
          <w:p>
            <w:pPr>
              <w:jc w:val="left"/>
            </w:pPr>
            <w:r/>
            <w:r>
              <w:rPr>
                <w:rFonts w:ascii="Aptos" w:hAnsi="Aptos" w:eastAsia="Aptos" w:cs="Aptos"/>
                <w:b w:val="0"/>
                <w:sz w:val="19"/>
              </w:rPr>
              <w:t>Are the revenue sources easy to understand?</w:t>
            </w:r>
          </w:p>
        </w:tc>
        <w:tc>
          <w:tcPr>
            <w:tcW w:type="dxa" w:w="5100"/>
            <w:vAlign w:val="center"/>
          </w:tcPr>
          <w:p>
            <w:pPr>
              <w:jc w:val="left"/>
            </w:pPr>
            <w:r/>
            <w:r>
              <w:rPr>
                <w:rFonts w:ascii="Aptos" w:hAnsi="Aptos" w:eastAsia="Aptos" w:cs="Aptos"/>
                <w:b w:val="0"/>
                <w:sz w:val="19"/>
              </w:rPr>
              <w:t>Yes</w:t>
            </w:r>
          </w:p>
        </w:tc>
      </w:tr>
      <w:tr>
        <w:tc>
          <w:tcPr>
            <w:tcW w:type="dxa" w:w="5100"/>
            <w:vAlign w:val="center"/>
          </w:tcPr>
          <w:p>
            <w:pPr>
              <w:jc w:val="left"/>
            </w:pPr>
            <w:r/>
            <w:r>
              <w:rPr>
                <w:rFonts w:ascii="Aptos" w:hAnsi="Aptos" w:eastAsia="Aptos" w:cs="Aptos"/>
                <w:b w:val="0"/>
                <w:sz w:val="19"/>
              </w:rPr>
              <w:t>Are the key risks clear?</w:t>
            </w:r>
          </w:p>
        </w:tc>
        <w:tc>
          <w:tcPr>
            <w:tcW w:type="dxa" w:w="5100"/>
            <w:vAlign w:val="center"/>
          </w:tcPr>
          <w:p>
            <w:pPr>
              <w:jc w:val="left"/>
            </w:pPr>
            <w:r/>
            <w:r>
              <w:rPr>
                <w:rFonts w:ascii="Aptos" w:hAnsi="Aptos" w:eastAsia="Aptos" w:cs="Aptos"/>
                <w:b w:val="0"/>
                <w:sz w:val="19"/>
              </w:rPr>
              <w:t>Yes</w:t>
            </w:r>
          </w:p>
        </w:tc>
      </w:tr>
      <w:tr>
        <w:tc>
          <w:tcPr>
            <w:tcW w:type="dxa" w:w="5100"/>
            <w:vAlign w:val="center"/>
          </w:tcPr>
          <w:p>
            <w:pPr>
              <w:jc w:val="left"/>
            </w:pPr>
            <w:r/>
            <w:r>
              <w:rPr>
                <w:rFonts w:ascii="Aptos" w:hAnsi="Aptos" w:eastAsia="Aptos" w:cs="Aptos"/>
                <w:b w:val="0"/>
                <w:sz w:val="19"/>
              </w:rPr>
              <w:t>Can the business be explained in one sentence?</w:t>
            </w:r>
          </w:p>
        </w:tc>
        <w:tc>
          <w:tcPr>
            <w:tcW w:type="dxa" w:w="5100"/>
            <w:vAlign w:val="center"/>
          </w:tcPr>
          <w:p>
            <w:pPr>
              <w:jc w:val="left"/>
            </w:pPr>
            <w:r/>
            <w:r>
              <w:rPr>
                <w:rFonts w:ascii="Aptos" w:hAnsi="Aptos" w:eastAsia="Aptos" w:cs="Aptos"/>
                <w:b w:val="0"/>
                <w:sz w:val="19"/>
              </w:rPr>
              <w:t>Yes</w:t>
            </w:r>
          </w:p>
        </w:tc>
      </w:tr>
    </w:tbl>
    <w:p/>
    <w:p>
      <w:pPr>
        <w:spacing w:after="120" w:line="259" w:lineRule="auto"/>
        <w:jc w:val="left"/>
      </w:pPr>
      <w:r>
        <w:rPr>
          <w:rFonts w:ascii="Aptos" w:hAnsi="Aptos" w:eastAsia="Aptos" w:cs="Aptos"/>
          <w:b/>
          <w:i w:val="0"/>
          <w:sz w:val="22"/>
        </w:rPr>
        <w:t>Scoring method:</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Situation</w:t>
            </w:r>
          </w:p>
        </w:tc>
        <w:tc>
          <w:tcPr>
            <w:tcW w:type="dxa" w:w="5100"/>
            <w:vAlign w:val="center"/>
            <w:shd w:fill="D9EAF7"/>
          </w:tcPr>
          <w:p>
            <w:pPr>
              <w:jc w:val="left"/>
            </w:pPr>
            <w:r/>
            <w:r>
              <w:rPr>
                <w:rFonts w:ascii="Aptos" w:hAnsi="Aptos" w:eastAsia="Aptos" w:cs="Aptos"/>
                <w:b/>
                <w:sz w:val="19"/>
              </w:rPr>
              <w:t>Score</w:t>
            </w:r>
          </w:p>
        </w:tc>
      </w:tr>
      <w:tr>
        <w:tc>
          <w:tcPr>
            <w:tcW w:type="dxa" w:w="5100"/>
            <w:vAlign w:val="center"/>
          </w:tcPr>
          <w:p>
            <w:pPr>
              <w:jc w:val="left"/>
            </w:pPr>
            <w:r/>
            <w:r>
              <w:rPr>
                <w:rFonts w:ascii="Aptos" w:hAnsi="Aptos" w:eastAsia="Aptos" w:cs="Aptos"/>
                <w:b w:val="0"/>
                <w:sz w:val="19"/>
              </w:rPr>
              <w:t>Very complex business, hard to understand</w:t>
            </w:r>
          </w:p>
        </w:tc>
        <w:tc>
          <w:tcPr>
            <w:tcW w:type="dxa" w:w="5100"/>
            <w:vAlign w:val="center"/>
          </w:tcPr>
          <w:p>
            <w:pPr>
              <w:jc w:val="left"/>
            </w:pPr>
            <w:r/>
            <w:r>
              <w:rPr>
                <w:rFonts w:ascii="Aptos" w:hAnsi="Aptos" w:eastAsia="Aptos" w:cs="Aptos"/>
                <w:b w:val="0"/>
                <w:sz w:val="19"/>
              </w:rPr>
              <w:t>0–3</w:t>
            </w:r>
          </w:p>
        </w:tc>
      </w:tr>
      <w:tr>
        <w:tc>
          <w:tcPr>
            <w:tcW w:type="dxa" w:w="5100"/>
            <w:vAlign w:val="center"/>
          </w:tcPr>
          <w:p>
            <w:pPr>
              <w:jc w:val="left"/>
            </w:pPr>
            <w:r/>
            <w:r>
              <w:rPr>
                <w:rFonts w:ascii="Aptos" w:hAnsi="Aptos" w:eastAsia="Aptos" w:cs="Aptos"/>
                <w:b w:val="0"/>
                <w:sz w:val="19"/>
              </w:rPr>
              <w:t>Partly understandable but still complex</w:t>
            </w:r>
          </w:p>
        </w:tc>
        <w:tc>
          <w:tcPr>
            <w:tcW w:type="dxa" w:w="5100"/>
            <w:vAlign w:val="center"/>
          </w:tcPr>
          <w:p>
            <w:pPr>
              <w:jc w:val="left"/>
            </w:pPr>
            <w:r/>
            <w:r>
              <w:rPr>
                <w:rFonts w:ascii="Aptos" w:hAnsi="Aptos" w:eastAsia="Aptos" w:cs="Aptos"/>
                <w:b w:val="0"/>
                <w:sz w:val="19"/>
              </w:rPr>
              <w:t>4–7</w:t>
            </w:r>
          </w:p>
        </w:tc>
      </w:tr>
      <w:tr>
        <w:tc>
          <w:tcPr>
            <w:tcW w:type="dxa" w:w="5100"/>
            <w:vAlign w:val="center"/>
          </w:tcPr>
          <w:p>
            <w:pPr>
              <w:jc w:val="left"/>
            </w:pPr>
            <w:r/>
            <w:r>
              <w:rPr>
                <w:rFonts w:ascii="Aptos" w:hAnsi="Aptos" w:eastAsia="Aptos" w:cs="Aptos"/>
                <w:b w:val="0"/>
                <w:sz w:val="19"/>
              </w:rPr>
              <w:t>Simple, clear, and easy to explain</w:t>
            </w:r>
          </w:p>
        </w:tc>
        <w:tc>
          <w:tcPr>
            <w:tcW w:type="dxa" w:w="5100"/>
            <w:vAlign w:val="center"/>
          </w:tcPr>
          <w:p>
            <w:pPr>
              <w:jc w:val="left"/>
            </w:pPr>
            <w:r/>
            <w:r>
              <w:rPr>
                <w:rFonts w:ascii="Aptos" w:hAnsi="Aptos" w:eastAsia="Aptos" w:cs="Aptos"/>
                <w:b w:val="0"/>
                <w:sz w:val="19"/>
              </w:rPr>
              <w:t>8–10</w:t>
            </w:r>
          </w:p>
        </w:tc>
      </w:tr>
    </w:tbl>
    <w:p/>
    <w:p>
      <w:pPr>
        <w:pStyle w:val="Heading3"/>
        <w:spacing w:before="200" w:after="120"/>
      </w:pPr>
      <w:r>
        <w:rPr>
          <w:rFonts w:ascii="Aptos" w:hAnsi="Aptos" w:eastAsia="Aptos" w:cs="Aptos"/>
          <w:b/>
          <w:color w:val="000000"/>
          <w:sz w:val="23"/>
        </w:rPr>
        <w:t>3.2 Competitive Advantage — Moat — 10 points</w:t>
      </w:r>
    </w:p>
    <w:p>
      <w:pPr>
        <w:spacing w:after="120" w:line="259" w:lineRule="auto"/>
        <w:jc w:val="left"/>
      </w:pPr>
      <w:r>
        <w:rPr>
          <w:rFonts w:ascii="Aptos" w:hAnsi="Aptos" w:eastAsia="Aptos" w:cs="Aptos"/>
          <w:b w:val="0"/>
          <w:i w:val="0"/>
          <w:sz w:val="22"/>
        </w:rPr>
        <w:t>Explanation: A moat is the company’s ability to protect profitability, market position, and business strength over time despite competition. It may come from brand, switching costs, scale, cost advantage, network effects, regulation, data, or hard-to-replicate infrastructure.</w:t>
      </w:r>
    </w:p>
    <w:p>
      <w:pPr>
        <w:spacing w:after="120" w:line="259" w:lineRule="auto"/>
        <w:jc w:val="left"/>
      </w:pPr>
      <w:r>
        <w:rPr>
          <w:rFonts w:ascii="Aptos" w:hAnsi="Aptos" w:eastAsia="Aptos" w:cs="Aptos"/>
          <w:b/>
          <w:i w:val="0"/>
          <w:sz w:val="22"/>
        </w:rPr>
        <w:t>How to calculate the criterion:</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Signal</w:t>
            </w:r>
          </w:p>
        </w:tc>
        <w:tc>
          <w:tcPr>
            <w:tcW w:type="dxa" w:w="5100"/>
            <w:vAlign w:val="center"/>
            <w:shd w:fill="D9EAF7"/>
          </w:tcPr>
          <w:p>
            <w:pPr>
              <w:jc w:val="left"/>
            </w:pPr>
            <w:r/>
            <w:r>
              <w:rPr>
                <w:rFonts w:ascii="Aptos" w:hAnsi="Aptos" w:eastAsia="Aptos" w:cs="Aptos"/>
                <w:b/>
                <w:sz w:val="19"/>
              </w:rPr>
              <w:t>Maximum score</w:t>
            </w:r>
          </w:p>
        </w:tc>
      </w:tr>
      <w:tr>
        <w:tc>
          <w:tcPr>
            <w:tcW w:type="dxa" w:w="5100"/>
            <w:vAlign w:val="center"/>
          </w:tcPr>
          <w:p>
            <w:pPr>
              <w:jc w:val="left"/>
            </w:pPr>
            <w:r/>
            <w:r>
              <w:rPr>
                <w:rFonts w:ascii="Aptos" w:hAnsi="Aptos" w:eastAsia="Aptos" w:cs="Aptos"/>
                <w:b w:val="0"/>
                <w:sz w:val="19"/>
              </w:rPr>
              <w:t>High and stable gross margin</w:t>
            </w:r>
          </w:p>
        </w:tc>
        <w:tc>
          <w:tcPr>
            <w:tcW w:type="dxa" w:w="5100"/>
            <w:vAlign w:val="center"/>
          </w:tcPr>
          <w:p>
            <w:pPr>
              <w:jc w:val="left"/>
            </w:pPr>
            <w:r/>
            <w:r>
              <w:rPr>
                <w:rFonts w:ascii="Aptos" w:hAnsi="Aptos" w:eastAsia="Aptos" w:cs="Aptos"/>
                <w:b w:val="0"/>
                <w:sz w:val="19"/>
              </w:rPr>
              <w:t>2.5</w:t>
            </w:r>
          </w:p>
        </w:tc>
      </w:tr>
      <w:tr>
        <w:tc>
          <w:tcPr>
            <w:tcW w:type="dxa" w:w="5100"/>
            <w:vAlign w:val="center"/>
          </w:tcPr>
          <w:p>
            <w:pPr>
              <w:jc w:val="left"/>
            </w:pPr>
            <w:r/>
            <w:r>
              <w:rPr>
                <w:rFonts w:ascii="Aptos" w:hAnsi="Aptos" w:eastAsia="Aptos" w:cs="Aptos"/>
                <w:b w:val="0"/>
                <w:sz w:val="19"/>
              </w:rPr>
              <w:t>Stable operating margin</w:t>
            </w:r>
          </w:p>
        </w:tc>
        <w:tc>
          <w:tcPr>
            <w:tcW w:type="dxa" w:w="5100"/>
            <w:vAlign w:val="center"/>
          </w:tcPr>
          <w:p>
            <w:pPr>
              <w:jc w:val="left"/>
            </w:pPr>
            <w:r/>
            <w:r>
              <w:rPr>
                <w:rFonts w:ascii="Aptos" w:hAnsi="Aptos" w:eastAsia="Aptos" w:cs="Aptos"/>
                <w:b w:val="0"/>
                <w:sz w:val="19"/>
              </w:rPr>
              <w:t>2.5</w:t>
            </w:r>
          </w:p>
        </w:tc>
      </w:tr>
      <w:tr>
        <w:tc>
          <w:tcPr>
            <w:tcW w:type="dxa" w:w="5100"/>
            <w:vAlign w:val="center"/>
          </w:tcPr>
          <w:p>
            <w:pPr>
              <w:jc w:val="left"/>
            </w:pPr>
            <w:r/>
            <w:r>
              <w:rPr>
                <w:rFonts w:ascii="Aptos" w:hAnsi="Aptos" w:eastAsia="Aptos" w:cs="Aptos"/>
                <w:b w:val="0"/>
                <w:sz w:val="19"/>
              </w:rPr>
              <w:t>High and persistent ROIC</w:t>
            </w:r>
          </w:p>
        </w:tc>
        <w:tc>
          <w:tcPr>
            <w:tcW w:type="dxa" w:w="5100"/>
            <w:vAlign w:val="center"/>
          </w:tcPr>
          <w:p>
            <w:pPr>
              <w:jc w:val="left"/>
            </w:pPr>
            <w:r/>
            <w:r>
              <w:rPr>
                <w:rFonts w:ascii="Aptos" w:hAnsi="Aptos" w:eastAsia="Aptos" w:cs="Aptos"/>
                <w:b w:val="0"/>
                <w:sz w:val="19"/>
              </w:rPr>
              <w:t>2</w:t>
            </w:r>
          </w:p>
        </w:tc>
      </w:tr>
      <w:tr>
        <w:tc>
          <w:tcPr>
            <w:tcW w:type="dxa" w:w="5100"/>
            <w:vAlign w:val="center"/>
          </w:tcPr>
          <w:p>
            <w:pPr>
              <w:jc w:val="left"/>
            </w:pPr>
            <w:r/>
            <w:r>
              <w:rPr>
                <w:rFonts w:ascii="Aptos" w:hAnsi="Aptos" w:eastAsia="Aptos" w:cs="Aptos"/>
                <w:b w:val="0"/>
                <w:sz w:val="19"/>
              </w:rPr>
              <w:t>Stable market share or competitive position</w:t>
            </w:r>
          </w:p>
        </w:tc>
        <w:tc>
          <w:tcPr>
            <w:tcW w:type="dxa" w:w="5100"/>
            <w:vAlign w:val="center"/>
          </w:tcPr>
          <w:p>
            <w:pPr>
              <w:jc w:val="left"/>
            </w:pPr>
            <w:r/>
            <w:r>
              <w:rPr>
                <w:rFonts w:ascii="Aptos" w:hAnsi="Aptos" w:eastAsia="Aptos" w:cs="Aptos"/>
                <w:b w:val="0"/>
                <w:sz w:val="19"/>
              </w:rPr>
              <w:t>2</w:t>
            </w:r>
          </w:p>
        </w:tc>
      </w:tr>
      <w:tr>
        <w:tc>
          <w:tcPr>
            <w:tcW w:type="dxa" w:w="5100"/>
            <w:vAlign w:val="center"/>
          </w:tcPr>
          <w:p>
            <w:pPr>
              <w:jc w:val="left"/>
            </w:pPr>
            <w:r/>
            <w:r>
              <w:rPr>
                <w:rFonts w:ascii="Aptos" w:hAnsi="Aptos" w:eastAsia="Aptos" w:cs="Aptos"/>
                <w:b w:val="0"/>
                <w:sz w:val="19"/>
              </w:rPr>
              <w:t>Clear and explainable moat</w:t>
            </w:r>
          </w:p>
        </w:tc>
        <w:tc>
          <w:tcPr>
            <w:tcW w:type="dxa" w:w="5100"/>
            <w:vAlign w:val="center"/>
          </w:tcPr>
          <w:p>
            <w:pPr>
              <w:jc w:val="left"/>
            </w:pPr>
            <w:r/>
            <w:r>
              <w:rPr>
                <w:rFonts w:ascii="Aptos" w:hAnsi="Aptos" w:eastAsia="Aptos" w:cs="Aptos"/>
                <w:b w:val="0"/>
                <w:sz w:val="19"/>
              </w:rPr>
              <w:t>1</w:t>
            </w:r>
          </w:p>
        </w:tc>
      </w:tr>
    </w:tbl>
    <w:p/>
    <w:p>
      <w:pPr>
        <w:spacing w:after="120" w:line="259" w:lineRule="auto"/>
        <w:jc w:val="left"/>
      </w:pPr>
      <w:r>
        <w:rPr>
          <w:rFonts w:ascii="Aptos" w:hAnsi="Aptos" w:eastAsia="Aptos" w:cs="Aptos"/>
          <w:b/>
          <w:i w:val="0"/>
          <w:sz w:val="22"/>
        </w:rPr>
        <w:t>Scoring method:</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Situation</w:t>
            </w:r>
          </w:p>
        </w:tc>
        <w:tc>
          <w:tcPr>
            <w:tcW w:type="dxa" w:w="5100"/>
            <w:vAlign w:val="center"/>
            <w:shd w:fill="D9EAF7"/>
          </w:tcPr>
          <w:p>
            <w:pPr>
              <w:jc w:val="left"/>
            </w:pPr>
            <w:r/>
            <w:r>
              <w:rPr>
                <w:rFonts w:ascii="Aptos" w:hAnsi="Aptos" w:eastAsia="Aptos" w:cs="Aptos"/>
                <w:b/>
                <w:sz w:val="19"/>
              </w:rPr>
              <w:t>Score</w:t>
            </w:r>
          </w:p>
        </w:tc>
      </w:tr>
      <w:tr>
        <w:tc>
          <w:tcPr>
            <w:tcW w:type="dxa" w:w="5100"/>
            <w:vAlign w:val="center"/>
          </w:tcPr>
          <w:p>
            <w:pPr>
              <w:jc w:val="left"/>
            </w:pPr>
            <w:r/>
            <w:r>
              <w:rPr>
                <w:rFonts w:ascii="Aptos" w:hAnsi="Aptos" w:eastAsia="Aptos" w:cs="Aptos"/>
                <w:b w:val="0"/>
                <w:sz w:val="19"/>
              </w:rPr>
              <w:t>No clear moat and margins are deteriorating</w:t>
            </w:r>
          </w:p>
        </w:tc>
        <w:tc>
          <w:tcPr>
            <w:tcW w:type="dxa" w:w="5100"/>
            <w:vAlign w:val="center"/>
          </w:tcPr>
          <w:p>
            <w:pPr>
              <w:jc w:val="left"/>
            </w:pPr>
            <w:r/>
            <w:r>
              <w:rPr>
                <w:rFonts w:ascii="Aptos" w:hAnsi="Aptos" w:eastAsia="Aptos" w:cs="Aptos"/>
                <w:b w:val="0"/>
                <w:sz w:val="19"/>
              </w:rPr>
              <w:t>0–3</w:t>
            </w:r>
          </w:p>
        </w:tc>
      </w:tr>
      <w:tr>
        <w:tc>
          <w:tcPr>
            <w:tcW w:type="dxa" w:w="5100"/>
            <w:vAlign w:val="center"/>
          </w:tcPr>
          <w:p>
            <w:pPr>
              <w:jc w:val="left"/>
            </w:pPr>
            <w:r/>
            <w:r>
              <w:rPr>
                <w:rFonts w:ascii="Aptos" w:hAnsi="Aptos" w:eastAsia="Aptos" w:cs="Aptos"/>
                <w:b w:val="0"/>
                <w:sz w:val="19"/>
              </w:rPr>
              <w:t>Some advantage, but not strong or durable</w:t>
            </w:r>
          </w:p>
        </w:tc>
        <w:tc>
          <w:tcPr>
            <w:tcW w:type="dxa" w:w="5100"/>
            <w:vAlign w:val="center"/>
          </w:tcPr>
          <w:p>
            <w:pPr>
              <w:jc w:val="left"/>
            </w:pPr>
            <w:r/>
            <w:r>
              <w:rPr>
                <w:rFonts w:ascii="Aptos" w:hAnsi="Aptos" w:eastAsia="Aptos" w:cs="Aptos"/>
                <w:b w:val="0"/>
                <w:sz w:val="19"/>
              </w:rPr>
              <w:t>4–7</w:t>
            </w:r>
          </w:p>
        </w:tc>
      </w:tr>
      <w:tr>
        <w:tc>
          <w:tcPr>
            <w:tcW w:type="dxa" w:w="5100"/>
            <w:vAlign w:val="center"/>
          </w:tcPr>
          <w:p>
            <w:pPr>
              <w:jc w:val="left"/>
            </w:pPr>
            <w:r/>
            <w:r>
              <w:rPr>
                <w:rFonts w:ascii="Aptos" w:hAnsi="Aptos" w:eastAsia="Aptos" w:cs="Aptos"/>
                <w:b w:val="0"/>
                <w:sz w:val="19"/>
              </w:rPr>
              <w:t>Clear, strong, and proven long-term moat</w:t>
            </w:r>
          </w:p>
        </w:tc>
        <w:tc>
          <w:tcPr>
            <w:tcW w:type="dxa" w:w="5100"/>
            <w:vAlign w:val="center"/>
          </w:tcPr>
          <w:p>
            <w:pPr>
              <w:jc w:val="left"/>
            </w:pPr>
            <w:r/>
            <w:r>
              <w:rPr>
                <w:rFonts w:ascii="Aptos" w:hAnsi="Aptos" w:eastAsia="Aptos" w:cs="Aptos"/>
                <w:b w:val="0"/>
                <w:sz w:val="19"/>
              </w:rPr>
              <w:t>8–10</w:t>
            </w:r>
          </w:p>
        </w:tc>
      </w:tr>
    </w:tbl>
    <w:p/>
    <w:p>
      <w:pPr>
        <w:pStyle w:val="Heading3"/>
        <w:spacing w:before="200" w:after="120"/>
      </w:pPr>
      <w:r>
        <w:rPr>
          <w:rFonts w:ascii="Aptos" w:hAnsi="Aptos" w:eastAsia="Aptos" w:cs="Aptos"/>
          <w:b/>
          <w:color w:val="000000"/>
          <w:sz w:val="23"/>
        </w:rPr>
        <w:t>3.3 Consistent Profitability — 15 points</w:t>
      </w:r>
    </w:p>
    <w:p>
      <w:pPr>
        <w:spacing w:after="120" w:line="259" w:lineRule="auto"/>
        <w:jc w:val="left"/>
      </w:pPr>
      <w:r>
        <w:rPr>
          <w:rFonts w:ascii="Aptos" w:hAnsi="Aptos" w:eastAsia="Aptos" w:cs="Aptos"/>
          <w:b w:val="0"/>
          <w:i w:val="0"/>
          <w:sz w:val="22"/>
        </w:rPr>
        <w:t>Explanation: This criterion evaluates whether the company earns profits over time, not only in one exceptional year. Consistent profitability makes valuation more reliable.</w:t>
      </w:r>
    </w:p>
    <w:p>
      <w:pPr>
        <w:spacing w:after="120" w:line="259" w:lineRule="auto"/>
        <w:jc w:val="left"/>
      </w:pPr>
      <w:r>
        <w:rPr>
          <w:rFonts w:ascii="Aptos" w:hAnsi="Aptos" w:eastAsia="Aptos" w:cs="Aptos"/>
          <w:b/>
          <w:i w:val="0"/>
          <w:sz w:val="22"/>
        </w:rPr>
        <w:t>How to calculate the criterion:</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Metric</w:t>
            </w:r>
          </w:p>
        </w:tc>
        <w:tc>
          <w:tcPr>
            <w:tcW w:type="dxa" w:w="5100"/>
            <w:vAlign w:val="center"/>
            <w:shd w:fill="D9EAF7"/>
          </w:tcPr>
          <w:p>
            <w:pPr>
              <w:jc w:val="left"/>
            </w:pPr>
            <w:r/>
            <w:r>
              <w:rPr>
                <w:rFonts w:ascii="Aptos" w:hAnsi="Aptos" w:eastAsia="Aptos" w:cs="Aptos"/>
                <w:b/>
                <w:sz w:val="19"/>
              </w:rPr>
              <w:t>Maximum score</w:t>
            </w:r>
          </w:p>
        </w:tc>
      </w:tr>
      <w:tr>
        <w:tc>
          <w:tcPr>
            <w:tcW w:type="dxa" w:w="5100"/>
            <w:vAlign w:val="center"/>
          </w:tcPr>
          <w:p>
            <w:pPr>
              <w:jc w:val="left"/>
            </w:pPr>
            <w:r/>
            <w:r>
              <w:rPr>
                <w:rFonts w:ascii="Aptos" w:hAnsi="Aptos" w:eastAsia="Aptos" w:cs="Aptos"/>
                <w:b w:val="0"/>
                <w:sz w:val="19"/>
              </w:rPr>
              <w:t>Positive net income in most years</w:t>
            </w:r>
          </w:p>
        </w:tc>
        <w:tc>
          <w:tcPr>
            <w:tcW w:type="dxa" w:w="5100"/>
            <w:vAlign w:val="center"/>
          </w:tcPr>
          <w:p>
            <w:pPr>
              <w:jc w:val="left"/>
            </w:pPr>
            <w:r/>
            <w:r>
              <w:rPr>
                <w:rFonts w:ascii="Aptos" w:hAnsi="Aptos" w:eastAsia="Aptos" w:cs="Aptos"/>
                <w:b w:val="0"/>
                <w:sz w:val="19"/>
              </w:rPr>
              <w:t>6</w:t>
            </w:r>
          </w:p>
        </w:tc>
      </w:tr>
      <w:tr>
        <w:tc>
          <w:tcPr>
            <w:tcW w:type="dxa" w:w="5100"/>
            <w:vAlign w:val="center"/>
          </w:tcPr>
          <w:p>
            <w:pPr>
              <w:jc w:val="left"/>
            </w:pPr>
            <w:r/>
            <w:r>
              <w:rPr>
                <w:rFonts w:ascii="Aptos" w:hAnsi="Aptos" w:eastAsia="Aptos" w:cs="Aptos"/>
                <w:b w:val="0"/>
                <w:sz w:val="19"/>
              </w:rPr>
              <w:t>Stable earnings per share — EPS</w:t>
            </w:r>
          </w:p>
        </w:tc>
        <w:tc>
          <w:tcPr>
            <w:tcW w:type="dxa" w:w="5100"/>
            <w:vAlign w:val="center"/>
          </w:tcPr>
          <w:p>
            <w:pPr>
              <w:jc w:val="left"/>
            </w:pPr>
            <w:r/>
            <w:r>
              <w:rPr>
                <w:rFonts w:ascii="Aptos" w:hAnsi="Aptos" w:eastAsia="Aptos" w:cs="Aptos"/>
                <w:b w:val="0"/>
                <w:sz w:val="19"/>
              </w:rPr>
              <w:t>4</w:t>
            </w:r>
          </w:p>
        </w:tc>
      </w:tr>
      <w:tr>
        <w:tc>
          <w:tcPr>
            <w:tcW w:type="dxa" w:w="5100"/>
            <w:vAlign w:val="center"/>
          </w:tcPr>
          <w:p>
            <w:pPr>
              <w:jc w:val="left"/>
            </w:pPr>
            <w:r/>
            <w:r>
              <w:rPr>
                <w:rFonts w:ascii="Aptos" w:hAnsi="Aptos" w:eastAsia="Aptos" w:cs="Aptos"/>
                <w:b w:val="0"/>
                <w:sz w:val="19"/>
              </w:rPr>
              <w:t>Moderate revenue growth</w:t>
            </w:r>
          </w:p>
        </w:tc>
        <w:tc>
          <w:tcPr>
            <w:tcW w:type="dxa" w:w="5100"/>
            <w:vAlign w:val="center"/>
          </w:tcPr>
          <w:p>
            <w:pPr>
              <w:jc w:val="left"/>
            </w:pPr>
            <w:r/>
            <w:r>
              <w:rPr>
                <w:rFonts w:ascii="Aptos" w:hAnsi="Aptos" w:eastAsia="Aptos" w:cs="Aptos"/>
                <w:b w:val="0"/>
                <w:sz w:val="19"/>
              </w:rPr>
              <w:t>3</w:t>
            </w:r>
          </w:p>
        </w:tc>
      </w:tr>
      <w:tr>
        <w:tc>
          <w:tcPr>
            <w:tcW w:type="dxa" w:w="5100"/>
            <w:vAlign w:val="center"/>
          </w:tcPr>
          <w:p>
            <w:pPr>
              <w:jc w:val="left"/>
            </w:pPr>
            <w:r/>
            <w:r>
              <w:rPr>
                <w:rFonts w:ascii="Aptos" w:hAnsi="Aptos" w:eastAsia="Aptos" w:cs="Aptos"/>
                <w:b w:val="0"/>
                <w:sz w:val="19"/>
              </w:rPr>
              <w:t>No major losses or extremely weak years</w:t>
            </w:r>
          </w:p>
        </w:tc>
        <w:tc>
          <w:tcPr>
            <w:tcW w:type="dxa" w:w="5100"/>
            <w:vAlign w:val="center"/>
          </w:tcPr>
          <w:p>
            <w:pPr>
              <w:jc w:val="left"/>
            </w:pPr>
            <w:r/>
            <w:r>
              <w:rPr>
                <w:rFonts w:ascii="Aptos" w:hAnsi="Aptos" w:eastAsia="Aptos" w:cs="Aptos"/>
                <w:b w:val="0"/>
                <w:sz w:val="19"/>
              </w:rPr>
              <w:t>2</w:t>
            </w:r>
          </w:p>
        </w:tc>
      </w:tr>
    </w:tbl>
    <w:p/>
    <w:p>
      <w:pPr>
        <w:spacing w:after="120" w:line="259" w:lineRule="auto"/>
        <w:jc w:val="left"/>
      </w:pPr>
      <w:r>
        <w:rPr>
          <w:rFonts w:ascii="Aptos" w:hAnsi="Aptos" w:eastAsia="Aptos" w:cs="Aptos"/>
          <w:b/>
          <w:i w:val="0"/>
          <w:sz w:val="22"/>
        </w:rPr>
        <w:t>Scoring method:</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Situation</w:t>
            </w:r>
          </w:p>
        </w:tc>
        <w:tc>
          <w:tcPr>
            <w:tcW w:type="dxa" w:w="5100"/>
            <w:vAlign w:val="center"/>
            <w:shd w:fill="D9EAF7"/>
          </w:tcPr>
          <w:p>
            <w:pPr>
              <w:jc w:val="left"/>
            </w:pPr>
            <w:r/>
            <w:r>
              <w:rPr>
                <w:rFonts w:ascii="Aptos" w:hAnsi="Aptos" w:eastAsia="Aptos" w:cs="Aptos"/>
                <w:b/>
                <w:sz w:val="19"/>
              </w:rPr>
              <w:t>Score</w:t>
            </w:r>
          </w:p>
        </w:tc>
      </w:tr>
      <w:tr>
        <w:tc>
          <w:tcPr>
            <w:tcW w:type="dxa" w:w="5100"/>
            <w:vAlign w:val="center"/>
          </w:tcPr>
          <w:p>
            <w:pPr>
              <w:jc w:val="left"/>
            </w:pPr>
            <w:r/>
            <w:r>
              <w:rPr>
                <w:rFonts w:ascii="Aptos" w:hAnsi="Aptos" w:eastAsia="Aptos" w:cs="Aptos"/>
                <w:b w:val="0"/>
                <w:sz w:val="19"/>
              </w:rPr>
              <w:t>Recurring losses or unstable profitability</w:t>
            </w:r>
          </w:p>
        </w:tc>
        <w:tc>
          <w:tcPr>
            <w:tcW w:type="dxa" w:w="5100"/>
            <w:vAlign w:val="center"/>
          </w:tcPr>
          <w:p>
            <w:pPr>
              <w:jc w:val="left"/>
            </w:pPr>
            <w:r/>
            <w:r>
              <w:rPr>
                <w:rFonts w:ascii="Aptos" w:hAnsi="Aptos" w:eastAsia="Aptos" w:cs="Aptos"/>
                <w:b w:val="0"/>
                <w:sz w:val="19"/>
              </w:rPr>
              <w:t>0–5</w:t>
            </w:r>
          </w:p>
        </w:tc>
      </w:tr>
      <w:tr>
        <w:tc>
          <w:tcPr>
            <w:tcW w:type="dxa" w:w="5100"/>
            <w:vAlign w:val="center"/>
          </w:tcPr>
          <w:p>
            <w:pPr>
              <w:jc w:val="left"/>
            </w:pPr>
            <w:r/>
            <w:r>
              <w:rPr>
                <w:rFonts w:ascii="Aptos" w:hAnsi="Aptos" w:eastAsia="Aptos" w:cs="Aptos"/>
                <w:b w:val="0"/>
                <w:sz w:val="19"/>
              </w:rPr>
              <w:t>Profitable in most years but volatile</w:t>
            </w:r>
          </w:p>
        </w:tc>
        <w:tc>
          <w:tcPr>
            <w:tcW w:type="dxa" w:w="5100"/>
            <w:vAlign w:val="center"/>
          </w:tcPr>
          <w:p>
            <w:pPr>
              <w:jc w:val="left"/>
            </w:pPr>
            <w:r/>
            <w:r>
              <w:rPr>
                <w:rFonts w:ascii="Aptos" w:hAnsi="Aptos" w:eastAsia="Aptos" w:cs="Aptos"/>
                <w:b w:val="0"/>
                <w:sz w:val="19"/>
              </w:rPr>
              <w:t>6–10</w:t>
            </w:r>
          </w:p>
        </w:tc>
      </w:tr>
      <w:tr>
        <w:tc>
          <w:tcPr>
            <w:tcW w:type="dxa" w:w="5100"/>
            <w:vAlign w:val="center"/>
          </w:tcPr>
          <w:p>
            <w:pPr>
              <w:jc w:val="left"/>
            </w:pPr>
            <w:r/>
            <w:r>
              <w:rPr>
                <w:rFonts w:ascii="Aptos" w:hAnsi="Aptos" w:eastAsia="Aptos" w:cs="Aptos"/>
                <w:b w:val="0"/>
                <w:sz w:val="19"/>
              </w:rPr>
              <w:t>Consistently profitable over time</w:t>
            </w:r>
          </w:p>
        </w:tc>
        <w:tc>
          <w:tcPr>
            <w:tcW w:type="dxa" w:w="5100"/>
            <w:vAlign w:val="center"/>
          </w:tcPr>
          <w:p>
            <w:pPr>
              <w:jc w:val="left"/>
            </w:pPr>
            <w:r/>
            <w:r>
              <w:rPr>
                <w:rFonts w:ascii="Aptos" w:hAnsi="Aptos" w:eastAsia="Aptos" w:cs="Aptos"/>
                <w:b w:val="0"/>
                <w:sz w:val="19"/>
              </w:rPr>
              <w:t>11–15</w:t>
            </w:r>
          </w:p>
        </w:tc>
      </w:tr>
    </w:tbl>
    <w:p/>
    <w:p>
      <w:pPr>
        <w:pStyle w:val="Heading3"/>
        <w:spacing w:before="200" w:after="120"/>
      </w:pPr>
      <w:r>
        <w:rPr>
          <w:rFonts w:ascii="Aptos" w:hAnsi="Aptos" w:eastAsia="Aptos" w:cs="Aptos"/>
          <w:b/>
          <w:color w:val="000000"/>
          <w:sz w:val="23"/>
        </w:rPr>
        <w:t>3.4 High Return on Capital — 15 points</w:t>
      </w:r>
    </w:p>
    <w:p>
      <w:pPr>
        <w:spacing w:after="120" w:line="259" w:lineRule="auto"/>
        <w:jc w:val="left"/>
      </w:pPr>
      <w:r>
        <w:rPr>
          <w:rFonts w:ascii="Aptos" w:hAnsi="Aptos" w:eastAsia="Aptos" w:cs="Aptos"/>
          <w:b w:val="0"/>
          <w:i w:val="0"/>
          <w:sz w:val="22"/>
        </w:rPr>
        <w:t>Explanation: This criterion evaluates whether the company earns attractive profits relative to the capital required to operate the business. ROIC receives the most emphasis because ROE can be inflated by high leverage.</w:t>
      </w:r>
    </w:p>
    <w:p>
      <w:pPr>
        <w:spacing w:after="120" w:line="259" w:lineRule="auto"/>
        <w:jc w:val="left"/>
      </w:pPr>
      <w:r>
        <w:rPr>
          <w:rFonts w:ascii="Aptos" w:hAnsi="Aptos" w:eastAsia="Aptos" w:cs="Aptos"/>
          <w:b/>
          <w:i w:val="0"/>
          <w:sz w:val="22"/>
        </w:rPr>
        <w:t>How to calculate the criterion:</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Metric</w:t>
            </w:r>
          </w:p>
        </w:tc>
        <w:tc>
          <w:tcPr>
            <w:tcW w:type="dxa" w:w="5100"/>
            <w:vAlign w:val="center"/>
            <w:shd w:fill="D9EAF7"/>
          </w:tcPr>
          <w:p>
            <w:pPr>
              <w:jc w:val="left"/>
            </w:pPr>
            <w:r/>
            <w:r>
              <w:rPr>
                <w:rFonts w:ascii="Aptos" w:hAnsi="Aptos" w:eastAsia="Aptos" w:cs="Aptos"/>
                <w:b/>
                <w:sz w:val="19"/>
              </w:rPr>
              <w:t>Formula</w:t>
            </w:r>
          </w:p>
        </w:tc>
      </w:tr>
      <w:tr>
        <w:tc>
          <w:tcPr>
            <w:tcW w:type="dxa" w:w="5100"/>
            <w:vAlign w:val="center"/>
          </w:tcPr>
          <w:p>
            <w:pPr>
              <w:jc w:val="left"/>
            </w:pPr>
            <w:r/>
            <w:r>
              <w:rPr>
                <w:rFonts w:ascii="Aptos" w:hAnsi="Aptos" w:eastAsia="Aptos" w:cs="Aptos"/>
                <w:b w:val="0"/>
                <w:sz w:val="19"/>
              </w:rPr>
              <w:t>ROE</w:t>
            </w:r>
          </w:p>
        </w:tc>
        <w:tc>
          <w:tcPr>
            <w:tcW w:type="dxa" w:w="5100"/>
            <w:vAlign w:val="center"/>
          </w:tcPr>
          <w:p>
            <w:pPr>
              <w:jc w:val="left"/>
            </w:pPr>
            <w:r/>
            <w:r>
              <w:rPr>
                <w:rFonts w:ascii="Aptos" w:hAnsi="Aptos" w:eastAsia="Aptos" w:cs="Aptos"/>
                <w:b w:val="0"/>
                <w:sz w:val="19"/>
              </w:rPr>
              <w:t>Net Income / Average Shareholders’ Equity</w:t>
            </w:r>
          </w:p>
        </w:tc>
      </w:tr>
      <w:tr>
        <w:tc>
          <w:tcPr>
            <w:tcW w:type="dxa" w:w="5100"/>
            <w:vAlign w:val="center"/>
          </w:tcPr>
          <w:p>
            <w:pPr>
              <w:jc w:val="left"/>
            </w:pPr>
            <w:r/>
            <w:r>
              <w:rPr>
                <w:rFonts w:ascii="Aptos" w:hAnsi="Aptos" w:eastAsia="Aptos" w:cs="Aptos"/>
                <w:b w:val="0"/>
                <w:sz w:val="19"/>
              </w:rPr>
              <w:t>ROIC</w:t>
            </w:r>
          </w:p>
        </w:tc>
        <w:tc>
          <w:tcPr>
            <w:tcW w:type="dxa" w:w="5100"/>
            <w:vAlign w:val="center"/>
          </w:tcPr>
          <w:p>
            <w:pPr>
              <w:jc w:val="left"/>
            </w:pPr>
            <w:r/>
            <w:r>
              <w:rPr>
                <w:rFonts w:ascii="Aptos" w:hAnsi="Aptos" w:eastAsia="Aptos" w:cs="Aptos"/>
                <w:b w:val="0"/>
                <w:sz w:val="19"/>
              </w:rPr>
              <w:t>NOPAT / Invested Capital</w:t>
            </w:r>
          </w:p>
        </w:tc>
      </w:tr>
      <w:tr>
        <w:tc>
          <w:tcPr>
            <w:tcW w:type="dxa" w:w="5100"/>
            <w:vAlign w:val="center"/>
          </w:tcPr>
          <w:p>
            <w:pPr>
              <w:jc w:val="left"/>
            </w:pPr>
            <w:r/>
            <w:r>
              <w:rPr>
                <w:rFonts w:ascii="Aptos" w:hAnsi="Aptos" w:eastAsia="Aptos" w:cs="Aptos"/>
                <w:b w:val="0"/>
                <w:sz w:val="19"/>
              </w:rPr>
              <w:t>NOPAT</w:t>
            </w:r>
          </w:p>
        </w:tc>
        <w:tc>
          <w:tcPr>
            <w:tcW w:type="dxa" w:w="5100"/>
            <w:vAlign w:val="center"/>
          </w:tcPr>
          <w:p>
            <w:pPr>
              <w:jc w:val="left"/>
            </w:pPr>
            <w:r/>
            <w:r>
              <w:rPr>
                <w:rFonts w:ascii="Aptos" w:hAnsi="Aptos" w:eastAsia="Aptos" w:cs="Aptos"/>
                <w:b w:val="0"/>
                <w:sz w:val="19"/>
              </w:rPr>
              <w:t>EBIT × (1 − Tax Rate)</w:t>
            </w:r>
          </w:p>
        </w:tc>
      </w:tr>
      <w:tr>
        <w:tc>
          <w:tcPr>
            <w:tcW w:type="dxa" w:w="5100"/>
            <w:vAlign w:val="center"/>
          </w:tcPr>
          <w:p>
            <w:pPr>
              <w:jc w:val="left"/>
            </w:pPr>
            <w:r/>
            <w:r>
              <w:rPr>
                <w:rFonts w:ascii="Aptos" w:hAnsi="Aptos" w:eastAsia="Aptos" w:cs="Aptos"/>
                <w:b w:val="0"/>
                <w:sz w:val="19"/>
              </w:rPr>
              <w:t>Invested Capital</w:t>
            </w:r>
          </w:p>
        </w:tc>
        <w:tc>
          <w:tcPr>
            <w:tcW w:type="dxa" w:w="5100"/>
            <w:vAlign w:val="center"/>
          </w:tcPr>
          <w:p>
            <w:pPr>
              <w:jc w:val="left"/>
            </w:pPr>
            <w:r/>
            <w:r>
              <w:rPr>
                <w:rFonts w:ascii="Aptos" w:hAnsi="Aptos" w:eastAsia="Aptos" w:cs="Aptos"/>
                <w:b w:val="0"/>
                <w:sz w:val="19"/>
              </w:rPr>
              <w:t>Equity + Debt − Cash</w:t>
            </w:r>
          </w:p>
        </w:tc>
      </w:tr>
    </w:tbl>
    <w:p/>
    <w:p>
      <w:pPr>
        <w:spacing w:after="120" w:line="259" w:lineRule="auto"/>
        <w:jc w:val="left"/>
      </w:pPr>
      <w:r>
        <w:rPr>
          <w:rFonts w:ascii="Aptos" w:hAnsi="Aptos" w:eastAsia="Aptos" w:cs="Aptos"/>
          <w:b/>
          <w:i w:val="0"/>
          <w:sz w:val="22"/>
        </w:rPr>
        <w:t>Scoring method:</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Situation</w:t>
            </w:r>
          </w:p>
        </w:tc>
        <w:tc>
          <w:tcPr>
            <w:tcW w:type="dxa" w:w="5100"/>
            <w:vAlign w:val="center"/>
            <w:shd w:fill="D9EAF7"/>
          </w:tcPr>
          <w:p>
            <w:pPr>
              <w:jc w:val="left"/>
            </w:pPr>
            <w:r/>
            <w:r>
              <w:rPr>
                <w:rFonts w:ascii="Aptos" w:hAnsi="Aptos" w:eastAsia="Aptos" w:cs="Aptos"/>
                <w:b/>
                <w:sz w:val="19"/>
              </w:rPr>
              <w:t>Score</w:t>
            </w:r>
          </w:p>
        </w:tc>
      </w:tr>
      <w:tr>
        <w:tc>
          <w:tcPr>
            <w:tcW w:type="dxa" w:w="5100"/>
            <w:vAlign w:val="center"/>
          </w:tcPr>
          <w:p>
            <w:pPr>
              <w:jc w:val="left"/>
            </w:pPr>
            <w:r/>
            <w:r>
              <w:rPr>
                <w:rFonts w:ascii="Aptos" w:hAnsi="Aptos" w:eastAsia="Aptos" w:cs="Aptos"/>
                <w:b w:val="0"/>
                <w:sz w:val="19"/>
              </w:rPr>
              <w:t>ROIC below 6%</w:t>
            </w:r>
          </w:p>
        </w:tc>
        <w:tc>
          <w:tcPr>
            <w:tcW w:type="dxa" w:w="5100"/>
            <w:vAlign w:val="center"/>
          </w:tcPr>
          <w:p>
            <w:pPr>
              <w:jc w:val="left"/>
            </w:pPr>
            <w:r/>
            <w:r>
              <w:rPr>
                <w:rFonts w:ascii="Aptos" w:hAnsi="Aptos" w:eastAsia="Aptos" w:cs="Aptos"/>
                <w:b w:val="0"/>
                <w:sz w:val="19"/>
              </w:rPr>
              <w:t>0–4</w:t>
            </w:r>
          </w:p>
        </w:tc>
      </w:tr>
      <w:tr>
        <w:tc>
          <w:tcPr>
            <w:tcW w:type="dxa" w:w="5100"/>
            <w:vAlign w:val="center"/>
          </w:tcPr>
          <w:p>
            <w:pPr>
              <w:jc w:val="left"/>
            </w:pPr>
            <w:r/>
            <w:r>
              <w:rPr>
                <w:rFonts w:ascii="Aptos" w:hAnsi="Aptos" w:eastAsia="Aptos" w:cs="Aptos"/>
                <w:b w:val="0"/>
                <w:sz w:val="19"/>
              </w:rPr>
              <w:t>ROIC between 6% and 10%</w:t>
            </w:r>
          </w:p>
        </w:tc>
        <w:tc>
          <w:tcPr>
            <w:tcW w:type="dxa" w:w="5100"/>
            <w:vAlign w:val="center"/>
          </w:tcPr>
          <w:p>
            <w:pPr>
              <w:jc w:val="left"/>
            </w:pPr>
            <w:r/>
            <w:r>
              <w:rPr>
                <w:rFonts w:ascii="Aptos" w:hAnsi="Aptos" w:eastAsia="Aptos" w:cs="Aptos"/>
                <w:b w:val="0"/>
                <w:sz w:val="19"/>
              </w:rPr>
              <w:t>5–8</w:t>
            </w:r>
          </w:p>
        </w:tc>
      </w:tr>
      <w:tr>
        <w:tc>
          <w:tcPr>
            <w:tcW w:type="dxa" w:w="5100"/>
            <w:vAlign w:val="center"/>
          </w:tcPr>
          <w:p>
            <w:pPr>
              <w:jc w:val="left"/>
            </w:pPr>
            <w:r/>
            <w:r>
              <w:rPr>
                <w:rFonts w:ascii="Aptos" w:hAnsi="Aptos" w:eastAsia="Aptos" w:cs="Aptos"/>
                <w:b w:val="0"/>
                <w:sz w:val="19"/>
              </w:rPr>
              <w:t>ROIC between 10% and 15%</w:t>
            </w:r>
          </w:p>
        </w:tc>
        <w:tc>
          <w:tcPr>
            <w:tcW w:type="dxa" w:w="5100"/>
            <w:vAlign w:val="center"/>
          </w:tcPr>
          <w:p>
            <w:pPr>
              <w:jc w:val="left"/>
            </w:pPr>
            <w:r/>
            <w:r>
              <w:rPr>
                <w:rFonts w:ascii="Aptos" w:hAnsi="Aptos" w:eastAsia="Aptos" w:cs="Aptos"/>
                <w:b w:val="0"/>
                <w:sz w:val="19"/>
              </w:rPr>
              <w:t>9–12</w:t>
            </w:r>
          </w:p>
        </w:tc>
      </w:tr>
      <w:tr>
        <w:tc>
          <w:tcPr>
            <w:tcW w:type="dxa" w:w="5100"/>
            <w:vAlign w:val="center"/>
          </w:tcPr>
          <w:p>
            <w:pPr>
              <w:jc w:val="left"/>
            </w:pPr>
            <w:r/>
            <w:r>
              <w:rPr>
                <w:rFonts w:ascii="Aptos" w:hAnsi="Aptos" w:eastAsia="Aptos" w:cs="Aptos"/>
                <w:b w:val="0"/>
                <w:sz w:val="19"/>
              </w:rPr>
              <w:t>ROIC above 15% over time</w:t>
            </w:r>
          </w:p>
        </w:tc>
        <w:tc>
          <w:tcPr>
            <w:tcW w:type="dxa" w:w="5100"/>
            <w:vAlign w:val="center"/>
          </w:tcPr>
          <w:p>
            <w:pPr>
              <w:jc w:val="left"/>
            </w:pPr>
            <w:r/>
            <w:r>
              <w:rPr>
                <w:rFonts w:ascii="Aptos" w:hAnsi="Aptos" w:eastAsia="Aptos" w:cs="Aptos"/>
                <w:b w:val="0"/>
                <w:sz w:val="19"/>
              </w:rPr>
              <w:t>13–15</w:t>
            </w:r>
          </w:p>
        </w:tc>
      </w:tr>
    </w:tbl>
    <w:p/>
    <w:p>
      <w:pPr>
        <w:pStyle w:val="Heading3"/>
        <w:spacing w:before="200" w:after="120"/>
      </w:pPr>
      <w:r>
        <w:rPr>
          <w:rFonts w:ascii="Aptos" w:hAnsi="Aptos" w:eastAsia="Aptos" w:cs="Aptos"/>
          <w:b/>
          <w:color w:val="000000"/>
          <w:sz w:val="23"/>
        </w:rPr>
        <w:t>3.5 Free Cash Flow / Owner Earnings — 15 points</w:t>
      </w:r>
    </w:p>
    <w:p>
      <w:pPr>
        <w:spacing w:after="120" w:line="259" w:lineRule="auto"/>
        <w:jc w:val="left"/>
      </w:pPr>
      <w:r>
        <w:rPr>
          <w:rFonts w:ascii="Aptos" w:hAnsi="Aptos" w:eastAsia="Aptos" w:cs="Aptos"/>
          <w:b w:val="0"/>
          <w:i w:val="0"/>
          <w:sz w:val="22"/>
        </w:rPr>
        <w:t>Explanation: This criterion evaluates whether accounting earnings turn into real cash. Free cash flow shows how much cash remains after the investments required to operate the business.</w:t>
      </w:r>
    </w:p>
    <w:p>
      <w:pPr>
        <w:spacing w:after="120" w:line="259" w:lineRule="auto"/>
        <w:jc w:val="left"/>
      </w:pPr>
      <w:r>
        <w:rPr>
          <w:rFonts w:ascii="Aptos" w:hAnsi="Aptos" w:eastAsia="Aptos" w:cs="Aptos"/>
          <w:b/>
          <w:i w:val="0"/>
          <w:sz w:val="22"/>
        </w:rPr>
        <w:t>How to calculate the criterion:</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Metric</w:t>
            </w:r>
          </w:p>
        </w:tc>
        <w:tc>
          <w:tcPr>
            <w:tcW w:type="dxa" w:w="5100"/>
            <w:vAlign w:val="center"/>
            <w:shd w:fill="D9EAF7"/>
          </w:tcPr>
          <w:p>
            <w:pPr>
              <w:jc w:val="left"/>
            </w:pPr>
            <w:r/>
            <w:r>
              <w:rPr>
                <w:rFonts w:ascii="Aptos" w:hAnsi="Aptos" w:eastAsia="Aptos" w:cs="Aptos"/>
                <w:b/>
                <w:sz w:val="19"/>
              </w:rPr>
              <w:t>Maximum score</w:t>
            </w:r>
          </w:p>
        </w:tc>
      </w:tr>
      <w:tr>
        <w:tc>
          <w:tcPr>
            <w:tcW w:type="dxa" w:w="5100"/>
            <w:vAlign w:val="center"/>
          </w:tcPr>
          <w:p>
            <w:pPr>
              <w:jc w:val="left"/>
            </w:pPr>
            <w:r/>
            <w:r>
              <w:rPr>
                <w:rFonts w:ascii="Aptos" w:hAnsi="Aptos" w:eastAsia="Aptos" w:cs="Aptos"/>
                <w:b w:val="0"/>
                <w:sz w:val="19"/>
              </w:rPr>
              <w:t>Positive FCF in most years</w:t>
            </w:r>
          </w:p>
        </w:tc>
        <w:tc>
          <w:tcPr>
            <w:tcW w:type="dxa" w:w="5100"/>
            <w:vAlign w:val="center"/>
          </w:tcPr>
          <w:p>
            <w:pPr>
              <w:jc w:val="left"/>
            </w:pPr>
            <w:r/>
            <w:r>
              <w:rPr>
                <w:rFonts w:ascii="Aptos" w:hAnsi="Aptos" w:eastAsia="Aptos" w:cs="Aptos"/>
                <w:b w:val="0"/>
                <w:sz w:val="19"/>
              </w:rPr>
              <w:t>5</w:t>
            </w:r>
          </w:p>
        </w:tc>
      </w:tr>
      <w:tr>
        <w:tc>
          <w:tcPr>
            <w:tcW w:type="dxa" w:w="5100"/>
            <w:vAlign w:val="center"/>
          </w:tcPr>
          <w:p>
            <w:pPr>
              <w:jc w:val="left"/>
            </w:pPr>
            <w:r/>
            <w:r>
              <w:rPr>
                <w:rFonts w:ascii="Aptos" w:hAnsi="Aptos" w:eastAsia="Aptos" w:cs="Aptos"/>
                <w:b w:val="0"/>
                <w:sz w:val="19"/>
              </w:rPr>
              <w:t>Positive and stable FCF margin</w:t>
            </w:r>
          </w:p>
        </w:tc>
        <w:tc>
          <w:tcPr>
            <w:tcW w:type="dxa" w:w="5100"/>
            <w:vAlign w:val="center"/>
          </w:tcPr>
          <w:p>
            <w:pPr>
              <w:jc w:val="left"/>
            </w:pPr>
            <w:r/>
            <w:r>
              <w:rPr>
                <w:rFonts w:ascii="Aptos" w:hAnsi="Aptos" w:eastAsia="Aptos" w:cs="Aptos"/>
                <w:b w:val="0"/>
                <w:sz w:val="19"/>
              </w:rPr>
              <w:t>4</w:t>
            </w:r>
          </w:p>
        </w:tc>
      </w:tr>
      <w:tr>
        <w:tc>
          <w:tcPr>
            <w:tcW w:type="dxa" w:w="5100"/>
            <w:vAlign w:val="center"/>
          </w:tcPr>
          <w:p>
            <w:pPr>
              <w:jc w:val="left"/>
            </w:pPr>
            <w:r/>
            <w:r>
              <w:rPr>
                <w:rFonts w:ascii="Aptos" w:hAnsi="Aptos" w:eastAsia="Aptos" w:cs="Aptos"/>
                <w:b w:val="0"/>
                <w:sz w:val="19"/>
              </w:rPr>
              <w:t>FCF / Net Income above 70%</w:t>
            </w:r>
          </w:p>
        </w:tc>
        <w:tc>
          <w:tcPr>
            <w:tcW w:type="dxa" w:w="5100"/>
            <w:vAlign w:val="center"/>
          </w:tcPr>
          <w:p>
            <w:pPr>
              <w:jc w:val="left"/>
            </w:pPr>
            <w:r/>
            <w:r>
              <w:rPr>
                <w:rFonts w:ascii="Aptos" w:hAnsi="Aptos" w:eastAsia="Aptos" w:cs="Aptos"/>
                <w:b w:val="0"/>
                <w:sz w:val="19"/>
              </w:rPr>
              <w:t>3</w:t>
            </w:r>
          </w:p>
        </w:tc>
      </w:tr>
      <w:tr>
        <w:tc>
          <w:tcPr>
            <w:tcW w:type="dxa" w:w="5100"/>
            <w:vAlign w:val="center"/>
          </w:tcPr>
          <w:p>
            <w:pPr>
              <w:jc w:val="left"/>
            </w:pPr>
            <w:r/>
            <w:r>
              <w:rPr>
                <w:rFonts w:ascii="Aptos" w:hAnsi="Aptos" w:eastAsia="Aptos" w:cs="Aptos"/>
                <w:b w:val="0"/>
                <w:sz w:val="19"/>
              </w:rPr>
              <w:t>Business does not require excessive capital expenditure</w:t>
            </w:r>
          </w:p>
        </w:tc>
        <w:tc>
          <w:tcPr>
            <w:tcW w:type="dxa" w:w="5100"/>
            <w:vAlign w:val="center"/>
          </w:tcPr>
          <w:p>
            <w:pPr>
              <w:jc w:val="left"/>
            </w:pPr>
            <w:r/>
            <w:r>
              <w:rPr>
                <w:rFonts w:ascii="Aptos" w:hAnsi="Aptos" w:eastAsia="Aptos" w:cs="Aptos"/>
                <w:b w:val="0"/>
                <w:sz w:val="19"/>
              </w:rPr>
              <w:t>3</w:t>
            </w:r>
          </w:p>
        </w:tc>
      </w:tr>
    </w:tbl>
    <w:p/>
    <w:p>
      <w:pPr>
        <w:spacing w:before="40" w:after="160"/>
        <w:ind w:left="340"/>
        <w:jc w:val="left"/>
      </w:pPr>
      <w:r>
        <w:rPr>
          <w:rFonts w:ascii="DejaVu Sans Mono" w:hAnsi="DejaVu Sans Mono" w:eastAsia="DejaVu Sans Mono" w:cs="DejaVu Sans Mono"/>
          <w:b/>
          <w:sz w:val="20"/>
        </w:rPr>
        <w:t>Free Cash Flow = Cash Flow From Operations − Capital Expenditures</w:t>
      </w:r>
    </w:p>
    <w:p>
      <w:pPr>
        <w:spacing w:before="40" w:after="160"/>
        <w:ind w:left="340"/>
        <w:jc w:val="left"/>
      </w:pPr>
      <w:r>
        <w:rPr>
          <w:rFonts w:ascii="DejaVu Sans Mono" w:hAnsi="DejaVu Sans Mono" w:eastAsia="DejaVu Sans Mono" w:cs="DejaVu Sans Mono"/>
          <w:b/>
          <w:sz w:val="20"/>
        </w:rPr>
        <w:t>Owner Earnings ≈ Net Income + Depreciation &amp; Amortization − Maintenance CapEx</w:t>
      </w:r>
    </w:p>
    <w:p>
      <w:pPr>
        <w:spacing w:after="120" w:line="259" w:lineRule="auto"/>
        <w:jc w:val="left"/>
      </w:pPr>
      <w:r>
        <w:rPr>
          <w:rFonts w:ascii="Aptos" w:hAnsi="Aptos" w:eastAsia="Aptos" w:cs="Aptos"/>
          <w:b/>
          <w:i w:val="0"/>
          <w:sz w:val="22"/>
        </w:rPr>
        <w:t>Scoring method:</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Situation</w:t>
            </w:r>
          </w:p>
        </w:tc>
        <w:tc>
          <w:tcPr>
            <w:tcW w:type="dxa" w:w="5100"/>
            <w:vAlign w:val="center"/>
            <w:shd w:fill="D9EAF7"/>
          </w:tcPr>
          <w:p>
            <w:pPr>
              <w:jc w:val="left"/>
            </w:pPr>
            <w:r/>
            <w:r>
              <w:rPr>
                <w:rFonts w:ascii="Aptos" w:hAnsi="Aptos" w:eastAsia="Aptos" w:cs="Aptos"/>
                <w:b/>
                <w:sz w:val="19"/>
              </w:rPr>
              <w:t>Score</w:t>
            </w:r>
          </w:p>
        </w:tc>
      </w:tr>
      <w:tr>
        <w:tc>
          <w:tcPr>
            <w:tcW w:type="dxa" w:w="5100"/>
            <w:vAlign w:val="center"/>
          </w:tcPr>
          <w:p>
            <w:pPr>
              <w:jc w:val="left"/>
            </w:pPr>
            <w:r/>
            <w:r>
              <w:rPr>
                <w:rFonts w:ascii="Aptos" w:hAnsi="Aptos" w:eastAsia="Aptos" w:cs="Aptos"/>
                <w:b w:val="0"/>
                <w:sz w:val="19"/>
              </w:rPr>
              <w:t>Negative or weak FCF over time</w:t>
            </w:r>
          </w:p>
        </w:tc>
        <w:tc>
          <w:tcPr>
            <w:tcW w:type="dxa" w:w="5100"/>
            <w:vAlign w:val="center"/>
          </w:tcPr>
          <w:p>
            <w:pPr>
              <w:jc w:val="left"/>
            </w:pPr>
            <w:r/>
            <w:r>
              <w:rPr>
                <w:rFonts w:ascii="Aptos" w:hAnsi="Aptos" w:eastAsia="Aptos" w:cs="Aptos"/>
                <w:b w:val="0"/>
                <w:sz w:val="19"/>
              </w:rPr>
              <w:t>0–5</w:t>
            </w:r>
          </w:p>
        </w:tc>
      </w:tr>
      <w:tr>
        <w:tc>
          <w:tcPr>
            <w:tcW w:type="dxa" w:w="5100"/>
            <w:vAlign w:val="center"/>
          </w:tcPr>
          <w:p>
            <w:pPr>
              <w:jc w:val="left"/>
            </w:pPr>
            <w:r/>
            <w:r>
              <w:rPr>
                <w:rFonts w:ascii="Aptos" w:hAnsi="Aptos" w:eastAsia="Aptos" w:cs="Aptos"/>
                <w:b w:val="0"/>
                <w:sz w:val="19"/>
              </w:rPr>
              <w:t>Positive but volatile FCF</w:t>
            </w:r>
          </w:p>
        </w:tc>
        <w:tc>
          <w:tcPr>
            <w:tcW w:type="dxa" w:w="5100"/>
            <w:vAlign w:val="center"/>
          </w:tcPr>
          <w:p>
            <w:pPr>
              <w:jc w:val="left"/>
            </w:pPr>
            <w:r/>
            <w:r>
              <w:rPr>
                <w:rFonts w:ascii="Aptos" w:hAnsi="Aptos" w:eastAsia="Aptos" w:cs="Aptos"/>
                <w:b w:val="0"/>
                <w:sz w:val="19"/>
              </w:rPr>
              <w:t>6–10</w:t>
            </w:r>
          </w:p>
        </w:tc>
      </w:tr>
      <w:tr>
        <w:tc>
          <w:tcPr>
            <w:tcW w:type="dxa" w:w="5100"/>
            <w:vAlign w:val="center"/>
          </w:tcPr>
          <w:p>
            <w:pPr>
              <w:jc w:val="left"/>
            </w:pPr>
            <w:r/>
            <w:r>
              <w:rPr>
                <w:rFonts w:ascii="Aptos" w:hAnsi="Aptos" w:eastAsia="Aptos" w:cs="Aptos"/>
                <w:b w:val="0"/>
                <w:sz w:val="19"/>
              </w:rPr>
              <w:t>Strong, stable FCF close to net income</w:t>
            </w:r>
          </w:p>
        </w:tc>
        <w:tc>
          <w:tcPr>
            <w:tcW w:type="dxa" w:w="5100"/>
            <w:vAlign w:val="center"/>
          </w:tcPr>
          <w:p>
            <w:pPr>
              <w:jc w:val="left"/>
            </w:pPr>
            <w:r/>
            <w:r>
              <w:rPr>
                <w:rFonts w:ascii="Aptos" w:hAnsi="Aptos" w:eastAsia="Aptos" w:cs="Aptos"/>
                <w:b w:val="0"/>
                <w:sz w:val="19"/>
              </w:rPr>
              <w:t>11–15</w:t>
            </w:r>
          </w:p>
        </w:tc>
      </w:tr>
    </w:tbl>
    <w:p/>
    <w:p>
      <w:pPr>
        <w:pStyle w:val="Heading3"/>
        <w:spacing w:before="200" w:after="120"/>
      </w:pPr>
      <w:r>
        <w:rPr>
          <w:rFonts w:ascii="Aptos" w:hAnsi="Aptos" w:eastAsia="Aptos" w:cs="Aptos"/>
          <w:b/>
          <w:color w:val="000000"/>
          <w:sz w:val="23"/>
        </w:rPr>
        <w:t>3.6 Strong Balance Sheet and Reasonable Debt — 10 points</w:t>
      </w:r>
    </w:p>
    <w:p>
      <w:pPr>
        <w:spacing w:after="120" w:line="259" w:lineRule="auto"/>
        <w:jc w:val="left"/>
      </w:pPr>
      <w:r>
        <w:rPr>
          <w:rFonts w:ascii="Aptos" w:hAnsi="Aptos" w:eastAsia="Aptos" w:cs="Aptos"/>
          <w:b w:val="0"/>
          <w:i w:val="0"/>
          <w:sz w:val="22"/>
        </w:rPr>
        <w:t>Explanation: This criterion evaluates whether the company can survive difficult periods without financial distress. High debt can turn even a good company into a risky investment.</w:t>
      </w:r>
    </w:p>
    <w:p>
      <w:pPr>
        <w:spacing w:after="120" w:line="259" w:lineRule="auto"/>
        <w:jc w:val="left"/>
      </w:pPr>
      <w:r>
        <w:rPr>
          <w:rFonts w:ascii="Aptos" w:hAnsi="Aptos" w:eastAsia="Aptos" w:cs="Aptos"/>
          <w:b/>
          <w:i w:val="0"/>
          <w:sz w:val="22"/>
        </w:rPr>
        <w:t>How to calculate the criterion:</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Metric</w:t>
            </w:r>
          </w:p>
        </w:tc>
        <w:tc>
          <w:tcPr>
            <w:tcW w:type="dxa" w:w="5100"/>
            <w:vAlign w:val="center"/>
            <w:shd w:fill="D9EAF7"/>
          </w:tcPr>
          <w:p>
            <w:pPr>
              <w:jc w:val="left"/>
            </w:pPr>
            <w:r/>
            <w:r>
              <w:rPr>
                <w:rFonts w:ascii="Aptos" w:hAnsi="Aptos" w:eastAsia="Aptos" w:cs="Aptos"/>
                <w:b/>
                <w:sz w:val="19"/>
              </w:rPr>
              <w:t>Healthy level</w:t>
            </w:r>
          </w:p>
        </w:tc>
      </w:tr>
      <w:tr>
        <w:tc>
          <w:tcPr>
            <w:tcW w:type="dxa" w:w="5100"/>
            <w:vAlign w:val="center"/>
          </w:tcPr>
          <w:p>
            <w:pPr>
              <w:jc w:val="left"/>
            </w:pPr>
            <w:r/>
            <w:r>
              <w:rPr>
                <w:rFonts w:ascii="Aptos" w:hAnsi="Aptos" w:eastAsia="Aptos" w:cs="Aptos"/>
                <w:b w:val="0"/>
                <w:sz w:val="19"/>
              </w:rPr>
              <w:t>Net Debt / EBITDA</w:t>
            </w:r>
          </w:p>
        </w:tc>
        <w:tc>
          <w:tcPr>
            <w:tcW w:type="dxa" w:w="5100"/>
            <w:vAlign w:val="center"/>
          </w:tcPr>
          <w:p>
            <w:pPr>
              <w:jc w:val="left"/>
            </w:pPr>
            <w:r/>
            <w:r>
              <w:rPr>
                <w:rFonts w:ascii="Aptos" w:hAnsi="Aptos" w:eastAsia="Aptos" w:cs="Aptos"/>
                <w:b w:val="0"/>
                <w:sz w:val="19"/>
              </w:rPr>
              <w:t>Below 2</w:t>
            </w:r>
          </w:p>
        </w:tc>
      </w:tr>
      <w:tr>
        <w:tc>
          <w:tcPr>
            <w:tcW w:type="dxa" w:w="5100"/>
            <w:vAlign w:val="center"/>
          </w:tcPr>
          <w:p>
            <w:pPr>
              <w:jc w:val="left"/>
            </w:pPr>
            <w:r/>
            <w:r>
              <w:rPr>
                <w:rFonts w:ascii="Aptos" w:hAnsi="Aptos" w:eastAsia="Aptos" w:cs="Aptos"/>
                <w:b w:val="0"/>
                <w:sz w:val="19"/>
              </w:rPr>
              <w:t>Interest Coverage</w:t>
            </w:r>
          </w:p>
        </w:tc>
        <w:tc>
          <w:tcPr>
            <w:tcW w:type="dxa" w:w="5100"/>
            <w:vAlign w:val="center"/>
          </w:tcPr>
          <w:p>
            <w:pPr>
              <w:jc w:val="left"/>
            </w:pPr>
            <w:r/>
            <w:r>
              <w:rPr>
                <w:rFonts w:ascii="Aptos" w:hAnsi="Aptos" w:eastAsia="Aptos" w:cs="Aptos"/>
                <w:b w:val="0"/>
                <w:sz w:val="19"/>
              </w:rPr>
              <w:t>Above 5</w:t>
            </w:r>
          </w:p>
        </w:tc>
      </w:tr>
      <w:tr>
        <w:tc>
          <w:tcPr>
            <w:tcW w:type="dxa" w:w="5100"/>
            <w:vAlign w:val="center"/>
          </w:tcPr>
          <w:p>
            <w:pPr>
              <w:jc w:val="left"/>
            </w:pPr>
            <w:r/>
            <w:r>
              <w:rPr>
                <w:rFonts w:ascii="Aptos" w:hAnsi="Aptos" w:eastAsia="Aptos" w:cs="Aptos"/>
                <w:b w:val="0"/>
                <w:sz w:val="19"/>
              </w:rPr>
              <w:t>Current Ratio</w:t>
            </w:r>
          </w:p>
        </w:tc>
        <w:tc>
          <w:tcPr>
            <w:tcW w:type="dxa" w:w="5100"/>
            <w:vAlign w:val="center"/>
          </w:tcPr>
          <w:p>
            <w:pPr>
              <w:jc w:val="left"/>
            </w:pPr>
            <w:r/>
            <w:r>
              <w:rPr>
                <w:rFonts w:ascii="Aptos" w:hAnsi="Aptos" w:eastAsia="Aptos" w:cs="Aptos"/>
                <w:b w:val="0"/>
                <w:sz w:val="19"/>
              </w:rPr>
              <w:t>Above 1.5, depending on industry</w:t>
            </w:r>
          </w:p>
        </w:tc>
      </w:tr>
    </w:tbl>
    <w:p/>
    <w:p>
      <w:pPr>
        <w:spacing w:before="40" w:after="160"/>
        <w:ind w:left="340"/>
        <w:jc w:val="left"/>
      </w:pPr>
      <w:r>
        <w:rPr>
          <w:rFonts w:ascii="DejaVu Sans Mono" w:hAnsi="DejaVu Sans Mono" w:eastAsia="DejaVu Sans Mono" w:cs="DejaVu Sans Mono"/>
          <w:b/>
          <w:sz w:val="20"/>
        </w:rPr>
        <w:t>Net Debt / EBITDA = (Total Debt − Cash) / EBITDA</w:t>
      </w:r>
    </w:p>
    <w:p>
      <w:pPr>
        <w:spacing w:before="40" w:after="160"/>
        <w:ind w:left="340"/>
        <w:jc w:val="left"/>
      </w:pPr>
      <w:r>
        <w:rPr>
          <w:rFonts w:ascii="DejaVu Sans Mono" w:hAnsi="DejaVu Sans Mono" w:eastAsia="DejaVu Sans Mono" w:cs="DejaVu Sans Mono"/>
          <w:b/>
          <w:sz w:val="20"/>
        </w:rPr>
        <w:t>Interest Coverage = EBIT / Interest Expense</w:t>
      </w:r>
    </w:p>
    <w:p>
      <w:pPr>
        <w:spacing w:after="120" w:line="259" w:lineRule="auto"/>
        <w:jc w:val="left"/>
      </w:pPr>
      <w:r>
        <w:rPr>
          <w:rFonts w:ascii="Aptos" w:hAnsi="Aptos" w:eastAsia="Aptos" w:cs="Aptos"/>
          <w:b/>
          <w:i w:val="0"/>
          <w:sz w:val="22"/>
        </w:rPr>
        <w:t>Scoring method:</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Situation</w:t>
            </w:r>
          </w:p>
        </w:tc>
        <w:tc>
          <w:tcPr>
            <w:tcW w:type="dxa" w:w="5100"/>
            <w:vAlign w:val="center"/>
            <w:shd w:fill="D9EAF7"/>
          </w:tcPr>
          <w:p>
            <w:pPr>
              <w:jc w:val="left"/>
            </w:pPr>
            <w:r/>
            <w:r>
              <w:rPr>
                <w:rFonts w:ascii="Aptos" w:hAnsi="Aptos" w:eastAsia="Aptos" w:cs="Aptos"/>
                <w:b/>
                <w:sz w:val="19"/>
              </w:rPr>
              <w:t>Score</w:t>
            </w:r>
          </w:p>
        </w:tc>
      </w:tr>
      <w:tr>
        <w:tc>
          <w:tcPr>
            <w:tcW w:type="dxa" w:w="5100"/>
            <w:vAlign w:val="center"/>
          </w:tcPr>
          <w:p>
            <w:pPr>
              <w:jc w:val="left"/>
            </w:pPr>
            <w:r/>
            <w:r>
              <w:rPr>
                <w:rFonts w:ascii="Aptos" w:hAnsi="Aptos" w:eastAsia="Aptos" w:cs="Aptos"/>
                <w:b w:val="0"/>
                <w:sz w:val="19"/>
              </w:rPr>
              <w:t>High debt and weak interest coverage</w:t>
            </w:r>
          </w:p>
        </w:tc>
        <w:tc>
          <w:tcPr>
            <w:tcW w:type="dxa" w:w="5100"/>
            <w:vAlign w:val="center"/>
          </w:tcPr>
          <w:p>
            <w:pPr>
              <w:jc w:val="left"/>
            </w:pPr>
            <w:r/>
            <w:r>
              <w:rPr>
                <w:rFonts w:ascii="Aptos" w:hAnsi="Aptos" w:eastAsia="Aptos" w:cs="Aptos"/>
                <w:b w:val="0"/>
                <w:sz w:val="19"/>
              </w:rPr>
              <w:t>0–3</w:t>
            </w:r>
          </w:p>
        </w:tc>
      </w:tr>
      <w:tr>
        <w:tc>
          <w:tcPr>
            <w:tcW w:type="dxa" w:w="5100"/>
            <w:vAlign w:val="center"/>
          </w:tcPr>
          <w:p>
            <w:pPr>
              <w:jc w:val="left"/>
            </w:pPr>
            <w:r/>
            <w:r>
              <w:rPr>
                <w:rFonts w:ascii="Aptos" w:hAnsi="Aptos" w:eastAsia="Aptos" w:cs="Aptos"/>
                <w:b w:val="0"/>
                <w:sz w:val="19"/>
              </w:rPr>
              <w:t>Reasonable but not low debt</w:t>
            </w:r>
          </w:p>
        </w:tc>
        <w:tc>
          <w:tcPr>
            <w:tcW w:type="dxa" w:w="5100"/>
            <w:vAlign w:val="center"/>
          </w:tcPr>
          <w:p>
            <w:pPr>
              <w:jc w:val="left"/>
            </w:pPr>
            <w:r/>
            <w:r>
              <w:rPr>
                <w:rFonts w:ascii="Aptos" w:hAnsi="Aptos" w:eastAsia="Aptos" w:cs="Aptos"/>
                <w:b w:val="0"/>
                <w:sz w:val="19"/>
              </w:rPr>
              <w:t>4–7</w:t>
            </w:r>
          </w:p>
        </w:tc>
      </w:tr>
      <w:tr>
        <w:tc>
          <w:tcPr>
            <w:tcW w:type="dxa" w:w="5100"/>
            <w:vAlign w:val="center"/>
          </w:tcPr>
          <w:p>
            <w:pPr>
              <w:jc w:val="left"/>
            </w:pPr>
            <w:r/>
            <w:r>
              <w:rPr>
                <w:rFonts w:ascii="Aptos" w:hAnsi="Aptos" w:eastAsia="Aptos" w:cs="Aptos"/>
                <w:b w:val="0"/>
                <w:sz w:val="19"/>
              </w:rPr>
              <w:t>Low debt, high cash, strong interest coverage</w:t>
            </w:r>
          </w:p>
        </w:tc>
        <w:tc>
          <w:tcPr>
            <w:tcW w:type="dxa" w:w="5100"/>
            <w:vAlign w:val="center"/>
          </w:tcPr>
          <w:p>
            <w:pPr>
              <w:jc w:val="left"/>
            </w:pPr>
            <w:r/>
            <w:r>
              <w:rPr>
                <w:rFonts w:ascii="Aptos" w:hAnsi="Aptos" w:eastAsia="Aptos" w:cs="Aptos"/>
                <w:b w:val="0"/>
                <w:sz w:val="19"/>
              </w:rPr>
              <w:t>8–10</w:t>
            </w:r>
          </w:p>
        </w:tc>
      </w:tr>
    </w:tbl>
    <w:p/>
    <w:p>
      <w:pPr>
        <w:pStyle w:val="Heading3"/>
        <w:spacing w:before="200" w:after="120"/>
      </w:pPr>
      <w:r>
        <w:rPr>
          <w:rFonts w:ascii="Aptos" w:hAnsi="Aptos" w:eastAsia="Aptos" w:cs="Aptos"/>
          <w:b/>
          <w:color w:val="000000"/>
          <w:sz w:val="23"/>
        </w:rPr>
        <w:t>3.7 Management and Capital Allocation — 10 points</w:t>
      </w:r>
    </w:p>
    <w:p>
      <w:pPr>
        <w:spacing w:after="120" w:line="259" w:lineRule="auto"/>
        <w:jc w:val="left"/>
      </w:pPr>
      <w:r>
        <w:rPr>
          <w:rFonts w:ascii="Aptos" w:hAnsi="Aptos" w:eastAsia="Aptos" w:cs="Aptos"/>
          <w:b w:val="0"/>
          <w:i w:val="0"/>
          <w:sz w:val="22"/>
        </w:rPr>
        <w:t>Explanation: This criterion evaluates whether management uses company capital in a way that creates value for shareholders: investments, M&amp;A, dividends, buybacks, debt, and dilution.</w:t>
      </w:r>
    </w:p>
    <w:p>
      <w:pPr>
        <w:spacing w:after="120" w:line="259" w:lineRule="auto"/>
        <w:jc w:val="left"/>
      </w:pPr>
      <w:r>
        <w:rPr>
          <w:rFonts w:ascii="Aptos" w:hAnsi="Aptos" w:eastAsia="Aptos" w:cs="Aptos"/>
          <w:b/>
          <w:i w:val="0"/>
          <w:sz w:val="22"/>
        </w:rPr>
        <w:t>How to calculate the criterion:</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Signal</w:t>
            </w:r>
          </w:p>
        </w:tc>
        <w:tc>
          <w:tcPr>
            <w:tcW w:type="dxa" w:w="5100"/>
            <w:vAlign w:val="center"/>
            <w:shd w:fill="D9EAF7"/>
          </w:tcPr>
          <w:p>
            <w:pPr>
              <w:jc w:val="left"/>
            </w:pPr>
            <w:r/>
            <w:r>
              <w:rPr>
                <w:rFonts w:ascii="Aptos" w:hAnsi="Aptos" w:eastAsia="Aptos" w:cs="Aptos"/>
                <w:b/>
                <w:sz w:val="19"/>
              </w:rPr>
              <w:t>Maximum score</w:t>
            </w:r>
          </w:p>
        </w:tc>
      </w:tr>
      <w:tr>
        <w:tc>
          <w:tcPr>
            <w:tcW w:type="dxa" w:w="5100"/>
            <w:vAlign w:val="center"/>
          </w:tcPr>
          <w:p>
            <w:pPr>
              <w:jc w:val="left"/>
            </w:pPr>
            <w:r/>
            <w:r>
              <w:rPr>
                <w:rFonts w:ascii="Aptos" w:hAnsi="Aptos" w:eastAsia="Aptos" w:cs="Aptos"/>
                <w:b w:val="0"/>
                <w:sz w:val="19"/>
              </w:rPr>
              <w:t>Buybacks executed at reasonable prices</w:t>
            </w:r>
          </w:p>
        </w:tc>
        <w:tc>
          <w:tcPr>
            <w:tcW w:type="dxa" w:w="5100"/>
            <w:vAlign w:val="center"/>
          </w:tcPr>
          <w:p>
            <w:pPr>
              <w:jc w:val="left"/>
            </w:pPr>
            <w:r/>
            <w:r>
              <w:rPr>
                <w:rFonts w:ascii="Aptos" w:hAnsi="Aptos" w:eastAsia="Aptos" w:cs="Aptos"/>
                <w:b w:val="0"/>
                <w:sz w:val="19"/>
              </w:rPr>
              <w:t>2</w:t>
            </w:r>
          </w:p>
        </w:tc>
      </w:tr>
      <w:tr>
        <w:tc>
          <w:tcPr>
            <w:tcW w:type="dxa" w:w="5100"/>
            <w:vAlign w:val="center"/>
          </w:tcPr>
          <w:p>
            <w:pPr>
              <w:jc w:val="left"/>
            </w:pPr>
            <w:r/>
            <w:r>
              <w:rPr>
                <w:rFonts w:ascii="Aptos" w:hAnsi="Aptos" w:eastAsia="Aptos" w:cs="Aptos"/>
                <w:b w:val="0"/>
                <w:sz w:val="19"/>
              </w:rPr>
              <w:t>No meaningful shareholder dilution</w:t>
            </w:r>
          </w:p>
        </w:tc>
        <w:tc>
          <w:tcPr>
            <w:tcW w:type="dxa" w:w="5100"/>
            <w:vAlign w:val="center"/>
          </w:tcPr>
          <w:p>
            <w:pPr>
              <w:jc w:val="left"/>
            </w:pPr>
            <w:r/>
            <w:r>
              <w:rPr>
                <w:rFonts w:ascii="Aptos" w:hAnsi="Aptos" w:eastAsia="Aptos" w:cs="Aptos"/>
                <w:b w:val="0"/>
                <w:sz w:val="19"/>
              </w:rPr>
              <w:t>2</w:t>
            </w:r>
          </w:p>
        </w:tc>
      </w:tr>
      <w:tr>
        <w:tc>
          <w:tcPr>
            <w:tcW w:type="dxa" w:w="5100"/>
            <w:vAlign w:val="center"/>
          </w:tcPr>
          <w:p>
            <w:pPr>
              <w:jc w:val="left"/>
            </w:pPr>
            <w:r/>
            <w:r>
              <w:rPr>
                <w:rFonts w:ascii="Aptos" w:hAnsi="Aptos" w:eastAsia="Aptos" w:cs="Aptos"/>
                <w:b w:val="0"/>
                <w:sz w:val="19"/>
              </w:rPr>
              <w:t>M&amp;A has created value</w:t>
            </w:r>
          </w:p>
        </w:tc>
        <w:tc>
          <w:tcPr>
            <w:tcW w:type="dxa" w:w="5100"/>
            <w:vAlign w:val="center"/>
          </w:tcPr>
          <w:p>
            <w:pPr>
              <w:jc w:val="left"/>
            </w:pPr>
            <w:r/>
            <w:r>
              <w:rPr>
                <w:rFonts w:ascii="Aptos" w:hAnsi="Aptos" w:eastAsia="Aptos" w:cs="Aptos"/>
                <w:b w:val="0"/>
                <w:sz w:val="19"/>
              </w:rPr>
              <w:t>2</w:t>
            </w:r>
          </w:p>
        </w:tc>
      </w:tr>
      <w:tr>
        <w:tc>
          <w:tcPr>
            <w:tcW w:type="dxa" w:w="5100"/>
            <w:vAlign w:val="center"/>
          </w:tcPr>
          <w:p>
            <w:pPr>
              <w:jc w:val="left"/>
            </w:pPr>
            <w:r/>
            <w:r>
              <w:rPr>
                <w:rFonts w:ascii="Aptos" w:hAnsi="Aptos" w:eastAsia="Aptos" w:cs="Aptos"/>
                <w:b w:val="0"/>
                <w:sz w:val="19"/>
              </w:rPr>
              <w:t>Dividends/buybacks are supported by cash flow</w:t>
            </w:r>
          </w:p>
        </w:tc>
        <w:tc>
          <w:tcPr>
            <w:tcW w:type="dxa" w:w="5100"/>
            <w:vAlign w:val="center"/>
          </w:tcPr>
          <w:p>
            <w:pPr>
              <w:jc w:val="left"/>
            </w:pPr>
            <w:r/>
            <w:r>
              <w:rPr>
                <w:rFonts w:ascii="Aptos" w:hAnsi="Aptos" w:eastAsia="Aptos" w:cs="Aptos"/>
                <w:b w:val="0"/>
                <w:sz w:val="19"/>
              </w:rPr>
              <w:t>2</w:t>
            </w:r>
          </w:p>
        </w:tc>
      </w:tr>
      <w:tr>
        <w:tc>
          <w:tcPr>
            <w:tcW w:type="dxa" w:w="5100"/>
            <w:vAlign w:val="center"/>
          </w:tcPr>
          <w:p>
            <w:pPr>
              <w:jc w:val="left"/>
            </w:pPr>
            <w:r/>
            <w:r>
              <w:rPr>
                <w:rFonts w:ascii="Aptos" w:hAnsi="Aptos" w:eastAsia="Aptos" w:cs="Aptos"/>
                <w:b w:val="0"/>
                <w:sz w:val="19"/>
              </w:rPr>
              <w:t>Transparent, conservative, consistent management</w:t>
            </w:r>
          </w:p>
        </w:tc>
        <w:tc>
          <w:tcPr>
            <w:tcW w:type="dxa" w:w="5100"/>
            <w:vAlign w:val="center"/>
          </w:tcPr>
          <w:p>
            <w:pPr>
              <w:jc w:val="left"/>
            </w:pPr>
            <w:r/>
            <w:r>
              <w:rPr>
                <w:rFonts w:ascii="Aptos" w:hAnsi="Aptos" w:eastAsia="Aptos" w:cs="Aptos"/>
                <w:b w:val="0"/>
                <w:sz w:val="19"/>
              </w:rPr>
              <w:t>2</w:t>
            </w:r>
          </w:p>
        </w:tc>
      </w:tr>
    </w:tbl>
    <w:p/>
    <w:p>
      <w:pPr>
        <w:spacing w:before="40" w:after="160"/>
        <w:ind w:left="340"/>
        <w:jc w:val="left"/>
      </w:pPr>
      <w:r>
        <w:rPr>
          <w:rFonts w:ascii="DejaVu Sans Mono" w:hAnsi="DejaVu Sans Mono" w:eastAsia="DejaVu Sans Mono" w:cs="DejaVu Sans Mono"/>
          <w:b/>
          <w:sz w:val="20"/>
        </w:rPr>
        <w:t>Share Dilution = Shares This Year / Shares 5 Years Ago − 1</w:t>
      </w:r>
    </w:p>
    <w:p>
      <w:pPr>
        <w:spacing w:after="120" w:line="259" w:lineRule="auto"/>
        <w:jc w:val="left"/>
      </w:pPr>
      <w:r>
        <w:rPr>
          <w:rFonts w:ascii="Aptos" w:hAnsi="Aptos" w:eastAsia="Aptos" w:cs="Aptos"/>
          <w:b/>
          <w:i w:val="0"/>
          <w:sz w:val="22"/>
        </w:rPr>
        <w:t>Scoring method:</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Situation</w:t>
            </w:r>
          </w:p>
        </w:tc>
        <w:tc>
          <w:tcPr>
            <w:tcW w:type="dxa" w:w="5100"/>
            <w:vAlign w:val="center"/>
            <w:shd w:fill="D9EAF7"/>
          </w:tcPr>
          <w:p>
            <w:pPr>
              <w:jc w:val="left"/>
            </w:pPr>
            <w:r/>
            <w:r>
              <w:rPr>
                <w:rFonts w:ascii="Aptos" w:hAnsi="Aptos" w:eastAsia="Aptos" w:cs="Aptos"/>
                <w:b/>
                <w:sz w:val="19"/>
              </w:rPr>
              <w:t>Score</w:t>
            </w:r>
          </w:p>
        </w:tc>
      </w:tr>
      <w:tr>
        <w:tc>
          <w:tcPr>
            <w:tcW w:type="dxa" w:w="5100"/>
            <w:vAlign w:val="center"/>
          </w:tcPr>
          <w:p>
            <w:pPr>
              <w:jc w:val="left"/>
            </w:pPr>
            <w:r/>
            <w:r>
              <w:rPr>
                <w:rFonts w:ascii="Aptos" w:hAnsi="Aptos" w:eastAsia="Aptos" w:cs="Aptos"/>
                <w:b w:val="0"/>
                <w:sz w:val="19"/>
              </w:rPr>
              <w:t>High dilution, expensive acquisitions, or inconsistent management</w:t>
            </w:r>
          </w:p>
        </w:tc>
        <w:tc>
          <w:tcPr>
            <w:tcW w:type="dxa" w:w="5100"/>
            <w:vAlign w:val="center"/>
          </w:tcPr>
          <w:p>
            <w:pPr>
              <w:jc w:val="left"/>
            </w:pPr>
            <w:r/>
            <w:r>
              <w:rPr>
                <w:rFonts w:ascii="Aptos" w:hAnsi="Aptos" w:eastAsia="Aptos" w:cs="Aptos"/>
                <w:b w:val="0"/>
                <w:sz w:val="19"/>
              </w:rPr>
              <w:t>0–3</w:t>
            </w:r>
          </w:p>
        </w:tc>
      </w:tr>
      <w:tr>
        <w:tc>
          <w:tcPr>
            <w:tcW w:type="dxa" w:w="5100"/>
            <w:vAlign w:val="center"/>
          </w:tcPr>
          <w:p>
            <w:pPr>
              <w:jc w:val="left"/>
            </w:pPr>
            <w:r/>
            <w:r>
              <w:rPr>
                <w:rFonts w:ascii="Aptos" w:hAnsi="Aptos" w:eastAsia="Aptos" w:cs="Aptos"/>
                <w:b w:val="0"/>
                <w:sz w:val="19"/>
              </w:rPr>
              <w:t>Reasonable management with no major red flags</w:t>
            </w:r>
          </w:p>
        </w:tc>
        <w:tc>
          <w:tcPr>
            <w:tcW w:type="dxa" w:w="5100"/>
            <w:vAlign w:val="center"/>
          </w:tcPr>
          <w:p>
            <w:pPr>
              <w:jc w:val="left"/>
            </w:pPr>
            <w:r/>
            <w:r>
              <w:rPr>
                <w:rFonts w:ascii="Aptos" w:hAnsi="Aptos" w:eastAsia="Aptos" w:cs="Aptos"/>
                <w:b w:val="0"/>
                <w:sz w:val="19"/>
              </w:rPr>
              <w:t>4–7</w:t>
            </w:r>
          </w:p>
        </w:tc>
      </w:tr>
      <w:tr>
        <w:tc>
          <w:tcPr>
            <w:tcW w:type="dxa" w:w="5100"/>
            <w:vAlign w:val="center"/>
          </w:tcPr>
          <w:p>
            <w:pPr>
              <w:jc w:val="left"/>
            </w:pPr>
            <w:r/>
            <w:r>
              <w:rPr>
                <w:rFonts w:ascii="Aptos" w:hAnsi="Aptos" w:eastAsia="Aptos" w:cs="Aptos"/>
                <w:b w:val="0"/>
                <w:sz w:val="19"/>
              </w:rPr>
              <w:t>High-quality management and disciplined capital allocation</w:t>
            </w:r>
          </w:p>
        </w:tc>
        <w:tc>
          <w:tcPr>
            <w:tcW w:type="dxa" w:w="5100"/>
            <w:vAlign w:val="center"/>
          </w:tcPr>
          <w:p>
            <w:pPr>
              <w:jc w:val="left"/>
            </w:pPr>
            <w:r/>
            <w:r>
              <w:rPr>
                <w:rFonts w:ascii="Aptos" w:hAnsi="Aptos" w:eastAsia="Aptos" w:cs="Aptos"/>
                <w:b w:val="0"/>
                <w:sz w:val="19"/>
              </w:rPr>
              <w:t>8–10</w:t>
            </w:r>
          </w:p>
        </w:tc>
      </w:tr>
    </w:tbl>
    <w:p/>
    <w:p>
      <w:pPr>
        <w:pStyle w:val="Heading3"/>
        <w:spacing w:before="200" w:after="120"/>
      </w:pPr>
      <w:r>
        <w:rPr>
          <w:rFonts w:ascii="Aptos" w:hAnsi="Aptos" w:eastAsia="Aptos" w:cs="Aptos"/>
          <w:b/>
          <w:color w:val="000000"/>
          <w:sz w:val="23"/>
        </w:rPr>
        <w:t>3.8 High-Quality and Sustainable Growth — 15 points</w:t>
      </w:r>
    </w:p>
    <w:p>
      <w:pPr>
        <w:spacing w:after="120" w:line="259" w:lineRule="auto"/>
        <w:jc w:val="left"/>
      </w:pPr>
      <w:r>
        <w:rPr>
          <w:rFonts w:ascii="Aptos" w:hAnsi="Aptos" w:eastAsia="Aptos" w:cs="Aptos"/>
          <w:b w:val="0"/>
          <w:i w:val="0"/>
          <w:sz w:val="22"/>
        </w:rPr>
        <w:t>Explanation: This criterion evaluates whether the company is growing in a healthy, profitable, and sustainable way. High-quality growth is supported by profits, free cash flow, stable margins, and reasonable leverage.</w:t>
      </w:r>
    </w:p>
    <w:p>
      <w:pPr>
        <w:spacing w:after="120" w:line="259" w:lineRule="auto"/>
        <w:jc w:val="left"/>
      </w:pPr>
      <w:r>
        <w:rPr>
          <w:rFonts w:ascii="Aptos" w:hAnsi="Aptos" w:eastAsia="Aptos" w:cs="Aptos"/>
          <w:b/>
          <w:i w:val="0"/>
          <w:sz w:val="22"/>
        </w:rPr>
        <w:t>How to calculate the criterion:</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Metric</w:t>
            </w:r>
          </w:p>
        </w:tc>
        <w:tc>
          <w:tcPr>
            <w:tcW w:type="dxa" w:w="5100"/>
            <w:vAlign w:val="center"/>
            <w:shd w:fill="D9EAF7"/>
          </w:tcPr>
          <w:p>
            <w:pPr>
              <w:jc w:val="left"/>
            </w:pPr>
            <w:r/>
            <w:r>
              <w:rPr>
                <w:rFonts w:ascii="Aptos" w:hAnsi="Aptos" w:eastAsia="Aptos" w:cs="Aptos"/>
                <w:b/>
                <w:sz w:val="19"/>
              </w:rPr>
              <w:t>Maximum score</w:t>
            </w:r>
          </w:p>
        </w:tc>
      </w:tr>
      <w:tr>
        <w:tc>
          <w:tcPr>
            <w:tcW w:type="dxa" w:w="5100"/>
            <w:vAlign w:val="center"/>
          </w:tcPr>
          <w:p>
            <w:pPr>
              <w:jc w:val="left"/>
            </w:pPr>
            <w:r/>
            <w:r>
              <w:rPr>
                <w:rFonts w:ascii="Aptos" w:hAnsi="Aptos" w:eastAsia="Aptos" w:cs="Aptos"/>
                <w:b w:val="0"/>
                <w:sz w:val="19"/>
              </w:rPr>
              <w:t>Moderate and consistent revenue growth</w:t>
            </w:r>
          </w:p>
        </w:tc>
        <w:tc>
          <w:tcPr>
            <w:tcW w:type="dxa" w:w="5100"/>
            <w:vAlign w:val="center"/>
          </w:tcPr>
          <w:p>
            <w:pPr>
              <w:jc w:val="left"/>
            </w:pPr>
            <w:r/>
            <w:r>
              <w:rPr>
                <w:rFonts w:ascii="Aptos" w:hAnsi="Aptos" w:eastAsia="Aptos" w:cs="Aptos"/>
                <w:b w:val="0"/>
                <w:sz w:val="19"/>
              </w:rPr>
              <w:t>3</w:t>
            </w:r>
          </w:p>
        </w:tc>
      </w:tr>
      <w:tr>
        <w:tc>
          <w:tcPr>
            <w:tcW w:type="dxa" w:w="5100"/>
            <w:vAlign w:val="center"/>
          </w:tcPr>
          <w:p>
            <w:pPr>
              <w:jc w:val="left"/>
            </w:pPr>
            <w:r/>
            <w:r>
              <w:rPr>
                <w:rFonts w:ascii="Aptos" w:hAnsi="Aptos" w:eastAsia="Aptos" w:cs="Aptos"/>
                <w:b w:val="0"/>
                <w:sz w:val="19"/>
              </w:rPr>
              <w:t>EPS growth over time</w:t>
            </w:r>
          </w:p>
        </w:tc>
        <w:tc>
          <w:tcPr>
            <w:tcW w:type="dxa" w:w="5100"/>
            <w:vAlign w:val="center"/>
          </w:tcPr>
          <w:p>
            <w:pPr>
              <w:jc w:val="left"/>
            </w:pPr>
            <w:r/>
            <w:r>
              <w:rPr>
                <w:rFonts w:ascii="Aptos" w:hAnsi="Aptos" w:eastAsia="Aptos" w:cs="Aptos"/>
                <w:b w:val="0"/>
                <w:sz w:val="19"/>
              </w:rPr>
              <w:t>3</w:t>
            </w:r>
          </w:p>
        </w:tc>
      </w:tr>
      <w:tr>
        <w:tc>
          <w:tcPr>
            <w:tcW w:type="dxa" w:w="5100"/>
            <w:vAlign w:val="center"/>
          </w:tcPr>
          <w:p>
            <w:pPr>
              <w:jc w:val="left"/>
            </w:pPr>
            <w:r/>
            <w:r>
              <w:rPr>
                <w:rFonts w:ascii="Aptos" w:hAnsi="Aptos" w:eastAsia="Aptos" w:cs="Aptos"/>
                <w:b w:val="0"/>
                <w:sz w:val="19"/>
              </w:rPr>
              <w:t>FCF growth over time</w:t>
            </w:r>
          </w:p>
        </w:tc>
        <w:tc>
          <w:tcPr>
            <w:tcW w:type="dxa" w:w="5100"/>
            <w:vAlign w:val="center"/>
          </w:tcPr>
          <w:p>
            <w:pPr>
              <w:jc w:val="left"/>
            </w:pPr>
            <w:r/>
            <w:r>
              <w:rPr>
                <w:rFonts w:ascii="Aptos" w:hAnsi="Aptos" w:eastAsia="Aptos" w:cs="Aptos"/>
                <w:b w:val="0"/>
                <w:sz w:val="19"/>
              </w:rPr>
              <w:t>3</w:t>
            </w:r>
          </w:p>
        </w:tc>
      </w:tr>
      <w:tr>
        <w:tc>
          <w:tcPr>
            <w:tcW w:type="dxa" w:w="5100"/>
            <w:vAlign w:val="center"/>
          </w:tcPr>
          <w:p>
            <w:pPr>
              <w:jc w:val="left"/>
            </w:pPr>
            <w:r/>
            <w:r>
              <w:rPr>
                <w:rFonts w:ascii="Aptos" w:hAnsi="Aptos" w:eastAsia="Aptos" w:cs="Aptos"/>
                <w:b w:val="0"/>
                <w:sz w:val="19"/>
              </w:rPr>
              <w:t>Growth does not require excessive debt</w:t>
            </w:r>
          </w:p>
        </w:tc>
        <w:tc>
          <w:tcPr>
            <w:tcW w:type="dxa" w:w="5100"/>
            <w:vAlign w:val="center"/>
          </w:tcPr>
          <w:p>
            <w:pPr>
              <w:jc w:val="left"/>
            </w:pPr>
            <w:r/>
            <w:r>
              <w:rPr>
                <w:rFonts w:ascii="Aptos" w:hAnsi="Aptos" w:eastAsia="Aptos" w:cs="Aptos"/>
                <w:b w:val="0"/>
                <w:sz w:val="19"/>
              </w:rPr>
              <w:t>2</w:t>
            </w:r>
          </w:p>
        </w:tc>
      </w:tr>
      <w:tr>
        <w:tc>
          <w:tcPr>
            <w:tcW w:type="dxa" w:w="5100"/>
            <w:vAlign w:val="center"/>
          </w:tcPr>
          <w:p>
            <w:pPr>
              <w:jc w:val="left"/>
            </w:pPr>
            <w:r/>
            <w:r>
              <w:rPr>
                <w:rFonts w:ascii="Aptos" w:hAnsi="Aptos" w:eastAsia="Aptos" w:cs="Aptos"/>
                <w:b w:val="0"/>
                <w:sz w:val="19"/>
              </w:rPr>
              <w:t>Margins are preserved during growth</w:t>
            </w:r>
          </w:p>
        </w:tc>
        <w:tc>
          <w:tcPr>
            <w:tcW w:type="dxa" w:w="5100"/>
            <w:vAlign w:val="center"/>
          </w:tcPr>
          <w:p>
            <w:pPr>
              <w:jc w:val="left"/>
            </w:pPr>
            <w:r/>
            <w:r>
              <w:rPr>
                <w:rFonts w:ascii="Aptos" w:hAnsi="Aptos" w:eastAsia="Aptos" w:cs="Aptos"/>
                <w:b w:val="0"/>
                <w:sz w:val="19"/>
              </w:rPr>
              <w:t>2</w:t>
            </w:r>
          </w:p>
        </w:tc>
      </w:tr>
      <w:tr>
        <w:tc>
          <w:tcPr>
            <w:tcW w:type="dxa" w:w="5100"/>
            <w:vAlign w:val="center"/>
          </w:tcPr>
          <w:p>
            <w:pPr>
              <w:jc w:val="left"/>
            </w:pPr>
            <w:r/>
            <w:r>
              <w:rPr>
                <w:rFonts w:ascii="Aptos" w:hAnsi="Aptos" w:eastAsia="Aptos" w:cs="Aptos"/>
                <w:b w:val="0"/>
                <w:sz w:val="19"/>
              </w:rPr>
              <w:t>Growth appears sustainable going forward</w:t>
            </w:r>
          </w:p>
        </w:tc>
        <w:tc>
          <w:tcPr>
            <w:tcW w:type="dxa" w:w="5100"/>
            <w:vAlign w:val="center"/>
          </w:tcPr>
          <w:p>
            <w:pPr>
              <w:jc w:val="left"/>
            </w:pPr>
            <w:r/>
            <w:r>
              <w:rPr>
                <w:rFonts w:ascii="Aptos" w:hAnsi="Aptos" w:eastAsia="Aptos" w:cs="Aptos"/>
                <w:b w:val="0"/>
                <w:sz w:val="19"/>
              </w:rPr>
              <w:t>2</w:t>
            </w:r>
          </w:p>
        </w:tc>
      </w:tr>
    </w:tbl>
    <w:p/>
    <w:p>
      <w:pPr>
        <w:spacing w:before="40" w:after="160"/>
        <w:ind w:left="340"/>
        <w:jc w:val="left"/>
      </w:pPr>
      <w:r>
        <w:rPr>
          <w:rFonts w:ascii="DejaVu Sans Mono" w:hAnsi="DejaVu Sans Mono" w:eastAsia="DejaVu Sans Mono" w:cs="DejaVu Sans Mono"/>
          <w:b/>
          <w:sz w:val="20"/>
        </w:rPr>
        <w:t>CAGR = (Final Value / Initial Value)^(1/n) − 1</w:t>
      </w:r>
    </w:p>
    <w:p>
      <w:pPr>
        <w:spacing w:after="120" w:line="259" w:lineRule="auto"/>
        <w:jc w:val="left"/>
      </w:pPr>
      <w:r>
        <w:rPr>
          <w:rFonts w:ascii="Aptos" w:hAnsi="Aptos" w:eastAsia="Aptos" w:cs="Aptos"/>
          <w:b/>
          <w:i w:val="0"/>
          <w:sz w:val="22"/>
        </w:rPr>
        <w:t>Scoring method:</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Situation</w:t>
            </w:r>
          </w:p>
        </w:tc>
        <w:tc>
          <w:tcPr>
            <w:tcW w:type="dxa" w:w="5100"/>
            <w:vAlign w:val="center"/>
            <w:shd w:fill="D9EAF7"/>
          </w:tcPr>
          <w:p>
            <w:pPr>
              <w:jc w:val="left"/>
            </w:pPr>
            <w:r/>
            <w:r>
              <w:rPr>
                <w:rFonts w:ascii="Aptos" w:hAnsi="Aptos" w:eastAsia="Aptos" w:cs="Aptos"/>
                <w:b/>
                <w:sz w:val="19"/>
              </w:rPr>
              <w:t>Score</w:t>
            </w:r>
          </w:p>
        </w:tc>
      </w:tr>
      <w:tr>
        <w:tc>
          <w:tcPr>
            <w:tcW w:type="dxa" w:w="5100"/>
            <w:vAlign w:val="center"/>
          </w:tcPr>
          <w:p>
            <w:pPr>
              <w:jc w:val="left"/>
            </w:pPr>
            <w:r/>
            <w:r>
              <w:rPr>
                <w:rFonts w:ascii="Aptos" w:hAnsi="Aptos" w:eastAsia="Aptos" w:cs="Aptos"/>
                <w:b w:val="0"/>
                <w:sz w:val="19"/>
              </w:rPr>
              <w:t>No growth or growth hurts profitability and cash flow</w:t>
            </w:r>
          </w:p>
        </w:tc>
        <w:tc>
          <w:tcPr>
            <w:tcW w:type="dxa" w:w="5100"/>
            <w:vAlign w:val="center"/>
          </w:tcPr>
          <w:p>
            <w:pPr>
              <w:jc w:val="left"/>
            </w:pPr>
            <w:r/>
            <w:r>
              <w:rPr>
                <w:rFonts w:ascii="Aptos" w:hAnsi="Aptos" w:eastAsia="Aptos" w:cs="Aptos"/>
                <w:b w:val="0"/>
                <w:sz w:val="19"/>
              </w:rPr>
              <w:t>0–5</w:t>
            </w:r>
          </w:p>
        </w:tc>
      </w:tr>
      <w:tr>
        <w:tc>
          <w:tcPr>
            <w:tcW w:type="dxa" w:w="5100"/>
            <w:vAlign w:val="center"/>
          </w:tcPr>
          <w:p>
            <w:pPr>
              <w:jc w:val="left"/>
            </w:pPr>
            <w:r/>
            <w:r>
              <w:rPr>
                <w:rFonts w:ascii="Aptos" w:hAnsi="Aptos" w:eastAsia="Aptos" w:cs="Aptos"/>
                <w:b w:val="0"/>
                <w:sz w:val="19"/>
              </w:rPr>
              <w:t>Growth exists but is volatile or debt-dependent</w:t>
            </w:r>
          </w:p>
        </w:tc>
        <w:tc>
          <w:tcPr>
            <w:tcW w:type="dxa" w:w="5100"/>
            <w:vAlign w:val="center"/>
          </w:tcPr>
          <w:p>
            <w:pPr>
              <w:jc w:val="left"/>
            </w:pPr>
            <w:r/>
            <w:r>
              <w:rPr>
                <w:rFonts w:ascii="Aptos" w:hAnsi="Aptos" w:eastAsia="Aptos" w:cs="Aptos"/>
                <w:b w:val="0"/>
                <w:sz w:val="19"/>
              </w:rPr>
              <w:t>6–10</w:t>
            </w:r>
          </w:p>
        </w:tc>
      </w:tr>
      <w:tr>
        <w:tc>
          <w:tcPr>
            <w:tcW w:type="dxa" w:w="5100"/>
            <w:vAlign w:val="center"/>
          </w:tcPr>
          <w:p>
            <w:pPr>
              <w:jc w:val="left"/>
            </w:pPr>
            <w:r/>
            <w:r>
              <w:rPr>
                <w:rFonts w:ascii="Aptos" w:hAnsi="Aptos" w:eastAsia="Aptos" w:cs="Aptos"/>
                <w:b w:val="0"/>
                <w:sz w:val="19"/>
              </w:rPr>
              <w:t>Stable, profitable growth without excessive debt</w:t>
            </w:r>
          </w:p>
        </w:tc>
        <w:tc>
          <w:tcPr>
            <w:tcW w:type="dxa" w:w="5100"/>
            <w:vAlign w:val="center"/>
          </w:tcPr>
          <w:p>
            <w:pPr>
              <w:jc w:val="left"/>
            </w:pPr>
            <w:r/>
            <w:r>
              <w:rPr>
                <w:rFonts w:ascii="Aptos" w:hAnsi="Aptos" w:eastAsia="Aptos" w:cs="Aptos"/>
                <w:b w:val="0"/>
                <w:sz w:val="19"/>
              </w:rPr>
              <w:t>11–15</w:t>
            </w:r>
          </w:p>
        </w:tc>
      </w:tr>
    </w:tbl>
    <w:p/>
    <w:p>
      <w:pPr>
        <w:pStyle w:val="Heading2"/>
        <w:spacing w:before="200" w:after="120"/>
      </w:pPr>
      <w:r>
        <w:rPr>
          <w:rFonts w:ascii="Aptos" w:hAnsi="Aptos" w:eastAsia="Aptos" w:cs="Aptos"/>
          <w:b/>
          <w:color w:val="1F4E79"/>
          <w:sz w:val="26"/>
        </w:rPr>
        <w:t>4. Business Quality Score Summary</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Quality score</w:t>
            </w:r>
          </w:p>
        </w:tc>
        <w:tc>
          <w:tcPr>
            <w:tcW w:type="dxa" w:w="5100"/>
            <w:vAlign w:val="center"/>
            <w:shd w:fill="D9EAF7"/>
          </w:tcPr>
          <w:p>
            <w:pPr>
              <w:jc w:val="left"/>
            </w:pPr>
            <w:r/>
            <w:r>
              <w:rPr>
                <w:rFonts w:ascii="Aptos" w:hAnsi="Aptos" w:eastAsia="Aptos" w:cs="Aptos"/>
                <w:b/>
                <w:sz w:val="19"/>
              </w:rPr>
              <w:t>Meaning</w:t>
            </w:r>
          </w:p>
        </w:tc>
      </w:tr>
      <w:tr>
        <w:tc>
          <w:tcPr>
            <w:tcW w:type="dxa" w:w="5100"/>
            <w:vAlign w:val="center"/>
          </w:tcPr>
          <w:p>
            <w:pPr>
              <w:jc w:val="left"/>
            </w:pPr>
            <w:r/>
            <w:r>
              <w:rPr>
                <w:rFonts w:ascii="Aptos" w:hAnsi="Aptos" w:eastAsia="Aptos" w:cs="Aptos"/>
                <w:b w:val="0"/>
                <w:sz w:val="19"/>
              </w:rPr>
              <w:t>85–100</w:t>
            </w:r>
          </w:p>
        </w:tc>
        <w:tc>
          <w:tcPr>
            <w:tcW w:type="dxa" w:w="5100"/>
            <w:vAlign w:val="center"/>
          </w:tcPr>
          <w:p>
            <w:pPr>
              <w:jc w:val="left"/>
            </w:pPr>
            <w:r/>
            <w:r>
              <w:rPr>
                <w:rFonts w:ascii="Aptos" w:hAnsi="Aptos" w:eastAsia="Aptos" w:cs="Aptos"/>
                <w:b w:val="0"/>
                <w:sz w:val="19"/>
              </w:rPr>
              <w:t>Very high-quality company, highly aligned with the Buffett approach</w:t>
            </w:r>
          </w:p>
        </w:tc>
      </w:tr>
      <w:tr>
        <w:tc>
          <w:tcPr>
            <w:tcW w:type="dxa" w:w="5100"/>
            <w:vAlign w:val="center"/>
          </w:tcPr>
          <w:p>
            <w:pPr>
              <w:jc w:val="left"/>
            </w:pPr>
            <w:r/>
            <w:r>
              <w:rPr>
                <w:rFonts w:ascii="Aptos" w:hAnsi="Aptos" w:eastAsia="Aptos" w:cs="Aptos"/>
                <w:b w:val="0"/>
                <w:sz w:val="19"/>
              </w:rPr>
              <w:t>70–84</w:t>
            </w:r>
          </w:p>
        </w:tc>
        <w:tc>
          <w:tcPr>
            <w:tcW w:type="dxa" w:w="5100"/>
            <w:vAlign w:val="center"/>
          </w:tcPr>
          <w:p>
            <w:pPr>
              <w:jc w:val="left"/>
            </w:pPr>
            <w:r/>
            <w:r>
              <w:rPr>
                <w:rFonts w:ascii="Aptos" w:hAnsi="Aptos" w:eastAsia="Aptos" w:cs="Aptos"/>
                <w:b w:val="0"/>
                <w:sz w:val="19"/>
              </w:rPr>
              <w:t>Good company, but specific weaknesses and risks should be reviewed</w:t>
            </w:r>
          </w:p>
        </w:tc>
      </w:tr>
      <w:tr>
        <w:tc>
          <w:tcPr>
            <w:tcW w:type="dxa" w:w="5100"/>
            <w:vAlign w:val="center"/>
          </w:tcPr>
          <w:p>
            <w:pPr>
              <w:jc w:val="left"/>
            </w:pPr>
            <w:r/>
            <w:r>
              <w:rPr>
                <w:rFonts w:ascii="Aptos" w:hAnsi="Aptos" w:eastAsia="Aptos" w:cs="Aptos"/>
                <w:b w:val="0"/>
                <w:sz w:val="19"/>
              </w:rPr>
              <w:t>55–69</w:t>
            </w:r>
          </w:p>
        </w:tc>
        <w:tc>
          <w:tcPr>
            <w:tcW w:type="dxa" w:w="5100"/>
            <w:vAlign w:val="center"/>
          </w:tcPr>
          <w:p>
            <w:pPr>
              <w:jc w:val="left"/>
            </w:pPr>
            <w:r/>
            <w:r>
              <w:rPr>
                <w:rFonts w:ascii="Aptos" w:hAnsi="Aptos" w:eastAsia="Aptos" w:cs="Aptos"/>
                <w:b w:val="0"/>
                <w:sz w:val="19"/>
              </w:rPr>
              <w:t>Reasonable company, but not strong enough for a Buffett-style investment</w:t>
            </w:r>
          </w:p>
        </w:tc>
      </w:tr>
      <w:tr>
        <w:tc>
          <w:tcPr>
            <w:tcW w:type="dxa" w:w="5100"/>
            <w:vAlign w:val="center"/>
          </w:tcPr>
          <w:p>
            <w:pPr>
              <w:jc w:val="left"/>
            </w:pPr>
            <w:r/>
            <w:r>
              <w:rPr>
                <w:rFonts w:ascii="Aptos" w:hAnsi="Aptos" w:eastAsia="Aptos" w:cs="Aptos"/>
                <w:b w:val="0"/>
                <w:sz w:val="19"/>
              </w:rPr>
              <w:t>Below 55</w:t>
            </w:r>
          </w:p>
        </w:tc>
        <w:tc>
          <w:tcPr>
            <w:tcW w:type="dxa" w:w="5100"/>
            <w:vAlign w:val="center"/>
          </w:tcPr>
          <w:p>
            <w:pPr>
              <w:jc w:val="left"/>
            </w:pPr>
            <w:r/>
            <w:r>
              <w:rPr>
                <w:rFonts w:ascii="Aptos" w:hAnsi="Aptos" w:eastAsia="Aptos" w:cs="Aptos"/>
                <w:b w:val="0"/>
                <w:sz w:val="19"/>
              </w:rPr>
              <w:t>Probably not suitable for the Buffett approach</w:t>
            </w:r>
          </w:p>
        </w:tc>
      </w:tr>
    </w:tbl>
    <w:p/>
    <w:p>
      <w:pPr>
        <w:spacing w:after="120" w:line="259" w:lineRule="auto"/>
        <w:jc w:val="left"/>
      </w:pPr>
      <w:r>
        <w:rPr>
          <w:rFonts w:ascii="Aptos" w:hAnsi="Aptos" w:eastAsia="Aptos" w:cs="Aptos"/>
          <w:b w:val="0"/>
          <w:i w:val="0"/>
          <w:sz w:val="22"/>
        </w:rPr>
        <w:t>A high quality score means that the company itself is attractive. It does not necessarily mean the stock should be bought now. The stock price must also be compared with intrinsic value.</w:t>
      </w:r>
    </w:p>
    <w:p>
      <w:pPr>
        <w:pStyle w:val="Heading2"/>
        <w:spacing w:before="200" w:after="120"/>
      </w:pPr>
      <w:r>
        <w:rPr>
          <w:rFonts w:ascii="Aptos" w:hAnsi="Aptos" w:eastAsia="Aptos" w:cs="Aptos"/>
          <w:b/>
          <w:color w:val="1F4E79"/>
          <w:sz w:val="26"/>
        </w:rPr>
        <w:t>5. Explanation of the Stock Price Versus Fair Value Score</w:t>
      </w:r>
    </w:p>
    <w:p>
      <w:pPr>
        <w:spacing w:after="120" w:line="259" w:lineRule="auto"/>
        <w:jc w:val="left"/>
      </w:pPr>
      <w:r>
        <w:rPr>
          <w:rFonts w:ascii="Aptos" w:hAnsi="Aptos" w:eastAsia="Aptos" w:cs="Aptos"/>
          <w:b w:val="0"/>
          <w:i w:val="0"/>
          <w:sz w:val="22"/>
        </w:rPr>
        <w:t>The price score evaluates whether the current share price is below, close to, or above the company’s intrinsic value. It includes both a percentage discount or premium and a score out of 10.</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Input</w:t>
            </w:r>
          </w:p>
        </w:tc>
        <w:tc>
          <w:tcPr>
            <w:tcW w:type="dxa" w:w="5100"/>
            <w:vAlign w:val="center"/>
            <w:shd w:fill="D9EAF7"/>
          </w:tcPr>
          <w:p>
            <w:pPr>
              <w:jc w:val="left"/>
            </w:pPr>
            <w:r/>
            <w:r>
              <w:rPr>
                <w:rFonts w:ascii="Aptos" w:hAnsi="Aptos" w:eastAsia="Aptos" w:cs="Aptos"/>
                <w:b/>
                <w:sz w:val="19"/>
              </w:rPr>
              <w:t>Explanation</w:t>
            </w:r>
          </w:p>
        </w:tc>
      </w:tr>
      <w:tr>
        <w:tc>
          <w:tcPr>
            <w:tcW w:type="dxa" w:w="5100"/>
            <w:vAlign w:val="center"/>
          </w:tcPr>
          <w:p>
            <w:pPr>
              <w:jc w:val="left"/>
            </w:pPr>
            <w:r/>
            <w:r>
              <w:rPr>
                <w:rFonts w:ascii="Aptos" w:hAnsi="Aptos" w:eastAsia="Aptos" w:cs="Aptos"/>
                <w:b w:val="0"/>
                <w:sz w:val="19"/>
              </w:rPr>
              <w:t>Current Price</w:t>
            </w:r>
          </w:p>
        </w:tc>
        <w:tc>
          <w:tcPr>
            <w:tcW w:type="dxa" w:w="5100"/>
            <w:vAlign w:val="center"/>
          </w:tcPr>
          <w:p>
            <w:pPr>
              <w:jc w:val="left"/>
            </w:pPr>
            <w:r/>
            <w:r>
              <w:rPr>
                <w:rFonts w:ascii="Aptos" w:hAnsi="Aptos" w:eastAsia="Aptos" w:cs="Aptos"/>
                <w:b w:val="0"/>
                <w:sz w:val="19"/>
              </w:rPr>
              <w:t>The current market price of the stock</w:t>
            </w:r>
          </w:p>
        </w:tc>
      </w:tr>
      <w:tr>
        <w:tc>
          <w:tcPr>
            <w:tcW w:type="dxa" w:w="5100"/>
            <w:vAlign w:val="center"/>
          </w:tcPr>
          <w:p>
            <w:pPr>
              <w:jc w:val="left"/>
            </w:pPr>
            <w:r/>
            <w:r>
              <w:rPr>
                <w:rFonts w:ascii="Aptos" w:hAnsi="Aptos" w:eastAsia="Aptos" w:cs="Aptos"/>
                <w:b w:val="0"/>
                <w:sz w:val="19"/>
              </w:rPr>
              <w:t>Fair Value</w:t>
            </w:r>
          </w:p>
        </w:tc>
        <w:tc>
          <w:tcPr>
            <w:tcW w:type="dxa" w:w="5100"/>
            <w:vAlign w:val="center"/>
          </w:tcPr>
          <w:p>
            <w:pPr>
              <w:jc w:val="left"/>
            </w:pPr>
            <w:r/>
            <w:r>
              <w:rPr>
                <w:rFonts w:ascii="Aptos" w:hAnsi="Aptos" w:eastAsia="Aptos" w:cs="Aptos"/>
                <w:b w:val="0"/>
                <w:sz w:val="19"/>
              </w:rPr>
              <w:t>The estimated intrinsic value per share</w:t>
            </w:r>
          </w:p>
        </w:tc>
      </w:tr>
      <w:tr>
        <w:tc>
          <w:tcPr>
            <w:tcW w:type="dxa" w:w="5100"/>
            <w:vAlign w:val="center"/>
          </w:tcPr>
          <w:p>
            <w:pPr>
              <w:jc w:val="left"/>
            </w:pPr>
            <w:r/>
            <w:r>
              <w:rPr>
                <w:rFonts w:ascii="Aptos" w:hAnsi="Aptos" w:eastAsia="Aptos" w:cs="Aptos"/>
                <w:b w:val="0"/>
                <w:sz w:val="19"/>
              </w:rPr>
              <w:t>Margin of Safety</w:t>
            </w:r>
          </w:p>
        </w:tc>
        <w:tc>
          <w:tcPr>
            <w:tcW w:type="dxa" w:w="5100"/>
            <w:vAlign w:val="center"/>
          </w:tcPr>
          <w:p>
            <w:pPr>
              <w:jc w:val="left"/>
            </w:pPr>
            <w:r/>
            <w:r>
              <w:rPr>
                <w:rFonts w:ascii="Aptos" w:hAnsi="Aptos" w:eastAsia="Aptos" w:cs="Aptos"/>
                <w:b w:val="0"/>
                <w:sz w:val="19"/>
              </w:rPr>
              <w:t>The discount relative to fair value</w:t>
            </w:r>
          </w:p>
        </w:tc>
      </w:tr>
      <w:tr>
        <w:tc>
          <w:tcPr>
            <w:tcW w:type="dxa" w:w="5100"/>
            <w:vAlign w:val="center"/>
          </w:tcPr>
          <w:p>
            <w:pPr>
              <w:jc w:val="left"/>
            </w:pPr>
            <w:r/>
            <w:r>
              <w:rPr>
                <w:rFonts w:ascii="Aptos" w:hAnsi="Aptos" w:eastAsia="Aptos" w:cs="Aptos"/>
                <w:b w:val="0"/>
                <w:sz w:val="19"/>
              </w:rPr>
              <w:t>Upside / Downside</w:t>
            </w:r>
          </w:p>
        </w:tc>
        <w:tc>
          <w:tcPr>
            <w:tcW w:type="dxa" w:w="5100"/>
            <w:vAlign w:val="center"/>
          </w:tcPr>
          <w:p>
            <w:pPr>
              <w:jc w:val="left"/>
            </w:pPr>
            <w:r/>
            <w:r>
              <w:rPr>
                <w:rFonts w:ascii="Aptos" w:hAnsi="Aptos" w:eastAsia="Aptos" w:cs="Aptos"/>
                <w:b w:val="0"/>
                <w:sz w:val="19"/>
              </w:rPr>
              <w:t>Potential move to fair value</w:t>
            </w:r>
          </w:p>
        </w:tc>
      </w:tr>
    </w:tbl>
    <w:p/>
    <w:p>
      <w:pPr>
        <w:pStyle w:val="Heading2"/>
        <w:spacing w:before="200" w:after="120"/>
      </w:pPr>
      <w:r>
        <w:rPr>
          <w:rFonts w:ascii="Aptos" w:hAnsi="Aptos" w:eastAsia="Aptos" w:cs="Aptos"/>
          <w:b/>
          <w:color w:val="1F4E79"/>
          <w:sz w:val="26"/>
        </w:rPr>
        <w:t>6. Calculating Whether the Stock Is Cheap or Expensive</w:t>
      </w:r>
    </w:p>
    <w:p>
      <w:pPr>
        <w:spacing w:after="120" w:line="259" w:lineRule="auto"/>
        <w:jc w:val="left"/>
      </w:pPr>
      <w:r>
        <w:rPr>
          <w:rFonts w:ascii="Aptos" w:hAnsi="Aptos" w:eastAsia="Aptos" w:cs="Aptos"/>
          <w:b w:val="0"/>
          <w:i w:val="0"/>
          <w:sz w:val="22"/>
        </w:rPr>
        <w:t>In a Buffett-style approach, intrinsic value is based on the present value of future owner earnings or free cash flows.</w:t>
      </w:r>
    </w:p>
    <w:p>
      <w:pPr>
        <w:spacing w:before="40" w:after="160"/>
        <w:ind w:left="340"/>
        <w:jc w:val="left"/>
      </w:pPr>
      <w:r>
        <w:rPr>
          <w:rFonts w:ascii="DejaVu Sans Mono" w:hAnsi="DejaVu Sans Mono" w:eastAsia="DejaVu Sans Mono" w:cs="DejaVu Sans Mono"/>
          <w:b/>
          <w:sz w:val="20"/>
        </w:rPr>
        <w:t>Fair Value Per Share = (PV of Future Owner Earnings + Excess Cash − Debt) / Diluted Shares</w:t>
      </w:r>
    </w:p>
    <w:p>
      <w:pPr>
        <w:spacing w:before="40" w:after="160"/>
        <w:ind w:left="340"/>
        <w:jc w:val="left"/>
      </w:pPr>
      <w:r>
        <w:rPr>
          <w:rFonts w:ascii="DejaVu Sans Mono" w:hAnsi="DejaVu Sans Mono" w:eastAsia="DejaVu Sans Mono" w:cs="DejaVu Sans Mono"/>
          <w:b/>
          <w:sz w:val="20"/>
        </w:rPr>
        <w:t>Discount to Fair Value = (Fair Value − Current Price) / Fair Value</w:t>
      </w:r>
    </w:p>
    <w:p>
      <w:pPr>
        <w:spacing w:before="40" w:after="160"/>
        <w:ind w:left="340"/>
        <w:jc w:val="left"/>
      </w:pPr>
      <w:r>
        <w:rPr>
          <w:rFonts w:ascii="DejaVu Sans Mono" w:hAnsi="DejaVu Sans Mono" w:eastAsia="DejaVu Sans Mono" w:cs="DejaVu Sans Mono"/>
          <w:b/>
          <w:sz w:val="20"/>
        </w:rPr>
        <w:t>Premium to Fair Value = (Current Price − Fair Value) / Fair Value</w:t>
      </w:r>
    </w:p>
    <w:p>
      <w:pPr>
        <w:spacing w:before="40" w:after="160"/>
        <w:ind w:left="340"/>
        <w:jc w:val="left"/>
      </w:pPr>
      <w:r>
        <w:rPr>
          <w:rFonts w:ascii="DejaVu Sans Mono" w:hAnsi="DejaVu Sans Mono" w:eastAsia="DejaVu Sans Mono" w:cs="DejaVu Sans Mono"/>
          <w:b/>
          <w:sz w:val="20"/>
        </w:rPr>
        <w:t>Upside = (Fair Value − Current Price) / Current Price</w:t>
      </w:r>
    </w:p>
    <w:p>
      <w:pPr>
        <w:pStyle w:val="Heading2"/>
        <w:spacing w:before="200" w:after="120"/>
      </w:pPr>
      <w:r>
        <w:rPr>
          <w:rFonts w:ascii="Aptos" w:hAnsi="Aptos" w:eastAsia="Aptos" w:cs="Aptos"/>
          <w:b/>
          <w:color w:val="1F4E79"/>
          <w:sz w:val="26"/>
        </w:rPr>
        <w:t>7. Buffett Price Score</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jc w:val="left"/>
            </w:pPr>
            <w:r/>
            <w:r>
              <w:rPr>
                <w:rFonts w:ascii="Aptos" w:hAnsi="Aptos" w:eastAsia="Aptos" w:cs="Aptos"/>
                <w:b/>
                <w:sz w:val="19"/>
              </w:rPr>
              <w:t>Stock valuation state</w:t>
            </w:r>
          </w:p>
        </w:tc>
        <w:tc>
          <w:tcPr>
            <w:tcW w:type="dxa" w:w="3400"/>
            <w:vAlign w:val="center"/>
            <w:shd w:fill="D9EAF7"/>
          </w:tcPr>
          <w:p>
            <w:pPr>
              <w:jc w:val="left"/>
            </w:pPr>
            <w:r/>
            <w:r>
              <w:rPr>
                <w:rFonts w:ascii="Aptos" w:hAnsi="Aptos" w:eastAsia="Aptos" w:cs="Aptos"/>
                <w:b/>
                <w:sz w:val="19"/>
              </w:rPr>
              <w:t>Margin of safety</w:t>
            </w:r>
          </w:p>
        </w:tc>
        <w:tc>
          <w:tcPr>
            <w:tcW w:type="dxa" w:w="3400"/>
            <w:vAlign w:val="center"/>
            <w:shd w:fill="D9EAF7"/>
          </w:tcPr>
          <w:p>
            <w:pPr>
              <w:jc w:val="left"/>
            </w:pPr>
            <w:r/>
            <w:r>
              <w:rPr>
                <w:rFonts w:ascii="Aptos" w:hAnsi="Aptos" w:eastAsia="Aptos" w:cs="Aptos"/>
                <w:b/>
                <w:sz w:val="19"/>
              </w:rPr>
              <w:t>Price score</w:t>
            </w:r>
          </w:p>
        </w:tc>
      </w:tr>
      <w:tr>
        <w:tc>
          <w:tcPr>
            <w:tcW w:type="dxa" w:w="3400"/>
            <w:vAlign w:val="center"/>
          </w:tcPr>
          <w:p>
            <w:pPr>
              <w:jc w:val="left"/>
            </w:pPr>
            <w:r/>
            <w:r>
              <w:rPr>
                <w:rFonts w:ascii="Aptos" w:hAnsi="Aptos" w:eastAsia="Aptos" w:cs="Aptos"/>
                <w:b w:val="0"/>
                <w:sz w:val="19"/>
              </w:rPr>
              <w:t>Significantly expensive</w:t>
            </w:r>
          </w:p>
        </w:tc>
        <w:tc>
          <w:tcPr>
            <w:tcW w:type="dxa" w:w="3400"/>
            <w:vAlign w:val="center"/>
          </w:tcPr>
          <w:p>
            <w:pPr>
              <w:jc w:val="left"/>
            </w:pPr>
            <w:r/>
            <w:r>
              <w:rPr>
                <w:rFonts w:ascii="Aptos" w:hAnsi="Aptos" w:eastAsia="Aptos" w:cs="Aptos"/>
                <w:b w:val="0"/>
                <w:sz w:val="19"/>
              </w:rPr>
              <w:t>More than 20% above fair value</w:t>
            </w:r>
          </w:p>
        </w:tc>
        <w:tc>
          <w:tcPr>
            <w:tcW w:type="dxa" w:w="3400"/>
            <w:vAlign w:val="center"/>
          </w:tcPr>
          <w:p>
            <w:pPr>
              <w:jc w:val="left"/>
            </w:pPr>
            <w:r/>
            <w:r>
              <w:rPr>
                <w:rFonts w:ascii="Aptos" w:hAnsi="Aptos" w:eastAsia="Aptos" w:cs="Aptos"/>
                <w:b w:val="0"/>
                <w:sz w:val="19"/>
              </w:rPr>
              <w:t>0</w:t>
            </w:r>
          </w:p>
        </w:tc>
      </w:tr>
      <w:tr>
        <w:tc>
          <w:tcPr>
            <w:tcW w:type="dxa" w:w="3400"/>
            <w:vAlign w:val="center"/>
          </w:tcPr>
          <w:p>
            <w:pPr>
              <w:jc w:val="left"/>
            </w:pPr>
            <w:r/>
            <w:r>
              <w:rPr>
                <w:rFonts w:ascii="Aptos" w:hAnsi="Aptos" w:eastAsia="Aptos" w:cs="Aptos"/>
                <w:b w:val="0"/>
                <w:sz w:val="19"/>
              </w:rPr>
              <w:t>Expensive</w:t>
            </w:r>
          </w:p>
        </w:tc>
        <w:tc>
          <w:tcPr>
            <w:tcW w:type="dxa" w:w="3400"/>
            <w:vAlign w:val="center"/>
          </w:tcPr>
          <w:p>
            <w:pPr>
              <w:jc w:val="left"/>
            </w:pPr>
            <w:r/>
            <w:r>
              <w:rPr>
                <w:rFonts w:ascii="Aptos" w:hAnsi="Aptos" w:eastAsia="Aptos" w:cs="Aptos"/>
                <w:b w:val="0"/>
                <w:sz w:val="19"/>
              </w:rPr>
              <w:t>0%–20% above fair value</w:t>
            </w:r>
          </w:p>
        </w:tc>
        <w:tc>
          <w:tcPr>
            <w:tcW w:type="dxa" w:w="3400"/>
            <w:vAlign w:val="center"/>
          </w:tcPr>
          <w:p>
            <w:pPr>
              <w:jc w:val="left"/>
            </w:pPr>
            <w:r/>
            <w:r>
              <w:rPr>
                <w:rFonts w:ascii="Aptos" w:hAnsi="Aptos" w:eastAsia="Aptos" w:cs="Aptos"/>
                <w:b w:val="0"/>
                <w:sz w:val="19"/>
              </w:rPr>
              <w:t>1–2</w:t>
            </w:r>
          </w:p>
        </w:tc>
      </w:tr>
      <w:tr>
        <w:tc>
          <w:tcPr>
            <w:tcW w:type="dxa" w:w="3400"/>
            <w:vAlign w:val="center"/>
          </w:tcPr>
          <w:p>
            <w:pPr>
              <w:jc w:val="left"/>
            </w:pPr>
            <w:r/>
            <w:r>
              <w:rPr>
                <w:rFonts w:ascii="Aptos" w:hAnsi="Aptos" w:eastAsia="Aptos" w:cs="Aptos"/>
                <w:b w:val="0"/>
                <w:sz w:val="19"/>
              </w:rPr>
              <w:t>Near fair value</w:t>
            </w:r>
          </w:p>
        </w:tc>
        <w:tc>
          <w:tcPr>
            <w:tcW w:type="dxa" w:w="3400"/>
            <w:vAlign w:val="center"/>
          </w:tcPr>
          <w:p>
            <w:pPr>
              <w:jc w:val="left"/>
            </w:pPr>
            <w:r/>
            <w:r>
              <w:rPr>
                <w:rFonts w:ascii="Aptos" w:hAnsi="Aptos" w:eastAsia="Aptos" w:cs="Aptos"/>
                <w:b w:val="0"/>
                <w:sz w:val="19"/>
              </w:rPr>
              <w:t>0%–10% discount</w:t>
            </w:r>
          </w:p>
        </w:tc>
        <w:tc>
          <w:tcPr>
            <w:tcW w:type="dxa" w:w="3400"/>
            <w:vAlign w:val="center"/>
          </w:tcPr>
          <w:p>
            <w:pPr>
              <w:jc w:val="left"/>
            </w:pPr>
            <w:r/>
            <w:r>
              <w:rPr>
                <w:rFonts w:ascii="Aptos" w:hAnsi="Aptos" w:eastAsia="Aptos" w:cs="Aptos"/>
                <w:b w:val="0"/>
                <w:sz w:val="19"/>
              </w:rPr>
              <w:t>3–4</w:t>
            </w:r>
          </w:p>
        </w:tc>
      </w:tr>
      <w:tr>
        <w:tc>
          <w:tcPr>
            <w:tcW w:type="dxa" w:w="3400"/>
            <w:vAlign w:val="center"/>
          </w:tcPr>
          <w:p>
            <w:pPr>
              <w:jc w:val="left"/>
            </w:pPr>
            <w:r/>
            <w:r>
              <w:rPr>
                <w:rFonts w:ascii="Aptos" w:hAnsi="Aptos" w:eastAsia="Aptos" w:cs="Aptos"/>
                <w:b w:val="0"/>
                <w:sz w:val="19"/>
              </w:rPr>
              <w:t>Moderately cheap</w:t>
            </w:r>
          </w:p>
        </w:tc>
        <w:tc>
          <w:tcPr>
            <w:tcW w:type="dxa" w:w="3400"/>
            <w:vAlign w:val="center"/>
          </w:tcPr>
          <w:p>
            <w:pPr>
              <w:jc w:val="left"/>
            </w:pPr>
            <w:r/>
            <w:r>
              <w:rPr>
                <w:rFonts w:ascii="Aptos" w:hAnsi="Aptos" w:eastAsia="Aptos" w:cs="Aptos"/>
                <w:b w:val="0"/>
                <w:sz w:val="19"/>
              </w:rPr>
              <w:t>10%–20% discount</w:t>
            </w:r>
          </w:p>
        </w:tc>
        <w:tc>
          <w:tcPr>
            <w:tcW w:type="dxa" w:w="3400"/>
            <w:vAlign w:val="center"/>
          </w:tcPr>
          <w:p>
            <w:pPr>
              <w:jc w:val="left"/>
            </w:pPr>
            <w:r/>
            <w:r>
              <w:rPr>
                <w:rFonts w:ascii="Aptos" w:hAnsi="Aptos" w:eastAsia="Aptos" w:cs="Aptos"/>
                <w:b w:val="0"/>
                <w:sz w:val="19"/>
              </w:rPr>
              <w:t>5–6</w:t>
            </w:r>
          </w:p>
        </w:tc>
      </w:tr>
      <w:tr>
        <w:tc>
          <w:tcPr>
            <w:tcW w:type="dxa" w:w="3400"/>
            <w:vAlign w:val="center"/>
          </w:tcPr>
          <w:p>
            <w:pPr>
              <w:jc w:val="left"/>
            </w:pPr>
            <w:r/>
            <w:r>
              <w:rPr>
                <w:rFonts w:ascii="Aptos" w:hAnsi="Aptos" w:eastAsia="Aptos" w:cs="Aptos"/>
                <w:b w:val="0"/>
                <w:sz w:val="19"/>
              </w:rPr>
              <w:t>Attractive</w:t>
            </w:r>
          </w:p>
        </w:tc>
        <w:tc>
          <w:tcPr>
            <w:tcW w:type="dxa" w:w="3400"/>
            <w:vAlign w:val="center"/>
          </w:tcPr>
          <w:p>
            <w:pPr>
              <w:jc w:val="left"/>
            </w:pPr>
            <w:r/>
            <w:r>
              <w:rPr>
                <w:rFonts w:ascii="Aptos" w:hAnsi="Aptos" w:eastAsia="Aptos" w:cs="Aptos"/>
                <w:b w:val="0"/>
                <w:sz w:val="19"/>
              </w:rPr>
              <w:t>20%–30% discount</w:t>
            </w:r>
          </w:p>
        </w:tc>
        <w:tc>
          <w:tcPr>
            <w:tcW w:type="dxa" w:w="3400"/>
            <w:vAlign w:val="center"/>
          </w:tcPr>
          <w:p>
            <w:pPr>
              <w:jc w:val="left"/>
            </w:pPr>
            <w:r/>
            <w:r>
              <w:rPr>
                <w:rFonts w:ascii="Aptos" w:hAnsi="Aptos" w:eastAsia="Aptos" w:cs="Aptos"/>
                <w:b w:val="0"/>
                <w:sz w:val="19"/>
              </w:rPr>
              <w:t>7–8</w:t>
            </w:r>
          </w:p>
        </w:tc>
      </w:tr>
      <w:tr>
        <w:tc>
          <w:tcPr>
            <w:tcW w:type="dxa" w:w="3400"/>
            <w:vAlign w:val="center"/>
          </w:tcPr>
          <w:p>
            <w:pPr>
              <w:jc w:val="left"/>
            </w:pPr>
            <w:r/>
            <w:r>
              <w:rPr>
                <w:rFonts w:ascii="Aptos" w:hAnsi="Aptos" w:eastAsia="Aptos" w:cs="Aptos"/>
                <w:b w:val="0"/>
                <w:sz w:val="19"/>
              </w:rPr>
              <w:t>Very cheap</w:t>
            </w:r>
          </w:p>
        </w:tc>
        <w:tc>
          <w:tcPr>
            <w:tcW w:type="dxa" w:w="3400"/>
            <w:vAlign w:val="center"/>
          </w:tcPr>
          <w:p>
            <w:pPr>
              <w:jc w:val="left"/>
            </w:pPr>
            <w:r/>
            <w:r>
              <w:rPr>
                <w:rFonts w:ascii="Aptos" w:hAnsi="Aptos" w:eastAsia="Aptos" w:cs="Aptos"/>
                <w:b w:val="0"/>
                <w:sz w:val="19"/>
              </w:rPr>
              <w:t>More than 30% discount</w:t>
            </w:r>
          </w:p>
        </w:tc>
        <w:tc>
          <w:tcPr>
            <w:tcW w:type="dxa" w:w="3400"/>
            <w:vAlign w:val="center"/>
          </w:tcPr>
          <w:p>
            <w:pPr>
              <w:jc w:val="left"/>
            </w:pPr>
            <w:r/>
            <w:r>
              <w:rPr>
                <w:rFonts w:ascii="Aptos" w:hAnsi="Aptos" w:eastAsia="Aptos" w:cs="Aptos"/>
                <w:b w:val="0"/>
                <w:sz w:val="19"/>
              </w:rPr>
              <w:t>9–10</w:t>
            </w:r>
          </w:p>
        </w:tc>
      </w:tr>
    </w:tbl>
    <w:p/>
    <w:p>
      <w:pPr>
        <w:pStyle w:val="Heading2"/>
        <w:spacing w:before="200" w:after="120"/>
      </w:pPr>
      <w:r>
        <w:rPr>
          <w:rFonts w:ascii="Aptos" w:hAnsi="Aptos" w:eastAsia="Aptos" w:cs="Aptos"/>
          <w:b/>
          <w:color w:val="1F4E79"/>
          <w:sz w:val="26"/>
        </w:rPr>
        <w:t>8. Setting a Desired Buy Price</w:t>
      </w:r>
    </w:p>
    <w:p>
      <w:pPr>
        <w:spacing w:after="120" w:line="259" w:lineRule="auto"/>
        <w:jc w:val="left"/>
      </w:pPr>
      <w:r>
        <w:rPr>
          <w:rFonts w:ascii="Aptos" w:hAnsi="Aptos" w:eastAsia="Aptos" w:cs="Aptos"/>
          <w:b w:val="0"/>
          <w:i w:val="0"/>
          <w:sz w:val="22"/>
        </w:rPr>
        <w:t>The desired buy price is based on fair value and the required margin of safety.</w:t>
      </w:r>
    </w:p>
    <w:p>
      <w:pPr>
        <w:spacing w:before="40" w:after="160"/>
        <w:ind w:left="340"/>
        <w:jc w:val="left"/>
      </w:pPr>
      <w:r>
        <w:rPr>
          <w:rFonts w:ascii="DejaVu Sans Mono" w:hAnsi="DejaVu Sans Mono" w:eastAsia="DejaVu Sans Mono" w:cs="DejaVu Sans Mono"/>
          <w:b/>
          <w:sz w:val="20"/>
        </w:rPr>
        <w:t>Buy Price = Fair Value × (1 − Required Margin of Safety)</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jc w:val="left"/>
            </w:pPr>
            <w:r/>
            <w:r>
              <w:rPr>
                <w:rFonts w:ascii="Aptos" w:hAnsi="Aptos" w:eastAsia="Aptos" w:cs="Aptos"/>
                <w:b/>
                <w:sz w:val="19"/>
              </w:rPr>
              <w:t>Buffett quality score</w:t>
            </w:r>
          </w:p>
        </w:tc>
        <w:tc>
          <w:tcPr>
            <w:tcW w:type="dxa" w:w="2550"/>
            <w:vAlign w:val="center"/>
            <w:shd w:fill="D9EAF7"/>
          </w:tcPr>
          <w:p>
            <w:pPr>
              <w:jc w:val="left"/>
            </w:pPr>
            <w:r/>
            <w:r>
              <w:rPr>
                <w:rFonts w:ascii="Aptos" w:hAnsi="Aptos" w:eastAsia="Aptos" w:cs="Aptos"/>
                <w:b/>
                <w:sz w:val="19"/>
              </w:rPr>
              <w:t>Quality level</w:t>
            </w:r>
          </w:p>
        </w:tc>
        <w:tc>
          <w:tcPr>
            <w:tcW w:type="dxa" w:w="2550"/>
            <w:vAlign w:val="center"/>
            <w:shd w:fill="D9EAF7"/>
          </w:tcPr>
          <w:p>
            <w:pPr>
              <w:jc w:val="left"/>
            </w:pPr>
            <w:r/>
            <w:r>
              <w:rPr>
                <w:rFonts w:ascii="Aptos" w:hAnsi="Aptos" w:eastAsia="Aptos" w:cs="Aptos"/>
                <w:b/>
                <w:sz w:val="19"/>
              </w:rPr>
              <w:t>Required margin of safety</w:t>
            </w:r>
          </w:p>
        </w:tc>
        <w:tc>
          <w:tcPr>
            <w:tcW w:type="dxa" w:w="2550"/>
            <w:vAlign w:val="center"/>
            <w:shd w:fill="D9EAF7"/>
          </w:tcPr>
          <w:p>
            <w:pPr>
              <w:jc w:val="left"/>
            </w:pPr>
            <w:r/>
            <w:r>
              <w:rPr>
                <w:rFonts w:ascii="Aptos" w:hAnsi="Aptos" w:eastAsia="Aptos" w:cs="Aptos"/>
                <w:b/>
                <w:sz w:val="19"/>
              </w:rPr>
              <w:t>Desired buy price</w:t>
            </w:r>
          </w:p>
        </w:tc>
      </w:tr>
      <w:tr>
        <w:tc>
          <w:tcPr>
            <w:tcW w:type="dxa" w:w="2550"/>
            <w:vAlign w:val="center"/>
          </w:tcPr>
          <w:p>
            <w:pPr>
              <w:jc w:val="left"/>
            </w:pPr>
            <w:r/>
            <w:r>
              <w:rPr>
                <w:rFonts w:ascii="Aptos" w:hAnsi="Aptos" w:eastAsia="Aptos" w:cs="Aptos"/>
                <w:b w:val="0"/>
                <w:sz w:val="19"/>
              </w:rPr>
              <w:t>85–100</w:t>
            </w:r>
          </w:p>
        </w:tc>
        <w:tc>
          <w:tcPr>
            <w:tcW w:type="dxa" w:w="2550"/>
            <w:vAlign w:val="center"/>
          </w:tcPr>
          <w:p>
            <w:pPr>
              <w:jc w:val="left"/>
            </w:pPr>
            <w:r/>
            <w:r>
              <w:rPr>
                <w:rFonts w:ascii="Aptos" w:hAnsi="Aptos" w:eastAsia="Aptos" w:cs="Aptos"/>
                <w:b w:val="0"/>
                <w:sz w:val="19"/>
              </w:rPr>
              <w:t>Excellent company</w:t>
            </w:r>
          </w:p>
        </w:tc>
        <w:tc>
          <w:tcPr>
            <w:tcW w:type="dxa" w:w="2550"/>
            <w:vAlign w:val="center"/>
          </w:tcPr>
          <w:p>
            <w:pPr>
              <w:jc w:val="left"/>
            </w:pPr>
            <w:r/>
            <w:r>
              <w:rPr>
                <w:rFonts w:ascii="Aptos" w:hAnsi="Aptos" w:eastAsia="Aptos" w:cs="Aptos"/>
                <w:b w:val="0"/>
                <w:sz w:val="19"/>
              </w:rPr>
              <w:t>15%–20%</w:t>
            </w:r>
          </w:p>
        </w:tc>
        <w:tc>
          <w:tcPr>
            <w:tcW w:type="dxa" w:w="2550"/>
            <w:vAlign w:val="center"/>
          </w:tcPr>
          <w:p>
            <w:pPr>
              <w:jc w:val="left"/>
            </w:pPr>
            <w:r/>
            <w:r>
              <w:rPr>
                <w:rFonts w:ascii="Aptos" w:hAnsi="Aptos" w:eastAsia="Aptos" w:cs="Aptos"/>
                <w:b w:val="0"/>
                <w:sz w:val="19"/>
              </w:rPr>
              <w:t>Up to 80%–85% of fair value</w:t>
            </w:r>
          </w:p>
        </w:tc>
      </w:tr>
      <w:tr>
        <w:tc>
          <w:tcPr>
            <w:tcW w:type="dxa" w:w="2550"/>
            <w:vAlign w:val="center"/>
          </w:tcPr>
          <w:p>
            <w:pPr>
              <w:jc w:val="left"/>
            </w:pPr>
            <w:r/>
            <w:r>
              <w:rPr>
                <w:rFonts w:ascii="Aptos" w:hAnsi="Aptos" w:eastAsia="Aptos" w:cs="Aptos"/>
                <w:b w:val="0"/>
                <w:sz w:val="19"/>
              </w:rPr>
              <w:t>70–84</w:t>
            </w:r>
          </w:p>
        </w:tc>
        <w:tc>
          <w:tcPr>
            <w:tcW w:type="dxa" w:w="2550"/>
            <w:vAlign w:val="center"/>
          </w:tcPr>
          <w:p>
            <w:pPr>
              <w:jc w:val="left"/>
            </w:pPr>
            <w:r/>
            <w:r>
              <w:rPr>
                <w:rFonts w:ascii="Aptos" w:hAnsi="Aptos" w:eastAsia="Aptos" w:cs="Aptos"/>
                <w:b w:val="0"/>
                <w:sz w:val="19"/>
              </w:rPr>
              <w:t>Good company</w:t>
            </w:r>
          </w:p>
        </w:tc>
        <w:tc>
          <w:tcPr>
            <w:tcW w:type="dxa" w:w="2550"/>
            <w:vAlign w:val="center"/>
          </w:tcPr>
          <w:p>
            <w:pPr>
              <w:jc w:val="left"/>
            </w:pPr>
            <w:r/>
            <w:r>
              <w:rPr>
                <w:rFonts w:ascii="Aptos" w:hAnsi="Aptos" w:eastAsia="Aptos" w:cs="Aptos"/>
                <w:b w:val="0"/>
                <w:sz w:val="19"/>
              </w:rPr>
              <w:t>20%–30%</w:t>
            </w:r>
          </w:p>
        </w:tc>
        <w:tc>
          <w:tcPr>
            <w:tcW w:type="dxa" w:w="2550"/>
            <w:vAlign w:val="center"/>
          </w:tcPr>
          <w:p>
            <w:pPr>
              <w:jc w:val="left"/>
            </w:pPr>
            <w:r/>
            <w:r>
              <w:rPr>
                <w:rFonts w:ascii="Aptos" w:hAnsi="Aptos" w:eastAsia="Aptos" w:cs="Aptos"/>
                <w:b w:val="0"/>
                <w:sz w:val="19"/>
              </w:rPr>
              <w:t>Up to 70%–80% of fair value</w:t>
            </w:r>
          </w:p>
        </w:tc>
      </w:tr>
      <w:tr>
        <w:tc>
          <w:tcPr>
            <w:tcW w:type="dxa" w:w="2550"/>
            <w:vAlign w:val="center"/>
          </w:tcPr>
          <w:p>
            <w:pPr>
              <w:jc w:val="left"/>
            </w:pPr>
            <w:r/>
            <w:r>
              <w:rPr>
                <w:rFonts w:ascii="Aptos" w:hAnsi="Aptos" w:eastAsia="Aptos" w:cs="Aptos"/>
                <w:b w:val="0"/>
                <w:sz w:val="19"/>
              </w:rPr>
              <w:t>55–69</w:t>
            </w:r>
          </w:p>
        </w:tc>
        <w:tc>
          <w:tcPr>
            <w:tcW w:type="dxa" w:w="2550"/>
            <w:vAlign w:val="center"/>
          </w:tcPr>
          <w:p>
            <w:pPr>
              <w:jc w:val="left"/>
            </w:pPr>
            <w:r/>
            <w:r>
              <w:rPr>
                <w:rFonts w:ascii="Aptos" w:hAnsi="Aptos" w:eastAsia="Aptos" w:cs="Aptos"/>
                <w:b w:val="0"/>
                <w:sz w:val="19"/>
              </w:rPr>
              <w:t>Average company</w:t>
            </w:r>
          </w:p>
        </w:tc>
        <w:tc>
          <w:tcPr>
            <w:tcW w:type="dxa" w:w="2550"/>
            <w:vAlign w:val="center"/>
          </w:tcPr>
          <w:p>
            <w:pPr>
              <w:jc w:val="left"/>
            </w:pPr>
            <w:r/>
            <w:r>
              <w:rPr>
                <w:rFonts w:ascii="Aptos" w:hAnsi="Aptos" w:eastAsia="Aptos" w:cs="Aptos"/>
                <w:b w:val="0"/>
                <w:sz w:val="19"/>
              </w:rPr>
              <w:t>30%–40%</w:t>
            </w:r>
          </w:p>
        </w:tc>
        <w:tc>
          <w:tcPr>
            <w:tcW w:type="dxa" w:w="2550"/>
            <w:vAlign w:val="center"/>
          </w:tcPr>
          <w:p>
            <w:pPr>
              <w:jc w:val="left"/>
            </w:pPr>
            <w:r/>
            <w:r>
              <w:rPr>
                <w:rFonts w:ascii="Aptos" w:hAnsi="Aptos" w:eastAsia="Aptos" w:cs="Aptos"/>
                <w:b w:val="0"/>
                <w:sz w:val="19"/>
              </w:rPr>
              <w:t>Up to 60%–70% of fair value</w:t>
            </w:r>
          </w:p>
        </w:tc>
      </w:tr>
      <w:tr>
        <w:tc>
          <w:tcPr>
            <w:tcW w:type="dxa" w:w="2550"/>
            <w:vAlign w:val="center"/>
          </w:tcPr>
          <w:p>
            <w:pPr>
              <w:jc w:val="left"/>
            </w:pPr>
            <w:r/>
            <w:r>
              <w:rPr>
                <w:rFonts w:ascii="Aptos" w:hAnsi="Aptos" w:eastAsia="Aptos" w:cs="Aptos"/>
                <w:b w:val="0"/>
                <w:sz w:val="19"/>
              </w:rPr>
              <w:t>Below 55</w:t>
            </w:r>
          </w:p>
        </w:tc>
        <w:tc>
          <w:tcPr>
            <w:tcW w:type="dxa" w:w="2550"/>
            <w:vAlign w:val="center"/>
          </w:tcPr>
          <w:p>
            <w:pPr>
              <w:jc w:val="left"/>
            </w:pPr>
            <w:r/>
            <w:r>
              <w:rPr>
                <w:rFonts w:ascii="Aptos" w:hAnsi="Aptos" w:eastAsia="Aptos" w:cs="Aptos"/>
                <w:b w:val="0"/>
                <w:sz w:val="19"/>
              </w:rPr>
              <w:t>Weak company</w:t>
            </w:r>
          </w:p>
        </w:tc>
        <w:tc>
          <w:tcPr>
            <w:tcW w:type="dxa" w:w="2550"/>
            <w:vAlign w:val="center"/>
          </w:tcPr>
          <w:p>
            <w:pPr>
              <w:jc w:val="left"/>
            </w:pPr>
            <w:r/>
            <w:r>
              <w:rPr>
                <w:rFonts w:ascii="Aptos" w:hAnsi="Aptos" w:eastAsia="Aptos" w:cs="Aptos"/>
                <w:b w:val="0"/>
                <w:sz w:val="19"/>
              </w:rPr>
              <w:t>Do not buy</w:t>
            </w:r>
          </w:p>
        </w:tc>
        <w:tc>
          <w:tcPr>
            <w:tcW w:type="dxa" w:w="2550"/>
            <w:vAlign w:val="center"/>
          </w:tcPr>
          <w:p>
            <w:pPr>
              <w:jc w:val="left"/>
            </w:pPr>
            <w:r/>
            <w:r>
              <w:rPr>
                <w:rFonts w:ascii="Aptos" w:hAnsi="Aptos" w:eastAsia="Aptos" w:cs="Aptos"/>
                <w:b w:val="0"/>
                <w:sz w:val="19"/>
              </w:rPr>
              <w:t>A low price is not enough</w:t>
            </w:r>
          </w:p>
        </w:tc>
      </w:tr>
    </w:tbl>
    <w:p/>
    <w:p>
      <w:pPr>
        <w:pStyle w:val="Heading2"/>
        <w:spacing w:before="200" w:after="120"/>
      </w:pPr>
      <w:r>
        <w:rPr>
          <w:rFonts w:ascii="Aptos" w:hAnsi="Aptos" w:eastAsia="Aptos" w:cs="Aptos"/>
          <w:b/>
          <w:color w:val="1F4E79"/>
          <w:sz w:val="26"/>
        </w:rPr>
        <w:t>9. Knowing When the Investment Has Reached Realization</w:t>
      </w:r>
    </w:p>
    <w:p>
      <w:pPr>
        <w:spacing w:after="120" w:line="259" w:lineRule="auto"/>
        <w:jc w:val="left"/>
      </w:pPr>
      <w:r>
        <w:rPr>
          <w:rFonts w:ascii="Aptos" w:hAnsi="Aptos" w:eastAsia="Aptos" w:cs="Aptos"/>
          <w:b w:val="0"/>
          <w:i w:val="0"/>
          <w:sz w:val="22"/>
        </w:rPr>
        <w:t>In the Buffett approach, a stock is not automatically sold only because it went up. Realization should combine valuation and business quality.</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Situation</w:t>
            </w:r>
          </w:p>
        </w:tc>
        <w:tc>
          <w:tcPr>
            <w:tcW w:type="dxa" w:w="5100"/>
            <w:vAlign w:val="center"/>
            <w:shd w:fill="D9EAF7"/>
          </w:tcPr>
          <w:p>
            <w:pPr>
              <w:jc w:val="left"/>
            </w:pPr>
            <w:r/>
            <w:r>
              <w:rPr>
                <w:rFonts w:ascii="Aptos" w:hAnsi="Aptos" w:eastAsia="Aptos" w:cs="Aptos"/>
                <w:b/>
                <w:sz w:val="19"/>
              </w:rPr>
              <w:t>Possible interpretation/action</w:t>
            </w:r>
          </w:p>
        </w:tc>
      </w:tr>
      <w:tr>
        <w:tc>
          <w:tcPr>
            <w:tcW w:type="dxa" w:w="5100"/>
            <w:vAlign w:val="center"/>
          </w:tcPr>
          <w:p>
            <w:pPr>
              <w:jc w:val="left"/>
            </w:pPr>
            <w:r/>
            <w:r>
              <w:rPr>
                <w:rFonts w:ascii="Aptos" w:hAnsi="Aptos" w:eastAsia="Aptos" w:cs="Aptos"/>
                <w:b w:val="0"/>
                <w:sz w:val="19"/>
              </w:rPr>
              <w:t>Current Price ≥ Fair Value</w:t>
            </w:r>
          </w:p>
        </w:tc>
        <w:tc>
          <w:tcPr>
            <w:tcW w:type="dxa" w:w="5100"/>
            <w:vAlign w:val="center"/>
          </w:tcPr>
          <w:p>
            <w:pPr>
              <w:jc w:val="left"/>
            </w:pPr>
            <w:r/>
            <w:r>
              <w:rPr>
                <w:rFonts w:ascii="Aptos" w:hAnsi="Aptos" w:eastAsia="Aptos" w:cs="Aptos"/>
                <w:b w:val="0"/>
                <w:sz w:val="19"/>
              </w:rPr>
              <w:t>Margin of safety has closed; consider holding or partial realization depending on quality</w:t>
            </w:r>
          </w:p>
        </w:tc>
      </w:tr>
      <w:tr>
        <w:tc>
          <w:tcPr>
            <w:tcW w:type="dxa" w:w="5100"/>
            <w:vAlign w:val="center"/>
          </w:tcPr>
          <w:p>
            <w:pPr>
              <w:jc w:val="left"/>
            </w:pPr>
            <w:r/>
            <w:r>
              <w:rPr>
                <w:rFonts w:ascii="Aptos" w:hAnsi="Aptos" w:eastAsia="Aptos" w:cs="Aptos"/>
                <w:b w:val="0"/>
                <w:sz w:val="19"/>
              </w:rPr>
              <w:t>Current Price ≥ Fair Value × 1.20</w:t>
            </w:r>
          </w:p>
        </w:tc>
        <w:tc>
          <w:tcPr>
            <w:tcW w:type="dxa" w:w="5100"/>
            <w:vAlign w:val="center"/>
          </w:tcPr>
          <w:p>
            <w:pPr>
              <w:jc w:val="left"/>
            </w:pPr>
            <w:r/>
            <w:r>
              <w:rPr>
                <w:rFonts w:ascii="Aptos" w:hAnsi="Aptos" w:eastAsia="Aptos" w:cs="Aptos"/>
                <w:b w:val="0"/>
                <w:sz w:val="19"/>
              </w:rPr>
              <w:t>Stock is meaningfully expensive; consider not adding or partially realizing</w:t>
            </w:r>
          </w:p>
        </w:tc>
      </w:tr>
      <w:tr>
        <w:tc>
          <w:tcPr>
            <w:tcW w:type="dxa" w:w="5100"/>
            <w:vAlign w:val="center"/>
          </w:tcPr>
          <w:p>
            <w:pPr>
              <w:jc w:val="left"/>
            </w:pPr>
            <w:r/>
            <w:r>
              <w:rPr>
                <w:rFonts w:ascii="Aptos" w:hAnsi="Aptos" w:eastAsia="Aptos" w:cs="Aptos"/>
                <w:b w:val="0"/>
                <w:sz w:val="19"/>
              </w:rPr>
              <w:t>Business quality deteriorates</w:t>
            </w:r>
          </w:p>
        </w:tc>
        <w:tc>
          <w:tcPr>
            <w:tcW w:type="dxa" w:w="5100"/>
            <w:vAlign w:val="center"/>
          </w:tcPr>
          <w:p>
            <w:pPr>
              <w:jc w:val="left"/>
            </w:pPr>
            <w:r/>
            <w:r>
              <w:rPr>
                <w:rFonts w:ascii="Aptos" w:hAnsi="Aptos" w:eastAsia="Aptos" w:cs="Aptos"/>
                <w:b w:val="0"/>
                <w:sz w:val="19"/>
              </w:rPr>
              <w:t>Review whether the original thesis is broken even if price has not reached fair value</w:t>
            </w:r>
          </w:p>
        </w:tc>
      </w:tr>
      <w:tr>
        <w:tc>
          <w:tcPr>
            <w:tcW w:type="dxa" w:w="5100"/>
            <w:vAlign w:val="center"/>
          </w:tcPr>
          <w:p>
            <w:pPr>
              <w:jc w:val="left"/>
            </w:pPr>
            <w:r/>
            <w:r>
              <w:rPr>
                <w:rFonts w:ascii="Aptos" w:hAnsi="Aptos" w:eastAsia="Aptos" w:cs="Aptos"/>
                <w:b w:val="0"/>
                <w:sz w:val="19"/>
              </w:rPr>
              <w:t>A better and cheaper alternative exists</w:t>
            </w:r>
          </w:p>
        </w:tc>
        <w:tc>
          <w:tcPr>
            <w:tcW w:type="dxa" w:w="5100"/>
            <w:vAlign w:val="center"/>
          </w:tcPr>
          <w:p>
            <w:pPr>
              <w:jc w:val="left"/>
            </w:pPr>
            <w:r/>
            <w:r>
              <w:rPr>
                <w:rFonts w:ascii="Aptos" w:hAnsi="Aptos" w:eastAsia="Aptos" w:cs="Aptos"/>
                <w:b w:val="0"/>
                <w:sz w:val="19"/>
              </w:rPr>
              <w:t>Consider reallocating capital</w:t>
            </w:r>
          </w:p>
        </w:tc>
      </w:tr>
    </w:tbl>
    <w:p/>
    <w:tbl>
      <w:tblPr>
        <w:tblStyle w:val="TableGrid"/>
        <w:tblW w:type="auto" w:w="0"/>
        <w:tblLayout w:type="autofit"/>
        <w:tblLook w:firstColumn="1" w:firstRow="1" w:lastColumn="0" w:lastRow="0" w:noHBand="0" w:noVBand="1" w:val="04A0"/>
      </w:tblPr>
      <w:tblGrid>
        <w:gridCol w:w="5100"/>
        <w:gridCol w:w="5100"/>
      </w:tblGrid>
      <w:tr>
        <w:tc>
          <w:tcPr>
            <w:tcW w:type="dxa" w:w="5100"/>
            <w:shd w:fill="D9EAF7"/>
          </w:tcPr>
          <w:p>
            <w:r>
              <w:rPr>
                <w:b/>
                <w:sz w:val="22"/>
              </w:rPr>
              <w:t>Qualitative deterioration sign</w:t>
            </w:r>
          </w:p>
        </w:tc>
        <w:tc>
          <w:tcPr>
            <w:tcW w:type="dxa" w:w="5100"/>
            <w:shd w:fill="D9EAF7"/>
          </w:tcPr>
          <w:p>
            <w:r>
              <w:rPr>
                <w:b/>
                <w:sz w:val="22"/>
              </w:rPr>
              <w:t>Meaning</w:t>
            </w:r>
          </w:p>
        </w:tc>
      </w:tr>
      <w:tr>
        <w:tc>
          <w:tcPr>
            <w:tcW w:type="dxa" w:w="5100"/>
          </w:tcPr>
          <w:p>
            <w:r>
              <w:rPr>
                <w:sz w:val="22"/>
              </w:rPr>
              <w:t>ROIC declines over time</w:t>
            </w:r>
          </w:p>
        </w:tc>
        <w:tc>
          <w:tcPr>
            <w:tcW w:type="dxa" w:w="5100"/>
          </w:tcPr>
          <w:p>
            <w:r>
              <w:rPr>
                <w:sz w:val="22"/>
              </w:rPr>
              <w:t>The competitive advantage is eroding</w:t>
            </w:r>
          </w:p>
        </w:tc>
      </w:tr>
      <w:tr>
        <w:tc>
          <w:tcPr>
            <w:tcW w:type="dxa" w:w="5100"/>
          </w:tcPr>
          <w:p>
            <w:r>
              <w:rPr>
                <w:sz w:val="22"/>
              </w:rPr>
              <w:t>FCF weakens</w:t>
            </w:r>
          </w:p>
        </w:tc>
        <w:tc>
          <w:tcPr>
            <w:tcW w:type="dxa" w:w="5100"/>
          </w:tcPr>
          <w:p>
            <w:r>
              <w:rPr>
                <w:sz w:val="22"/>
              </w:rPr>
              <w:t>Earnings are not converting into cash</w:t>
            </w:r>
          </w:p>
        </w:tc>
      </w:tr>
      <w:tr>
        <w:tc>
          <w:tcPr>
            <w:tcW w:type="dxa" w:w="5100"/>
          </w:tcPr>
          <w:p>
            <w:r>
              <w:rPr>
                <w:sz w:val="22"/>
              </w:rPr>
              <w:t>Debt rises quickly</w:t>
            </w:r>
          </w:p>
        </w:tc>
        <w:tc>
          <w:tcPr>
            <w:tcW w:type="dxa" w:w="5100"/>
          </w:tcPr>
          <w:p>
            <w:r>
              <w:rPr>
                <w:sz w:val="22"/>
              </w:rPr>
              <w:t>Financial risk is increasing</w:t>
            </w:r>
          </w:p>
        </w:tc>
      </w:tr>
      <w:tr>
        <w:tc>
          <w:tcPr>
            <w:tcW w:type="dxa" w:w="5100"/>
          </w:tcPr>
          <w:p>
            <w:r>
              <w:rPr>
                <w:sz w:val="22"/>
              </w:rPr>
              <w:t>Margins deteriorate</w:t>
            </w:r>
          </w:p>
        </w:tc>
        <w:tc>
          <w:tcPr>
            <w:tcW w:type="dxa" w:w="5100"/>
          </w:tcPr>
          <w:p>
            <w:r>
              <w:rPr>
                <w:sz w:val="22"/>
              </w:rPr>
              <w:t>Competition is intensifying</w:t>
            </w:r>
          </w:p>
        </w:tc>
      </w:tr>
      <w:tr>
        <w:tc>
          <w:tcPr>
            <w:tcW w:type="dxa" w:w="5100"/>
          </w:tcPr>
          <w:p>
            <w:r>
              <w:rPr>
                <w:sz w:val="22"/>
              </w:rPr>
              <w:t>Share count increases</w:t>
            </w:r>
          </w:p>
        </w:tc>
        <w:tc>
          <w:tcPr>
            <w:tcW w:type="dxa" w:w="5100"/>
          </w:tcPr>
          <w:p>
            <w:r>
              <w:rPr>
                <w:sz w:val="22"/>
              </w:rPr>
              <w:t>Shareholders are being diluted</w:t>
            </w:r>
          </w:p>
        </w:tc>
      </w:tr>
      <w:tr>
        <w:tc>
          <w:tcPr>
            <w:tcW w:type="dxa" w:w="5100"/>
          </w:tcPr>
          <w:p>
            <w:r>
              <w:rPr>
                <w:sz w:val="22"/>
              </w:rPr>
              <w:t>Expensive acquisitions</w:t>
            </w:r>
          </w:p>
        </w:tc>
        <w:tc>
          <w:tcPr>
            <w:tcW w:type="dxa" w:w="5100"/>
          </w:tcPr>
          <w:p>
            <w:r>
              <w:rPr>
                <w:sz w:val="22"/>
              </w:rPr>
              <w:t>Capital allocation is weak</w:t>
            </w:r>
          </w:p>
        </w:tc>
      </w:tr>
    </w:tbl>
    <w:p>
      <w:r>
        <w:br w:type="page"/>
      </w:r>
    </w:p>
    <w:p>
      <w:pPr>
        <w:pStyle w:val="Heading1"/>
        <w:spacing w:before="200" w:after="120"/>
      </w:pPr>
      <w:r>
        <w:rPr>
          <w:rFonts w:ascii="Aptos" w:hAnsi="Aptos" w:eastAsia="Aptos" w:cs="Aptos"/>
          <w:b/>
          <w:color w:val="1F4E79"/>
          <w:sz w:val="32"/>
        </w:rPr>
        <w:t>Part B — Graham Investment Attractiveness Scorecard</w:t>
      </w:r>
    </w:p>
    <w:p>
      <w:pPr>
        <w:pStyle w:val="Heading2"/>
        <w:spacing w:before="200" w:after="120"/>
      </w:pPr>
      <w:r>
        <w:rPr>
          <w:rFonts w:ascii="Aptos" w:hAnsi="Aptos" w:eastAsia="Aptos" w:cs="Aptos"/>
          <w:b/>
          <w:color w:val="1F4E79"/>
          <w:sz w:val="26"/>
        </w:rPr>
        <w:t>1. Explanation of the Scorecard</w:t>
      </w:r>
    </w:p>
    <w:p>
      <w:pPr>
        <w:spacing w:after="120" w:line="259" w:lineRule="auto"/>
        <w:jc w:val="left"/>
      </w:pPr>
      <w:r>
        <w:rPr>
          <w:rFonts w:ascii="Aptos" w:hAnsi="Aptos" w:eastAsia="Aptos" w:cs="Aptos"/>
          <w:b w:val="0"/>
          <w:i w:val="0"/>
          <w:sz w:val="22"/>
        </w:rPr>
        <w:t>The Graham scorecard evaluates whether a stock fits a Benjamin Graham-style value investing approach. The main emphasis is on stability, financial conservatism, and a meaningful margin of safety in the price.</w:t>
      </w:r>
    </w:p>
    <w:p>
      <w:pPr>
        <w:spacing w:after="120" w:line="259" w:lineRule="auto"/>
        <w:jc w:val="left"/>
      </w:pPr>
      <w:r>
        <w:rPr>
          <w:rFonts w:ascii="Aptos" w:hAnsi="Aptos" w:eastAsia="Aptos" w:cs="Aptos"/>
          <w:b w:val="0"/>
          <w:i w:val="0"/>
          <w:sz w:val="22"/>
        </w:rPr>
        <w:t>The model has two parts: a Business and Financial Quality Score out of 100 points, and a Stock Price Versus Conservative Value Score out of 10 points, shown with a percentage discount or premium.</w:t>
      </w:r>
    </w:p>
    <w:p>
      <w:pPr>
        <w:spacing w:after="120" w:line="259" w:lineRule="auto"/>
        <w:jc w:val="left"/>
      </w:pPr>
      <w:r>
        <w:rPr>
          <w:rFonts w:ascii="Aptos" w:hAnsi="Aptos" w:eastAsia="Aptos" w:cs="Aptos"/>
          <w:b/>
          <w:i w:val="0"/>
          <w:sz w:val="22"/>
        </w:rPr>
        <w:t>Core principle: first verify that the company is reasonably stable and safe. Then evaluate whether the stock is cheap enough to provide a margin of safety.</w:t>
      </w:r>
    </w:p>
    <w:p>
      <w:pPr>
        <w:pStyle w:val="Heading2"/>
        <w:spacing w:before="200" w:after="120"/>
      </w:pPr>
      <w:r>
        <w:rPr>
          <w:rFonts w:ascii="Aptos" w:hAnsi="Aptos" w:eastAsia="Aptos" w:cs="Aptos"/>
          <w:b/>
          <w:color w:val="1F4E79"/>
          <w:sz w:val="26"/>
        </w:rPr>
        <w:t>2. Business and Financial Quality Score Structure</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Criterion</w:t>
            </w:r>
          </w:p>
        </w:tc>
        <w:tc>
          <w:tcPr>
            <w:tcW w:type="dxa" w:w="5100"/>
            <w:vAlign w:val="center"/>
            <w:shd w:fill="D9EAF7"/>
          </w:tcPr>
          <w:p>
            <w:pPr>
              <w:jc w:val="left"/>
            </w:pPr>
            <w:r/>
            <w:r>
              <w:rPr>
                <w:rFonts w:ascii="Aptos" w:hAnsi="Aptos" w:eastAsia="Aptos" w:cs="Aptos"/>
                <w:b/>
                <w:sz w:val="19"/>
              </w:rPr>
              <w:t>Weight</w:t>
            </w:r>
          </w:p>
        </w:tc>
      </w:tr>
      <w:tr>
        <w:tc>
          <w:tcPr>
            <w:tcW w:type="dxa" w:w="5100"/>
            <w:vAlign w:val="center"/>
          </w:tcPr>
          <w:p>
            <w:pPr>
              <w:jc w:val="left"/>
            </w:pPr>
            <w:r/>
            <w:r>
              <w:rPr>
                <w:rFonts w:ascii="Aptos" w:hAnsi="Aptos" w:eastAsia="Aptos" w:cs="Aptos"/>
                <w:b w:val="0"/>
                <w:sz w:val="19"/>
              </w:rPr>
              <w:t>Company size and business stability</w:t>
            </w:r>
          </w:p>
        </w:tc>
        <w:tc>
          <w:tcPr>
            <w:tcW w:type="dxa" w:w="5100"/>
            <w:vAlign w:val="center"/>
          </w:tcPr>
          <w:p>
            <w:pPr>
              <w:jc w:val="left"/>
            </w:pPr>
            <w:r/>
            <w:r>
              <w:rPr>
                <w:rFonts w:ascii="Aptos" w:hAnsi="Aptos" w:eastAsia="Aptos" w:cs="Aptos"/>
                <w:b w:val="0"/>
                <w:sz w:val="19"/>
              </w:rPr>
              <w:t>10</w:t>
            </w:r>
          </w:p>
        </w:tc>
      </w:tr>
      <w:tr>
        <w:tc>
          <w:tcPr>
            <w:tcW w:type="dxa" w:w="5100"/>
            <w:vAlign w:val="center"/>
          </w:tcPr>
          <w:p>
            <w:pPr>
              <w:jc w:val="left"/>
            </w:pPr>
            <w:r/>
            <w:r>
              <w:rPr>
                <w:rFonts w:ascii="Aptos" w:hAnsi="Aptos" w:eastAsia="Aptos" w:cs="Aptos"/>
                <w:b w:val="0"/>
                <w:sz w:val="19"/>
              </w:rPr>
              <w:t>Financial condition and liquidity</w:t>
            </w:r>
          </w:p>
        </w:tc>
        <w:tc>
          <w:tcPr>
            <w:tcW w:type="dxa" w:w="5100"/>
            <w:vAlign w:val="center"/>
          </w:tcPr>
          <w:p>
            <w:pPr>
              <w:jc w:val="left"/>
            </w:pPr>
            <w:r/>
            <w:r>
              <w:rPr>
                <w:rFonts w:ascii="Aptos" w:hAnsi="Aptos" w:eastAsia="Aptos" w:cs="Aptos"/>
                <w:b w:val="0"/>
                <w:sz w:val="19"/>
              </w:rPr>
              <w:t>15</w:t>
            </w:r>
          </w:p>
        </w:tc>
      </w:tr>
      <w:tr>
        <w:tc>
          <w:tcPr>
            <w:tcW w:type="dxa" w:w="5100"/>
            <w:vAlign w:val="center"/>
          </w:tcPr>
          <w:p>
            <w:pPr>
              <w:jc w:val="left"/>
            </w:pPr>
            <w:r/>
            <w:r>
              <w:rPr>
                <w:rFonts w:ascii="Aptos" w:hAnsi="Aptos" w:eastAsia="Aptos" w:cs="Aptos"/>
                <w:b w:val="0"/>
                <w:sz w:val="19"/>
              </w:rPr>
              <w:t>Low debt and balance sheet conservatism</w:t>
            </w:r>
          </w:p>
        </w:tc>
        <w:tc>
          <w:tcPr>
            <w:tcW w:type="dxa" w:w="5100"/>
            <w:vAlign w:val="center"/>
          </w:tcPr>
          <w:p>
            <w:pPr>
              <w:jc w:val="left"/>
            </w:pPr>
            <w:r/>
            <w:r>
              <w:rPr>
                <w:rFonts w:ascii="Aptos" w:hAnsi="Aptos" w:eastAsia="Aptos" w:cs="Aptos"/>
                <w:b w:val="0"/>
                <w:sz w:val="19"/>
              </w:rPr>
              <w:t>15</w:t>
            </w:r>
          </w:p>
        </w:tc>
      </w:tr>
      <w:tr>
        <w:tc>
          <w:tcPr>
            <w:tcW w:type="dxa" w:w="5100"/>
            <w:vAlign w:val="center"/>
          </w:tcPr>
          <w:p>
            <w:pPr>
              <w:jc w:val="left"/>
            </w:pPr>
            <w:r/>
            <w:r>
              <w:rPr>
                <w:rFonts w:ascii="Aptos" w:hAnsi="Aptos" w:eastAsia="Aptos" w:cs="Aptos"/>
                <w:b w:val="0"/>
                <w:sz w:val="19"/>
              </w:rPr>
              <w:t>Earnings stability</w:t>
            </w:r>
          </w:p>
        </w:tc>
        <w:tc>
          <w:tcPr>
            <w:tcW w:type="dxa" w:w="5100"/>
            <w:vAlign w:val="center"/>
          </w:tcPr>
          <w:p>
            <w:pPr>
              <w:jc w:val="left"/>
            </w:pPr>
            <w:r/>
            <w:r>
              <w:rPr>
                <w:rFonts w:ascii="Aptos" w:hAnsi="Aptos" w:eastAsia="Aptos" w:cs="Aptos"/>
                <w:b w:val="0"/>
                <w:sz w:val="19"/>
              </w:rPr>
              <w:t>15</w:t>
            </w:r>
          </w:p>
        </w:tc>
      </w:tr>
      <w:tr>
        <w:tc>
          <w:tcPr>
            <w:tcW w:type="dxa" w:w="5100"/>
            <w:vAlign w:val="center"/>
          </w:tcPr>
          <w:p>
            <w:pPr>
              <w:jc w:val="left"/>
            </w:pPr>
            <w:r/>
            <w:r>
              <w:rPr>
                <w:rFonts w:ascii="Aptos" w:hAnsi="Aptos" w:eastAsia="Aptos" w:cs="Aptos"/>
                <w:b w:val="0"/>
                <w:sz w:val="19"/>
              </w:rPr>
              <w:t>Dividend history</w:t>
            </w:r>
          </w:p>
        </w:tc>
        <w:tc>
          <w:tcPr>
            <w:tcW w:type="dxa" w:w="5100"/>
            <w:vAlign w:val="center"/>
          </w:tcPr>
          <w:p>
            <w:pPr>
              <w:jc w:val="left"/>
            </w:pPr>
            <w:r/>
            <w:r>
              <w:rPr>
                <w:rFonts w:ascii="Aptos" w:hAnsi="Aptos" w:eastAsia="Aptos" w:cs="Aptos"/>
                <w:b w:val="0"/>
                <w:sz w:val="19"/>
              </w:rPr>
              <w:t>10</w:t>
            </w:r>
          </w:p>
        </w:tc>
      </w:tr>
      <w:tr>
        <w:tc>
          <w:tcPr>
            <w:tcW w:type="dxa" w:w="5100"/>
            <w:vAlign w:val="center"/>
          </w:tcPr>
          <w:p>
            <w:pPr>
              <w:jc w:val="left"/>
            </w:pPr>
            <w:r/>
            <w:r>
              <w:rPr>
                <w:rFonts w:ascii="Aptos" w:hAnsi="Aptos" w:eastAsia="Aptos" w:cs="Aptos"/>
                <w:b w:val="0"/>
                <w:sz w:val="19"/>
              </w:rPr>
              <w:t>Moderate earnings growth</w:t>
            </w:r>
          </w:p>
        </w:tc>
        <w:tc>
          <w:tcPr>
            <w:tcW w:type="dxa" w:w="5100"/>
            <w:vAlign w:val="center"/>
          </w:tcPr>
          <w:p>
            <w:pPr>
              <w:jc w:val="left"/>
            </w:pPr>
            <w:r/>
            <w:r>
              <w:rPr>
                <w:rFonts w:ascii="Aptos" w:hAnsi="Aptos" w:eastAsia="Aptos" w:cs="Aptos"/>
                <w:b w:val="0"/>
                <w:sz w:val="19"/>
              </w:rPr>
              <w:t>15</w:t>
            </w:r>
          </w:p>
        </w:tc>
      </w:tr>
      <w:tr>
        <w:tc>
          <w:tcPr>
            <w:tcW w:type="dxa" w:w="5100"/>
            <w:vAlign w:val="center"/>
          </w:tcPr>
          <w:p>
            <w:pPr>
              <w:jc w:val="left"/>
            </w:pPr>
            <w:r/>
            <w:r>
              <w:rPr>
                <w:rFonts w:ascii="Aptos" w:hAnsi="Aptos" w:eastAsia="Aptos" w:cs="Aptos"/>
                <w:b w:val="0"/>
                <w:sz w:val="19"/>
              </w:rPr>
              <w:t>Quality of equity and assets</w:t>
            </w:r>
          </w:p>
        </w:tc>
        <w:tc>
          <w:tcPr>
            <w:tcW w:type="dxa" w:w="5100"/>
            <w:vAlign w:val="center"/>
          </w:tcPr>
          <w:p>
            <w:pPr>
              <w:jc w:val="left"/>
            </w:pPr>
            <w:r/>
            <w:r>
              <w:rPr>
                <w:rFonts w:ascii="Aptos" w:hAnsi="Aptos" w:eastAsia="Aptos" w:cs="Aptos"/>
                <w:b w:val="0"/>
                <w:sz w:val="19"/>
              </w:rPr>
              <w:t>10</w:t>
            </w:r>
          </w:p>
        </w:tc>
      </w:tr>
      <w:tr>
        <w:tc>
          <w:tcPr>
            <w:tcW w:type="dxa" w:w="5100"/>
            <w:vAlign w:val="center"/>
          </w:tcPr>
          <w:p>
            <w:pPr>
              <w:jc w:val="left"/>
            </w:pPr>
            <w:r/>
            <w:r>
              <w:rPr>
                <w:rFonts w:ascii="Aptos" w:hAnsi="Aptos" w:eastAsia="Aptos" w:cs="Aptos"/>
                <w:b w:val="0"/>
                <w:sz w:val="19"/>
              </w:rPr>
              <w:t>Earnings quality and share dilution</w:t>
            </w:r>
          </w:p>
        </w:tc>
        <w:tc>
          <w:tcPr>
            <w:tcW w:type="dxa" w:w="5100"/>
            <w:vAlign w:val="center"/>
          </w:tcPr>
          <w:p>
            <w:pPr>
              <w:jc w:val="left"/>
            </w:pPr>
            <w:r/>
            <w:r>
              <w:rPr>
                <w:rFonts w:ascii="Aptos" w:hAnsi="Aptos" w:eastAsia="Aptos" w:cs="Aptos"/>
                <w:b w:val="0"/>
                <w:sz w:val="19"/>
              </w:rPr>
              <w:t>10</w:t>
            </w:r>
          </w:p>
        </w:tc>
      </w:tr>
      <w:tr>
        <w:tc>
          <w:tcPr>
            <w:tcW w:type="dxa" w:w="5100"/>
            <w:vAlign w:val="center"/>
          </w:tcPr>
          <w:p>
            <w:pPr>
              <w:jc w:val="left"/>
            </w:pPr>
            <w:r/>
            <w:r>
              <w:rPr>
                <w:rFonts w:ascii="Aptos" w:hAnsi="Aptos" w:eastAsia="Aptos" w:cs="Aptos"/>
                <w:b w:val="0"/>
                <w:sz w:val="19"/>
              </w:rPr>
              <w:t>Total</w:t>
            </w:r>
          </w:p>
        </w:tc>
        <w:tc>
          <w:tcPr>
            <w:tcW w:type="dxa" w:w="5100"/>
            <w:vAlign w:val="center"/>
          </w:tcPr>
          <w:p>
            <w:pPr>
              <w:jc w:val="left"/>
            </w:pPr>
            <w:r/>
            <w:r>
              <w:rPr>
                <w:rFonts w:ascii="Aptos" w:hAnsi="Aptos" w:eastAsia="Aptos" w:cs="Aptos"/>
                <w:b w:val="0"/>
                <w:sz w:val="19"/>
              </w:rPr>
              <w:t>100</w:t>
            </w:r>
          </w:p>
        </w:tc>
      </w:tr>
    </w:tbl>
    <w:p/>
    <w:p>
      <w:pPr>
        <w:spacing w:after="120" w:line="259" w:lineRule="auto"/>
        <w:jc w:val="left"/>
      </w:pPr>
      <w:r>
        <w:rPr>
          <w:rFonts w:ascii="Aptos" w:hAnsi="Aptos" w:eastAsia="Aptos" w:cs="Aptos"/>
          <w:b w:val="0"/>
          <w:i w:val="0"/>
          <w:sz w:val="22"/>
        </w:rPr>
        <w:t>This score evaluates the company’s stability and financial strength regardless of the current stock price.</w:t>
      </w:r>
    </w:p>
    <w:p>
      <w:pPr>
        <w:pStyle w:val="Heading2"/>
        <w:spacing w:before="200" w:after="120"/>
      </w:pPr>
      <w:r>
        <w:rPr>
          <w:rFonts w:ascii="Aptos" w:hAnsi="Aptos" w:eastAsia="Aptos" w:cs="Aptos"/>
          <w:b/>
          <w:color w:val="1F4E79"/>
          <w:sz w:val="26"/>
        </w:rPr>
        <w:t>3. Business Criteria in the Scorecard</w:t>
      </w:r>
    </w:p>
    <w:p>
      <w:pPr>
        <w:pStyle w:val="Heading3"/>
        <w:spacing w:before="200" w:after="120"/>
      </w:pPr>
      <w:r>
        <w:rPr>
          <w:rFonts w:ascii="Aptos" w:hAnsi="Aptos" w:eastAsia="Aptos" w:cs="Aptos"/>
          <w:b/>
          <w:color w:val="000000"/>
          <w:sz w:val="23"/>
        </w:rPr>
        <w:t>3.1 Company Size and Business Stability — 10 points</w:t>
      </w:r>
    </w:p>
    <w:p>
      <w:pPr>
        <w:spacing w:after="120" w:line="259" w:lineRule="auto"/>
        <w:jc w:val="left"/>
      </w:pPr>
      <w:r>
        <w:rPr>
          <w:rFonts w:ascii="Aptos" w:hAnsi="Aptos" w:eastAsia="Aptos" w:cs="Aptos"/>
          <w:b w:val="0"/>
          <w:i w:val="0"/>
          <w:sz w:val="22"/>
        </w:rPr>
        <w:t>Explanation: This criterion evaluates whether the company has an established, recognizable, and relatively stable business. Graham preferred to avoid very small, young, or speculative companies.</w:t>
      </w:r>
    </w:p>
    <w:p>
      <w:pPr>
        <w:spacing w:after="120" w:line="259" w:lineRule="auto"/>
        <w:jc w:val="left"/>
      </w:pPr>
      <w:r>
        <w:rPr>
          <w:rFonts w:ascii="Aptos" w:hAnsi="Aptos" w:eastAsia="Aptos" w:cs="Aptos"/>
          <w:b/>
          <w:i w:val="0"/>
          <w:sz w:val="22"/>
        </w:rPr>
        <w:t>How to calculate the criterion:</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Question</w:t>
            </w:r>
          </w:p>
        </w:tc>
        <w:tc>
          <w:tcPr>
            <w:tcW w:type="dxa" w:w="5100"/>
            <w:vAlign w:val="center"/>
            <w:shd w:fill="D9EAF7"/>
          </w:tcPr>
          <w:p>
            <w:pPr>
              <w:jc w:val="left"/>
            </w:pPr>
            <w:r/>
            <w:r>
              <w:rPr>
                <w:rFonts w:ascii="Aptos" w:hAnsi="Aptos" w:eastAsia="Aptos" w:cs="Aptos"/>
                <w:b/>
                <w:sz w:val="19"/>
              </w:rPr>
              <w:t>Desired answer</w:t>
            </w:r>
          </w:p>
        </w:tc>
      </w:tr>
      <w:tr>
        <w:tc>
          <w:tcPr>
            <w:tcW w:type="dxa" w:w="5100"/>
            <w:vAlign w:val="center"/>
          </w:tcPr>
          <w:p>
            <w:pPr>
              <w:jc w:val="left"/>
            </w:pPr>
            <w:r/>
            <w:r>
              <w:rPr>
                <w:rFonts w:ascii="Aptos" w:hAnsi="Aptos" w:eastAsia="Aptos" w:cs="Aptos"/>
                <w:b w:val="0"/>
                <w:sz w:val="19"/>
              </w:rPr>
              <w:t>Is the company medium-large or large?</w:t>
            </w:r>
          </w:p>
        </w:tc>
        <w:tc>
          <w:tcPr>
            <w:tcW w:type="dxa" w:w="5100"/>
            <w:vAlign w:val="center"/>
          </w:tcPr>
          <w:p>
            <w:pPr>
              <w:jc w:val="left"/>
            </w:pPr>
            <w:r/>
            <w:r>
              <w:rPr>
                <w:rFonts w:ascii="Aptos" w:hAnsi="Aptos" w:eastAsia="Aptos" w:cs="Aptos"/>
                <w:b w:val="0"/>
                <w:sz w:val="19"/>
              </w:rPr>
              <w:t>Yes</w:t>
            </w:r>
          </w:p>
        </w:tc>
      </w:tr>
      <w:tr>
        <w:tc>
          <w:tcPr>
            <w:tcW w:type="dxa" w:w="5100"/>
            <w:vAlign w:val="center"/>
          </w:tcPr>
          <w:p>
            <w:pPr>
              <w:jc w:val="left"/>
            </w:pPr>
            <w:r/>
            <w:r>
              <w:rPr>
                <w:rFonts w:ascii="Aptos" w:hAnsi="Aptos" w:eastAsia="Aptos" w:cs="Aptos"/>
                <w:b w:val="0"/>
                <w:sz w:val="19"/>
              </w:rPr>
              <w:t>Does it have a proven operating history?</w:t>
            </w:r>
          </w:p>
        </w:tc>
        <w:tc>
          <w:tcPr>
            <w:tcW w:type="dxa" w:w="5100"/>
            <w:vAlign w:val="center"/>
          </w:tcPr>
          <w:p>
            <w:pPr>
              <w:jc w:val="left"/>
            </w:pPr>
            <w:r/>
            <w:r>
              <w:rPr>
                <w:rFonts w:ascii="Aptos" w:hAnsi="Aptos" w:eastAsia="Aptos" w:cs="Aptos"/>
                <w:b w:val="0"/>
                <w:sz w:val="19"/>
              </w:rPr>
              <w:t>Yes</w:t>
            </w:r>
          </w:p>
        </w:tc>
      </w:tr>
      <w:tr>
        <w:tc>
          <w:tcPr>
            <w:tcW w:type="dxa" w:w="5100"/>
            <w:vAlign w:val="center"/>
          </w:tcPr>
          <w:p>
            <w:pPr>
              <w:jc w:val="left"/>
            </w:pPr>
            <w:r/>
            <w:r>
              <w:rPr>
                <w:rFonts w:ascii="Aptos" w:hAnsi="Aptos" w:eastAsia="Aptos" w:cs="Aptos"/>
                <w:b w:val="0"/>
                <w:sz w:val="19"/>
              </w:rPr>
              <w:t>Is it not dependent on only one product?</w:t>
            </w:r>
          </w:p>
        </w:tc>
        <w:tc>
          <w:tcPr>
            <w:tcW w:type="dxa" w:w="5100"/>
            <w:vAlign w:val="center"/>
          </w:tcPr>
          <w:p>
            <w:pPr>
              <w:jc w:val="left"/>
            </w:pPr>
            <w:r/>
            <w:r>
              <w:rPr>
                <w:rFonts w:ascii="Aptos" w:hAnsi="Aptos" w:eastAsia="Aptos" w:cs="Aptos"/>
                <w:b w:val="0"/>
                <w:sz w:val="19"/>
              </w:rPr>
              <w:t>Preferably</w:t>
            </w:r>
          </w:p>
        </w:tc>
      </w:tr>
      <w:tr>
        <w:tc>
          <w:tcPr>
            <w:tcW w:type="dxa" w:w="5100"/>
            <w:vAlign w:val="center"/>
          </w:tcPr>
          <w:p>
            <w:pPr>
              <w:jc w:val="left"/>
            </w:pPr>
            <w:r/>
            <w:r>
              <w:rPr>
                <w:rFonts w:ascii="Aptos" w:hAnsi="Aptos" w:eastAsia="Aptos" w:cs="Aptos"/>
                <w:b w:val="0"/>
                <w:sz w:val="19"/>
              </w:rPr>
              <w:t>Is it recognized in its industry?</w:t>
            </w:r>
          </w:p>
        </w:tc>
        <w:tc>
          <w:tcPr>
            <w:tcW w:type="dxa" w:w="5100"/>
            <w:vAlign w:val="center"/>
          </w:tcPr>
          <w:p>
            <w:pPr>
              <w:jc w:val="left"/>
            </w:pPr>
            <w:r/>
            <w:r>
              <w:rPr>
                <w:rFonts w:ascii="Aptos" w:hAnsi="Aptos" w:eastAsia="Aptos" w:cs="Aptos"/>
                <w:b w:val="0"/>
                <w:sz w:val="19"/>
              </w:rPr>
              <w:t>Yes</w:t>
            </w:r>
          </w:p>
        </w:tc>
      </w:tr>
    </w:tbl>
    <w:p/>
    <w:p>
      <w:pPr>
        <w:spacing w:after="120" w:line="259" w:lineRule="auto"/>
        <w:jc w:val="left"/>
      </w:pPr>
      <w:r>
        <w:rPr>
          <w:rFonts w:ascii="Aptos" w:hAnsi="Aptos" w:eastAsia="Aptos" w:cs="Aptos"/>
          <w:b/>
          <w:i w:val="0"/>
          <w:sz w:val="22"/>
        </w:rPr>
        <w:t>Scoring method:</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Situation</w:t>
            </w:r>
          </w:p>
        </w:tc>
        <w:tc>
          <w:tcPr>
            <w:tcW w:type="dxa" w:w="5100"/>
            <w:vAlign w:val="center"/>
            <w:shd w:fill="D9EAF7"/>
          </w:tcPr>
          <w:p>
            <w:pPr>
              <w:jc w:val="left"/>
            </w:pPr>
            <w:r/>
            <w:r>
              <w:rPr>
                <w:rFonts w:ascii="Aptos" w:hAnsi="Aptos" w:eastAsia="Aptos" w:cs="Aptos"/>
                <w:b/>
                <w:sz w:val="19"/>
              </w:rPr>
              <w:t>Score</w:t>
            </w:r>
          </w:p>
        </w:tc>
      </w:tr>
      <w:tr>
        <w:tc>
          <w:tcPr>
            <w:tcW w:type="dxa" w:w="5100"/>
            <w:vAlign w:val="center"/>
          </w:tcPr>
          <w:p>
            <w:pPr>
              <w:jc w:val="left"/>
            </w:pPr>
            <w:r/>
            <w:r>
              <w:rPr>
                <w:rFonts w:ascii="Aptos" w:hAnsi="Aptos" w:eastAsia="Aptos" w:cs="Aptos"/>
                <w:b w:val="0"/>
                <w:sz w:val="19"/>
              </w:rPr>
              <w:t>Small, young, or speculative company</w:t>
            </w:r>
          </w:p>
        </w:tc>
        <w:tc>
          <w:tcPr>
            <w:tcW w:type="dxa" w:w="5100"/>
            <w:vAlign w:val="center"/>
          </w:tcPr>
          <w:p>
            <w:pPr>
              <w:jc w:val="left"/>
            </w:pPr>
            <w:r/>
            <w:r>
              <w:rPr>
                <w:rFonts w:ascii="Aptos" w:hAnsi="Aptos" w:eastAsia="Aptos" w:cs="Aptos"/>
                <w:b w:val="0"/>
                <w:sz w:val="19"/>
              </w:rPr>
              <w:t>0–3</w:t>
            </w:r>
          </w:p>
        </w:tc>
      </w:tr>
      <w:tr>
        <w:tc>
          <w:tcPr>
            <w:tcW w:type="dxa" w:w="5100"/>
            <w:vAlign w:val="center"/>
          </w:tcPr>
          <w:p>
            <w:pPr>
              <w:jc w:val="left"/>
            </w:pPr>
            <w:r/>
            <w:r>
              <w:rPr>
                <w:rFonts w:ascii="Aptos" w:hAnsi="Aptos" w:eastAsia="Aptos" w:cs="Aptos"/>
                <w:b w:val="0"/>
                <w:sz w:val="19"/>
              </w:rPr>
              <w:t>Mid-sized company with existing but not very stable operations</w:t>
            </w:r>
          </w:p>
        </w:tc>
        <w:tc>
          <w:tcPr>
            <w:tcW w:type="dxa" w:w="5100"/>
            <w:vAlign w:val="center"/>
          </w:tcPr>
          <w:p>
            <w:pPr>
              <w:jc w:val="left"/>
            </w:pPr>
            <w:r/>
            <w:r>
              <w:rPr>
                <w:rFonts w:ascii="Aptos" w:hAnsi="Aptos" w:eastAsia="Aptos" w:cs="Aptos"/>
                <w:b w:val="0"/>
                <w:sz w:val="19"/>
              </w:rPr>
              <w:t>4–7</w:t>
            </w:r>
          </w:p>
        </w:tc>
      </w:tr>
      <w:tr>
        <w:tc>
          <w:tcPr>
            <w:tcW w:type="dxa" w:w="5100"/>
            <w:vAlign w:val="center"/>
          </w:tcPr>
          <w:p>
            <w:pPr>
              <w:jc w:val="left"/>
            </w:pPr>
            <w:r/>
            <w:r>
              <w:rPr>
                <w:rFonts w:ascii="Aptos" w:hAnsi="Aptos" w:eastAsia="Aptos" w:cs="Aptos"/>
                <w:b w:val="0"/>
                <w:sz w:val="19"/>
              </w:rPr>
              <w:t>Large, recognized, stable company</w:t>
            </w:r>
          </w:p>
        </w:tc>
        <w:tc>
          <w:tcPr>
            <w:tcW w:type="dxa" w:w="5100"/>
            <w:vAlign w:val="center"/>
          </w:tcPr>
          <w:p>
            <w:pPr>
              <w:jc w:val="left"/>
            </w:pPr>
            <w:r/>
            <w:r>
              <w:rPr>
                <w:rFonts w:ascii="Aptos" w:hAnsi="Aptos" w:eastAsia="Aptos" w:cs="Aptos"/>
                <w:b w:val="0"/>
                <w:sz w:val="19"/>
              </w:rPr>
              <w:t>8–10</w:t>
            </w:r>
          </w:p>
        </w:tc>
      </w:tr>
    </w:tbl>
    <w:p/>
    <w:p>
      <w:pPr>
        <w:pStyle w:val="Heading3"/>
        <w:spacing w:before="200" w:after="120"/>
      </w:pPr>
      <w:r>
        <w:rPr>
          <w:rFonts w:ascii="Aptos" w:hAnsi="Aptos" w:eastAsia="Aptos" w:cs="Aptos"/>
          <w:b/>
          <w:color w:val="000000"/>
          <w:sz w:val="23"/>
        </w:rPr>
        <w:t>3.2 Financial Condition and Liquidity — 15 points</w:t>
      </w:r>
    </w:p>
    <w:p>
      <w:pPr>
        <w:spacing w:after="120" w:line="259" w:lineRule="auto"/>
        <w:jc w:val="left"/>
      </w:pPr>
      <w:r>
        <w:rPr>
          <w:rFonts w:ascii="Aptos" w:hAnsi="Aptos" w:eastAsia="Aptos" w:cs="Aptos"/>
          <w:b w:val="0"/>
          <w:i w:val="0"/>
          <w:sz w:val="22"/>
        </w:rPr>
        <w:t>Explanation: This criterion evaluates whether the company can meet short-term obligations without financial stress. Strong liquidity provides protection during weak periods.</w:t>
      </w:r>
    </w:p>
    <w:p>
      <w:pPr>
        <w:spacing w:after="120" w:line="259" w:lineRule="auto"/>
        <w:jc w:val="left"/>
      </w:pPr>
      <w:r>
        <w:rPr>
          <w:rFonts w:ascii="Aptos" w:hAnsi="Aptos" w:eastAsia="Aptos" w:cs="Aptos"/>
          <w:b/>
          <w:i w:val="0"/>
          <w:sz w:val="22"/>
        </w:rPr>
        <w:t>How to calculate the criterion:</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Metric</w:t>
            </w:r>
          </w:p>
        </w:tc>
        <w:tc>
          <w:tcPr>
            <w:tcW w:type="dxa" w:w="5100"/>
            <w:vAlign w:val="center"/>
            <w:shd w:fill="D9EAF7"/>
          </w:tcPr>
          <w:p>
            <w:pPr>
              <w:jc w:val="left"/>
            </w:pPr>
            <w:r/>
            <w:r>
              <w:rPr>
                <w:rFonts w:ascii="Aptos" w:hAnsi="Aptos" w:eastAsia="Aptos" w:cs="Aptos"/>
                <w:b/>
                <w:sz w:val="19"/>
              </w:rPr>
              <w:t>Formula</w:t>
            </w:r>
          </w:p>
        </w:tc>
      </w:tr>
      <w:tr>
        <w:tc>
          <w:tcPr>
            <w:tcW w:type="dxa" w:w="5100"/>
            <w:vAlign w:val="center"/>
          </w:tcPr>
          <w:p>
            <w:pPr>
              <w:jc w:val="left"/>
            </w:pPr>
            <w:r/>
            <w:r>
              <w:rPr>
                <w:rFonts w:ascii="Aptos" w:hAnsi="Aptos" w:eastAsia="Aptos" w:cs="Aptos"/>
                <w:b w:val="0"/>
                <w:sz w:val="19"/>
              </w:rPr>
              <w:t>Current Ratio</w:t>
            </w:r>
          </w:p>
        </w:tc>
        <w:tc>
          <w:tcPr>
            <w:tcW w:type="dxa" w:w="5100"/>
            <w:vAlign w:val="center"/>
          </w:tcPr>
          <w:p>
            <w:pPr>
              <w:jc w:val="left"/>
            </w:pPr>
            <w:r/>
            <w:r>
              <w:rPr>
                <w:rFonts w:ascii="Aptos" w:hAnsi="Aptos" w:eastAsia="Aptos" w:cs="Aptos"/>
                <w:b w:val="0"/>
                <w:sz w:val="19"/>
              </w:rPr>
              <w:t>Current Assets / Current Liabilities</w:t>
            </w:r>
          </w:p>
        </w:tc>
      </w:tr>
      <w:tr>
        <w:tc>
          <w:tcPr>
            <w:tcW w:type="dxa" w:w="5100"/>
            <w:vAlign w:val="center"/>
          </w:tcPr>
          <w:p>
            <w:pPr>
              <w:jc w:val="left"/>
            </w:pPr>
            <w:r/>
            <w:r>
              <w:rPr>
                <w:rFonts w:ascii="Aptos" w:hAnsi="Aptos" w:eastAsia="Aptos" w:cs="Aptos"/>
                <w:b w:val="0"/>
                <w:sz w:val="19"/>
              </w:rPr>
              <w:t>Quick Ratio</w:t>
            </w:r>
          </w:p>
        </w:tc>
        <w:tc>
          <w:tcPr>
            <w:tcW w:type="dxa" w:w="5100"/>
            <w:vAlign w:val="center"/>
          </w:tcPr>
          <w:p>
            <w:pPr>
              <w:jc w:val="left"/>
            </w:pPr>
            <w:r/>
            <w:r>
              <w:rPr>
                <w:rFonts w:ascii="Aptos" w:hAnsi="Aptos" w:eastAsia="Aptos" w:cs="Aptos"/>
                <w:b w:val="0"/>
                <w:sz w:val="19"/>
              </w:rPr>
              <w:t>(Cash + Short-Term Investments + Receivables) / Current Liabilities</w:t>
            </w:r>
          </w:p>
        </w:tc>
      </w:tr>
      <w:tr>
        <w:tc>
          <w:tcPr>
            <w:tcW w:type="dxa" w:w="5100"/>
            <w:vAlign w:val="center"/>
          </w:tcPr>
          <w:p>
            <w:pPr>
              <w:jc w:val="left"/>
            </w:pPr>
            <w:r/>
            <w:r>
              <w:rPr>
                <w:rFonts w:ascii="Aptos" w:hAnsi="Aptos" w:eastAsia="Aptos" w:cs="Aptos"/>
                <w:b w:val="0"/>
                <w:sz w:val="19"/>
              </w:rPr>
              <w:t>Working Capital</w:t>
            </w:r>
          </w:p>
        </w:tc>
        <w:tc>
          <w:tcPr>
            <w:tcW w:type="dxa" w:w="5100"/>
            <w:vAlign w:val="center"/>
          </w:tcPr>
          <w:p>
            <w:pPr>
              <w:jc w:val="left"/>
            </w:pPr>
            <w:r/>
            <w:r>
              <w:rPr>
                <w:rFonts w:ascii="Aptos" w:hAnsi="Aptos" w:eastAsia="Aptos" w:cs="Aptos"/>
                <w:b w:val="0"/>
                <w:sz w:val="19"/>
              </w:rPr>
              <w:t>Current Assets − Current Liabilities</w:t>
            </w:r>
          </w:p>
        </w:tc>
      </w:tr>
    </w:tbl>
    <w:p/>
    <w:p>
      <w:pPr>
        <w:spacing w:after="120" w:line="259" w:lineRule="auto"/>
        <w:jc w:val="left"/>
      </w:pPr>
      <w:r>
        <w:rPr>
          <w:rFonts w:ascii="Aptos" w:hAnsi="Aptos" w:eastAsia="Aptos" w:cs="Aptos"/>
          <w:b/>
          <w:i w:val="0"/>
          <w:sz w:val="22"/>
        </w:rPr>
        <w:t>Scoring method:</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Situation</w:t>
            </w:r>
          </w:p>
        </w:tc>
        <w:tc>
          <w:tcPr>
            <w:tcW w:type="dxa" w:w="5100"/>
            <w:vAlign w:val="center"/>
            <w:shd w:fill="D9EAF7"/>
          </w:tcPr>
          <w:p>
            <w:pPr>
              <w:jc w:val="left"/>
            </w:pPr>
            <w:r/>
            <w:r>
              <w:rPr>
                <w:rFonts w:ascii="Aptos" w:hAnsi="Aptos" w:eastAsia="Aptos" w:cs="Aptos"/>
                <w:b/>
                <w:sz w:val="19"/>
              </w:rPr>
              <w:t>Score</w:t>
            </w:r>
          </w:p>
        </w:tc>
      </w:tr>
      <w:tr>
        <w:tc>
          <w:tcPr>
            <w:tcW w:type="dxa" w:w="5100"/>
            <w:vAlign w:val="center"/>
          </w:tcPr>
          <w:p>
            <w:pPr>
              <w:jc w:val="left"/>
            </w:pPr>
            <w:r/>
            <w:r>
              <w:rPr>
                <w:rFonts w:ascii="Aptos" w:hAnsi="Aptos" w:eastAsia="Aptos" w:cs="Aptos"/>
                <w:b w:val="0"/>
                <w:sz w:val="19"/>
              </w:rPr>
              <w:t>Current Ratio below 1 or negative working capital</w:t>
            </w:r>
          </w:p>
        </w:tc>
        <w:tc>
          <w:tcPr>
            <w:tcW w:type="dxa" w:w="5100"/>
            <w:vAlign w:val="center"/>
          </w:tcPr>
          <w:p>
            <w:pPr>
              <w:jc w:val="left"/>
            </w:pPr>
            <w:r/>
            <w:r>
              <w:rPr>
                <w:rFonts w:ascii="Aptos" w:hAnsi="Aptos" w:eastAsia="Aptos" w:cs="Aptos"/>
                <w:b w:val="0"/>
                <w:sz w:val="19"/>
              </w:rPr>
              <w:t>0–4</w:t>
            </w:r>
          </w:p>
        </w:tc>
      </w:tr>
      <w:tr>
        <w:tc>
          <w:tcPr>
            <w:tcW w:type="dxa" w:w="5100"/>
            <w:vAlign w:val="center"/>
          </w:tcPr>
          <w:p>
            <w:pPr>
              <w:jc w:val="left"/>
            </w:pPr>
            <w:r/>
            <w:r>
              <w:rPr>
                <w:rFonts w:ascii="Aptos" w:hAnsi="Aptos" w:eastAsia="Aptos" w:cs="Aptos"/>
                <w:b w:val="0"/>
                <w:sz w:val="19"/>
              </w:rPr>
              <w:t>Current Ratio between 1 and 1.5</w:t>
            </w:r>
          </w:p>
        </w:tc>
        <w:tc>
          <w:tcPr>
            <w:tcW w:type="dxa" w:w="5100"/>
            <w:vAlign w:val="center"/>
          </w:tcPr>
          <w:p>
            <w:pPr>
              <w:jc w:val="left"/>
            </w:pPr>
            <w:r/>
            <w:r>
              <w:rPr>
                <w:rFonts w:ascii="Aptos" w:hAnsi="Aptos" w:eastAsia="Aptos" w:cs="Aptos"/>
                <w:b w:val="0"/>
                <w:sz w:val="19"/>
              </w:rPr>
              <w:t>5–8</w:t>
            </w:r>
          </w:p>
        </w:tc>
      </w:tr>
      <w:tr>
        <w:tc>
          <w:tcPr>
            <w:tcW w:type="dxa" w:w="5100"/>
            <w:vAlign w:val="center"/>
          </w:tcPr>
          <w:p>
            <w:pPr>
              <w:jc w:val="left"/>
            </w:pPr>
            <w:r/>
            <w:r>
              <w:rPr>
                <w:rFonts w:ascii="Aptos" w:hAnsi="Aptos" w:eastAsia="Aptos" w:cs="Aptos"/>
                <w:b w:val="0"/>
                <w:sz w:val="19"/>
              </w:rPr>
              <w:t>Current Ratio between 1.5 and 2</w:t>
            </w:r>
          </w:p>
        </w:tc>
        <w:tc>
          <w:tcPr>
            <w:tcW w:type="dxa" w:w="5100"/>
            <w:vAlign w:val="center"/>
          </w:tcPr>
          <w:p>
            <w:pPr>
              <w:jc w:val="left"/>
            </w:pPr>
            <w:r/>
            <w:r>
              <w:rPr>
                <w:rFonts w:ascii="Aptos" w:hAnsi="Aptos" w:eastAsia="Aptos" w:cs="Aptos"/>
                <w:b w:val="0"/>
                <w:sz w:val="19"/>
              </w:rPr>
              <w:t>9–12</w:t>
            </w:r>
          </w:p>
        </w:tc>
      </w:tr>
      <w:tr>
        <w:tc>
          <w:tcPr>
            <w:tcW w:type="dxa" w:w="5100"/>
            <w:vAlign w:val="center"/>
          </w:tcPr>
          <w:p>
            <w:pPr>
              <w:jc w:val="left"/>
            </w:pPr>
            <w:r/>
            <w:r>
              <w:rPr>
                <w:rFonts w:ascii="Aptos" w:hAnsi="Aptos" w:eastAsia="Aptos" w:cs="Aptos"/>
                <w:b w:val="0"/>
                <w:sz w:val="19"/>
              </w:rPr>
              <w:t>Current Ratio above 2 and strong positive working capital</w:t>
            </w:r>
          </w:p>
        </w:tc>
        <w:tc>
          <w:tcPr>
            <w:tcW w:type="dxa" w:w="5100"/>
            <w:vAlign w:val="center"/>
          </w:tcPr>
          <w:p>
            <w:pPr>
              <w:jc w:val="left"/>
            </w:pPr>
            <w:r/>
            <w:r>
              <w:rPr>
                <w:rFonts w:ascii="Aptos" w:hAnsi="Aptos" w:eastAsia="Aptos" w:cs="Aptos"/>
                <w:b w:val="0"/>
                <w:sz w:val="19"/>
              </w:rPr>
              <w:t>13–15</w:t>
            </w:r>
          </w:p>
        </w:tc>
      </w:tr>
    </w:tbl>
    <w:p/>
    <w:p>
      <w:pPr>
        <w:pStyle w:val="Heading3"/>
        <w:spacing w:before="200" w:after="120"/>
      </w:pPr>
      <w:r>
        <w:rPr>
          <w:rFonts w:ascii="Aptos" w:hAnsi="Aptos" w:eastAsia="Aptos" w:cs="Aptos"/>
          <w:b/>
          <w:color w:val="000000"/>
          <w:sz w:val="23"/>
        </w:rPr>
        <w:t>3.3 Low Debt and Balance Sheet Conservatism — 15 points</w:t>
      </w:r>
    </w:p>
    <w:p>
      <w:pPr>
        <w:spacing w:after="120" w:line="259" w:lineRule="auto"/>
        <w:jc w:val="left"/>
      </w:pPr>
      <w:r>
        <w:rPr>
          <w:rFonts w:ascii="Aptos" w:hAnsi="Aptos" w:eastAsia="Aptos" w:cs="Aptos"/>
          <w:b w:val="0"/>
          <w:i w:val="0"/>
          <w:sz w:val="22"/>
        </w:rPr>
        <w:t>Explanation: This criterion evaluates whether the company is financed conservatively. High debt can make a stock look cheap while the underlying company is risky.</w:t>
      </w:r>
    </w:p>
    <w:p>
      <w:pPr>
        <w:spacing w:after="120" w:line="259" w:lineRule="auto"/>
        <w:jc w:val="left"/>
      </w:pPr>
      <w:r>
        <w:rPr>
          <w:rFonts w:ascii="Aptos" w:hAnsi="Aptos" w:eastAsia="Aptos" w:cs="Aptos"/>
          <w:b/>
          <w:i w:val="0"/>
          <w:sz w:val="22"/>
        </w:rPr>
        <w:t>How to calculate the criterion:</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Metric</w:t>
            </w:r>
          </w:p>
        </w:tc>
        <w:tc>
          <w:tcPr>
            <w:tcW w:type="dxa" w:w="5100"/>
            <w:vAlign w:val="center"/>
            <w:shd w:fill="D9EAF7"/>
          </w:tcPr>
          <w:p>
            <w:pPr>
              <w:jc w:val="left"/>
            </w:pPr>
            <w:r/>
            <w:r>
              <w:rPr>
                <w:rFonts w:ascii="Aptos" w:hAnsi="Aptos" w:eastAsia="Aptos" w:cs="Aptos"/>
                <w:b/>
                <w:sz w:val="19"/>
              </w:rPr>
              <w:t>Formula / healthy level</w:t>
            </w:r>
          </w:p>
        </w:tc>
      </w:tr>
      <w:tr>
        <w:tc>
          <w:tcPr>
            <w:tcW w:type="dxa" w:w="5100"/>
            <w:vAlign w:val="center"/>
          </w:tcPr>
          <w:p>
            <w:pPr>
              <w:jc w:val="left"/>
            </w:pPr>
            <w:r/>
            <w:r>
              <w:rPr>
                <w:rFonts w:ascii="Aptos" w:hAnsi="Aptos" w:eastAsia="Aptos" w:cs="Aptos"/>
                <w:b w:val="0"/>
                <w:sz w:val="19"/>
              </w:rPr>
              <w:t>Debt to Equity</w:t>
            </w:r>
          </w:p>
        </w:tc>
        <w:tc>
          <w:tcPr>
            <w:tcW w:type="dxa" w:w="5100"/>
            <w:vAlign w:val="center"/>
          </w:tcPr>
          <w:p>
            <w:pPr>
              <w:jc w:val="left"/>
            </w:pPr>
            <w:r/>
            <w:r>
              <w:rPr>
                <w:rFonts w:ascii="Aptos" w:hAnsi="Aptos" w:eastAsia="Aptos" w:cs="Aptos"/>
                <w:b w:val="0"/>
                <w:sz w:val="19"/>
              </w:rPr>
              <w:t>Total Debt / Shareholders’ Equity; preferably below 0.5–1</w:t>
            </w:r>
          </w:p>
        </w:tc>
      </w:tr>
      <w:tr>
        <w:tc>
          <w:tcPr>
            <w:tcW w:type="dxa" w:w="5100"/>
            <w:vAlign w:val="center"/>
          </w:tcPr>
          <w:p>
            <w:pPr>
              <w:jc w:val="left"/>
            </w:pPr>
            <w:r/>
            <w:r>
              <w:rPr>
                <w:rFonts w:ascii="Aptos" w:hAnsi="Aptos" w:eastAsia="Aptos" w:cs="Aptos"/>
                <w:b w:val="0"/>
                <w:sz w:val="19"/>
              </w:rPr>
              <w:t>Long-Term Debt to Working Capital</w:t>
            </w:r>
          </w:p>
        </w:tc>
        <w:tc>
          <w:tcPr>
            <w:tcW w:type="dxa" w:w="5100"/>
            <w:vAlign w:val="center"/>
          </w:tcPr>
          <w:p>
            <w:pPr>
              <w:jc w:val="left"/>
            </w:pPr>
            <w:r/>
            <w:r>
              <w:rPr>
                <w:rFonts w:ascii="Aptos" w:hAnsi="Aptos" w:eastAsia="Aptos" w:cs="Aptos"/>
                <w:b w:val="0"/>
                <w:sz w:val="19"/>
              </w:rPr>
              <w:t>Long-Term Debt / Working Capital; preferably below 1</w:t>
            </w:r>
          </w:p>
        </w:tc>
      </w:tr>
      <w:tr>
        <w:tc>
          <w:tcPr>
            <w:tcW w:type="dxa" w:w="5100"/>
            <w:vAlign w:val="center"/>
          </w:tcPr>
          <w:p>
            <w:pPr>
              <w:jc w:val="left"/>
            </w:pPr>
            <w:r/>
            <w:r>
              <w:rPr>
                <w:rFonts w:ascii="Aptos" w:hAnsi="Aptos" w:eastAsia="Aptos" w:cs="Aptos"/>
                <w:b w:val="0"/>
                <w:sz w:val="19"/>
              </w:rPr>
              <w:t>Interest Coverage</w:t>
            </w:r>
          </w:p>
        </w:tc>
        <w:tc>
          <w:tcPr>
            <w:tcW w:type="dxa" w:w="5100"/>
            <w:vAlign w:val="center"/>
          </w:tcPr>
          <w:p>
            <w:pPr>
              <w:jc w:val="left"/>
            </w:pPr>
            <w:r/>
            <w:r>
              <w:rPr>
                <w:rFonts w:ascii="Aptos" w:hAnsi="Aptos" w:eastAsia="Aptos" w:cs="Aptos"/>
                <w:b w:val="0"/>
                <w:sz w:val="19"/>
              </w:rPr>
              <w:t>EBIT / Interest Expense; preferably above 5</w:t>
            </w:r>
          </w:p>
        </w:tc>
      </w:tr>
    </w:tbl>
    <w:p/>
    <w:p>
      <w:pPr>
        <w:spacing w:after="120" w:line="259" w:lineRule="auto"/>
        <w:jc w:val="left"/>
      </w:pPr>
      <w:r>
        <w:rPr>
          <w:rFonts w:ascii="Aptos" w:hAnsi="Aptos" w:eastAsia="Aptos" w:cs="Aptos"/>
          <w:b/>
          <w:i w:val="0"/>
          <w:sz w:val="22"/>
        </w:rPr>
        <w:t>Scoring method:</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Situation</w:t>
            </w:r>
          </w:p>
        </w:tc>
        <w:tc>
          <w:tcPr>
            <w:tcW w:type="dxa" w:w="5100"/>
            <w:vAlign w:val="center"/>
            <w:shd w:fill="D9EAF7"/>
          </w:tcPr>
          <w:p>
            <w:pPr>
              <w:jc w:val="left"/>
            </w:pPr>
            <w:r/>
            <w:r>
              <w:rPr>
                <w:rFonts w:ascii="Aptos" w:hAnsi="Aptos" w:eastAsia="Aptos" w:cs="Aptos"/>
                <w:b/>
                <w:sz w:val="19"/>
              </w:rPr>
              <w:t>Score</w:t>
            </w:r>
          </w:p>
        </w:tc>
      </w:tr>
      <w:tr>
        <w:tc>
          <w:tcPr>
            <w:tcW w:type="dxa" w:w="5100"/>
            <w:vAlign w:val="center"/>
          </w:tcPr>
          <w:p>
            <w:pPr>
              <w:jc w:val="left"/>
            </w:pPr>
            <w:r/>
            <w:r>
              <w:rPr>
                <w:rFonts w:ascii="Aptos" w:hAnsi="Aptos" w:eastAsia="Aptos" w:cs="Aptos"/>
                <w:b w:val="0"/>
                <w:sz w:val="19"/>
              </w:rPr>
              <w:t>High debt or weak interest coverage</w:t>
            </w:r>
          </w:p>
        </w:tc>
        <w:tc>
          <w:tcPr>
            <w:tcW w:type="dxa" w:w="5100"/>
            <w:vAlign w:val="center"/>
          </w:tcPr>
          <w:p>
            <w:pPr>
              <w:jc w:val="left"/>
            </w:pPr>
            <w:r/>
            <w:r>
              <w:rPr>
                <w:rFonts w:ascii="Aptos" w:hAnsi="Aptos" w:eastAsia="Aptos" w:cs="Aptos"/>
                <w:b w:val="0"/>
                <w:sz w:val="19"/>
              </w:rPr>
              <w:t>0–4</w:t>
            </w:r>
          </w:p>
        </w:tc>
      </w:tr>
      <w:tr>
        <w:tc>
          <w:tcPr>
            <w:tcW w:type="dxa" w:w="5100"/>
            <w:vAlign w:val="center"/>
          </w:tcPr>
          <w:p>
            <w:pPr>
              <w:jc w:val="left"/>
            </w:pPr>
            <w:r/>
            <w:r>
              <w:rPr>
                <w:rFonts w:ascii="Aptos" w:hAnsi="Aptos" w:eastAsia="Aptos" w:cs="Aptos"/>
                <w:b w:val="0"/>
                <w:sz w:val="19"/>
              </w:rPr>
              <w:t>Moderate debt; debt can be serviced but not comfortably</w:t>
            </w:r>
          </w:p>
        </w:tc>
        <w:tc>
          <w:tcPr>
            <w:tcW w:type="dxa" w:w="5100"/>
            <w:vAlign w:val="center"/>
          </w:tcPr>
          <w:p>
            <w:pPr>
              <w:jc w:val="left"/>
            </w:pPr>
            <w:r/>
            <w:r>
              <w:rPr>
                <w:rFonts w:ascii="Aptos" w:hAnsi="Aptos" w:eastAsia="Aptos" w:cs="Aptos"/>
                <w:b w:val="0"/>
                <w:sz w:val="19"/>
              </w:rPr>
              <w:t>5–9</w:t>
            </w:r>
          </w:p>
        </w:tc>
      </w:tr>
      <w:tr>
        <w:tc>
          <w:tcPr>
            <w:tcW w:type="dxa" w:w="5100"/>
            <w:vAlign w:val="center"/>
          </w:tcPr>
          <w:p>
            <w:pPr>
              <w:jc w:val="left"/>
            </w:pPr>
            <w:r/>
            <w:r>
              <w:rPr>
                <w:rFonts w:ascii="Aptos" w:hAnsi="Aptos" w:eastAsia="Aptos" w:cs="Aptos"/>
                <w:b w:val="0"/>
                <w:sz w:val="19"/>
              </w:rPr>
              <w:t>Relatively low debt and good interest coverage</w:t>
            </w:r>
          </w:p>
        </w:tc>
        <w:tc>
          <w:tcPr>
            <w:tcW w:type="dxa" w:w="5100"/>
            <w:vAlign w:val="center"/>
          </w:tcPr>
          <w:p>
            <w:pPr>
              <w:jc w:val="left"/>
            </w:pPr>
            <w:r/>
            <w:r>
              <w:rPr>
                <w:rFonts w:ascii="Aptos" w:hAnsi="Aptos" w:eastAsia="Aptos" w:cs="Aptos"/>
                <w:b w:val="0"/>
                <w:sz w:val="19"/>
              </w:rPr>
              <w:t>10–12</w:t>
            </w:r>
          </w:p>
        </w:tc>
      </w:tr>
      <w:tr>
        <w:tc>
          <w:tcPr>
            <w:tcW w:type="dxa" w:w="5100"/>
            <w:vAlign w:val="center"/>
          </w:tcPr>
          <w:p>
            <w:pPr>
              <w:jc w:val="left"/>
            </w:pPr>
            <w:r/>
            <w:r>
              <w:rPr>
                <w:rFonts w:ascii="Aptos" w:hAnsi="Aptos" w:eastAsia="Aptos" w:cs="Aptos"/>
                <w:b w:val="0"/>
                <w:sz w:val="19"/>
              </w:rPr>
              <w:t>Very conservative balance sheet</w:t>
            </w:r>
          </w:p>
        </w:tc>
        <w:tc>
          <w:tcPr>
            <w:tcW w:type="dxa" w:w="5100"/>
            <w:vAlign w:val="center"/>
          </w:tcPr>
          <w:p>
            <w:pPr>
              <w:jc w:val="left"/>
            </w:pPr>
            <w:r/>
            <w:r>
              <w:rPr>
                <w:rFonts w:ascii="Aptos" w:hAnsi="Aptos" w:eastAsia="Aptos" w:cs="Aptos"/>
                <w:b w:val="0"/>
                <w:sz w:val="19"/>
              </w:rPr>
              <w:t>13–15</w:t>
            </w:r>
          </w:p>
        </w:tc>
      </w:tr>
    </w:tbl>
    <w:p/>
    <w:p>
      <w:pPr>
        <w:pStyle w:val="Heading3"/>
        <w:spacing w:before="200" w:after="120"/>
      </w:pPr>
      <w:r>
        <w:rPr>
          <w:rFonts w:ascii="Aptos" w:hAnsi="Aptos" w:eastAsia="Aptos" w:cs="Aptos"/>
          <w:b/>
          <w:color w:val="000000"/>
          <w:sz w:val="23"/>
        </w:rPr>
        <w:t>3.4 Earnings Stability — 15 points</w:t>
      </w:r>
    </w:p>
    <w:p>
      <w:pPr>
        <w:spacing w:after="120" w:line="259" w:lineRule="auto"/>
        <w:jc w:val="left"/>
      </w:pPr>
      <w:r>
        <w:rPr>
          <w:rFonts w:ascii="Aptos" w:hAnsi="Aptos" w:eastAsia="Aptos" w:cs="Aptos"/>
          <w:b w:val="0"/>
          <w:i w:val="0"/>
          <w:sz w:val="22"/>
        </w:rPr>
        <w:t>Explanation: This criterion evaluates whether the company earns profits consistently over time. It reduces the risk that the stock looks cheap only because of one unusually strong year.</w:t>
      </w:r>
    </w:p>
    <w:p>
      <w:pPr>
        <w:spacing w:after="120" w:line="259" w:lineRule="auto"/>
        <w:jc w:val="left"/>
      </w:pPr>
      <w:r>
        <w:rPr>
          <w:rFonts w:ascii="Aptos" w:hAnsi="Aptos" w:eastAsia="Aptos" w:cs="Aptos"/>
          <w:b/>
          <w:i w:val="0"/>
          <w:sz w:val="22"/>
        </w:rPr>
        <w:t>How to calculate the criterion:</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Metric</w:t>
            </w:r>
          </w:p>
        </w:tc>
        <w:tc>
          <w:tcPr>
            <w:tcW w:type="dxa" w:w="5100"/>
            <w:vAlign w:val="center"/>
            <w:shd w:fill="D9EAF7"/>
          </w:tcPr>
          <w:p>
            <w:pPr>
              <w:jc w:val="left"/>
            </w:pPr>
            <w:r/>
            <w:r>
              <w:rPr>
                <w:rFonts w:ascii="Aptos" w:hAnsi="Aptos" w:eastAsia="Aptos" w:cs="Aptos"/>
                <w:b/>
                <w:sz w:val="19"/>
              </w:rPr>
              <w:t>Formula</w:t>
            </w:r>
          </w:p>
        </w:tc>
      </w:tr>
      <w:tr>
        <w:tc>
          <w:tcPr>
            <w:tcW w:type="dxa" w:w="5100"/>
            <w:vAlign w:val="center"/>
          </w:tcPr>
          <w:p>
            <w:pPr>
              <w:jc w:val="left"/>
            </w:pPr>
            <w:r/>
            <w:r>
              <w:rPr>
                <w:rFonts w:ascii="Aptos" w:hAnsi="Aptos" w:eastAsia="Aptos" w:cs="Aptos"/>
                <w:b w:val="0"/>
                <w:sz w:val="19"/>
              </w:rPr>
              <w:t>EPS</w:t>
            </w:r>
          </w:p>
        </w:tc>
        <w:tc>
          <w:tcPr>
            <w:tcW w:type="dxa" w:w="5100"/>
            <w:vAlign w:val="center"/>
          </w:tcPr>
          <w:p>
            <w:pPr>
              <w:jc w:val="left"/>
            </w:pPr>
            <w:r/>
            <w:r>
              <w:rPr>
                <w:rFonts w:ascii="Aptos" w:hAnsi="Aptos" w:eastAsia="Aptos" w:cs="Aptos"/>
                <w:b w:val="0"/>
                <w:sz w:val="19"/>
              </w:rPr>
              <w:t>Net Income / Diluted Shares</w:t>
            </w:r>
          </w:p>
        </w:tc>
      </w:tr>
      <w:tr>
        <w:tc>
          <w:tcPr>
            <w:tcW w:type="dxa" w:w="5100"/>
            <w:vAlign w:val="center"/>
          </w:tcPr>
          <w:p>
            <w:pPr>
              <w:jc w:val="left"/>
            </w:pPr>
            <w:r/>
            <w:r>
              <w:rPr>
                <w:rFonts w:ascii="Aptos" w:hAnsi="Aptos" w:eastAsia="Aptos" w:cs="Aptos"/>
                <w:b w:val="0"/>
                <w:sz w:val="19"/>
              </w:rPr>
              <w:t>Average EPS</w:t>
            </w:r>
          </w:p>
        </w:tc>
        <w:tc>
          <w:tcPr>
            <w:tcW w:type="dxa" w:w="5100"/>
            <w:vAlign w:val="center"/>
          </w:tcPr>
          <w:p>
            <w:pPr>
              <w:jc w:val="left"/>
            </w:pPr>
            <w:r/>
            <w:r>
              <w:rPr>
                <w:rFonts w:ascii="Aptos" w:hAnsi="Aptos" w:eastAsia="Aptos" w:cs="Aptos"/>
                <w:b w:val="0"/>
                <w:sz w:val="19"/>
              </w:rPr>
              <w:t>Sum of EPS over period / Number of years</w:t>
            </w:r>
          </w:p>
        </w:tc>
      </w:tr>
      <w:tr>
        <w:tc>
          <w:tcPr>
            <w:tcW w:type="dxa" w:w="5100"/>
            <w:vAlign w:val="center"/>
          </w:tcPr>
          <w:p>
            <w:pPr>
              <w:jc w:val="left"/>
            </w:pPr>
            <w:r/>
            <w:r>
              <w:rPr>
                <w:rFonts w:ascii="Aptos" w:hAnsi="Aptos" w:eastAsia="Aptos" w:cs="Aptos"/>
                <w:b w:val="0"/>
                <w:sz w:val="19"/>
              </w:rPr>
              <w:t>Profitable years</w:t>
            </w:r>
          </w:p>
        </w:tc>
        <w:tc>
          <w:tcPr>
            <w:tcW w:type="dxa" w:w="5100"/>
            <w:vAlign w:val="center"/>
          </w:tcPr>
          <w:p>
            <w:pPr>
              <w:jc w:val="left"/>
            </w:pPr>
            <w:r/>
            <w:r>
              <w:rPr>
                <w:rFonts w:ascii="Aptos" w:hAnsi="Aptos" w:eastAsia="Aptos" w:cs="Aptos"/>
                <w:b w:val="0"/>
                <w:sz w:val="19"/>
              </w:rPr>
              <w:t>Years with positive net income out of 10</w:t>
            </w:r>
          </w:p>
        </w:tc>
      </w:tr>
    </w:tbl>
    <w:p/>
    <w:p>
      <w:pPr>
        <w:spacing w:after="120" w:line="259" w:lineRule="auto"/>
        <w:jc w:val="left"/>
      </w:pPr>
      <w:r>
        <w:rPr>
          <w:rFonts w:ascii="Aptos" w:hAnsi="Aptos" w:eastAsia="Aptos" w:cs="Aptos"/>
          <w:b/>
          <w:i w:val="0"/>
          <w:sz w:val="22"/>
        </w:rPr>
        <w:t>Scoring method:</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Situation</w:t>
            </w:r>
          </w:p>
        </w:tc>
        <w:tc>
          <w:tcPr>
            <w:tcW w:type="dxa" w:w="5100"/>
            <w:vAlign w:val="center"/>
            <w:shd w:fill="D9EAF7"/>
          </w:tcPr>
          <w:p>
            <w:pPr>
              <w:jc w:val="left"/>
            </w:pPr>
            <w:r/>
            <w:r>
              <w:rPr>
                <w:rFonts w:ascii="Aptos" w:hAnsi="Aptos" w:eastAsia="Aptos" w:cs="Aptos"/>
                <w:b/>
                <w:sz w:val="19"/>
              </w:rPr>
              <w:t>Score</w:t>
            </w:r>
          </w:p>
        </w:tc>
      </w:tr>
      <w:tr>
        <w:tc>
          <w:tcPr>
            <w:tcW w:type="dxa" w:w="5100"/>
            <w:vAlign w:val="center"/>
          </w:tcPr>
          <w:p>
            <w:pPr>
              <w:jc w:val="left"/>
            </w:pPr>
            <w:r/>
            <w:r>
              <w:rPr>
                <w:rFonts w:ascii="Aptos" w:hAnsi="Aptos" w:eastAsia="Aptos" w:cs="Aptos"/>
                <w:b w:val="0"/>
                <w:sz w:val="19"/>
              </w:rPr>
              <w:t>Recurring losses or very volatile profitability</w:t>
            </w:r>
          </w:p>
        </w:tc>
        <w:tc>
          <w:tcPr>
            <w:tcW w:type="dxa" w:w="5100"/>
            <w:vAlign w:val="center"/>
          </w:tcPr>
          <w:p>
            <w:pPr>
              <w:jc w:val="left"/>
            </w:pPr>
            <w:r/>
            <w:r>
              <w:rPr>
                <w:rFonts w:ascii="Aptos" w:hAnsi="Aptos" w:eastAsia="Aptos" w:cs="Aptos"/>
                <w:b w:val="0"/>
                <w:sz w:val="19"/>
              </w:rPr>
              <w:t>0–4</w:t>
            </w:r>
          </w:p>
        </w:tc>
      </w:tr>
      <w:tr>
        <w:tc>
          <w:tcPr>
            <w:tcW w:type="dxa" w:w="5100"/>
            <w:vAlign w:val="center"/>
          </w:tcPr>
          <w:p>
            <w:pPr>
              <w:jc w:val="left"/>
            </w:pPr>
            <w:r/>
            <w:r>
              <w:rPr>
                <w:rFonts w:ascii="Aptos" w:hAnsi="Aptos" w:eastAsia="Aptos" w:cs="Aptos"/>
                <w:b w:val="0"/>
                <w:sz w:val="19"/>
              </w:rPr>
              <w:t>Profitable in most years with some weak years</w:t>
            </w:r>
          </w:p>
        </w:tc>
        <w:tc>
          <w:tcPr>
            <w:tcW w:type="dxa" w:w="5100"/>
            <w:vAlign w:val="center"/>
          </w:tcPr>
          <w:p>
            <w:pPr>
              <w:jc w:val="left"/>
            </w:pPr>
            <w:r/>
            <w:r>
              <w:rPr>
                <w:rFonts w:ascii="Aptos" w:hAnsi="Aptos" w:eastAsia="Aptos" w:cs="Aptos"/>
                <w:b w:val="0"/>
                <w:sz w:val="19"/>
              </w:rPr>
              <w:t>5–9</w:t>
            </w:r>
          </w:p>
        </w:tc>
      </w:tr>
      <w:tr>
        <w:tc>
          <w:tcPr>
            <w:tcW w:type="dxa" w:w="5100"/>
            <w:vAlign w:val="center"/>
          </w:tcPr>
          <w:p>
            <w:pPr>
              <w:jc w:val="left"/>
            </w:pPr>
            <w:r/>
            <w:r>
              <w:rPr>
                <w:rFonts w:ascii="Aptos" w:hAnsi="Aptos" w:eastAsia="Aptos" w:cs="Aptos"/>
                <w:b w:val="0"/>
                <w:sz w:val="19"/>
              </w:rPr>
              <w:t>Profitable in almost all years</w:t>
            </w:r>
          </w:p>
        </w:tc>
        <w:tc>
          <w:tcPr>
            <w:tcW w:type="dxa" w:w="5100"/>
            <w:vAlign w:val="center"/>
          </w:tcPr>
          <w:p>
            <w:pPr>
              <w:jc w:val="left"/>
            </w:pPr>
            <w:r/>
            <w:r>
              <w:rPr>
                <w:rFonts w:ascii="Aptos" w:hAnsi="Aptos" w:eastAsia="Aptos" w:cs="Aptos"/>
                <w:b w:val="0"/>
                <w:sz w:val="19"/>
              </w:rPr>
              <w:t>10–12</w:t>
            </w:r>
          </w:p>
        </w:tc>
      </w:tr>
      <w:tr>
        <w:tc>
          <w:tcPr>
            <w:tcW w:type="dxa" w:w="5100"/>
            <w:vAlign w:val="center"/>
          </w:tcPr>
          <w:p>
            <w:pPr>
              <w:jc w:val="left"/>
            </w:pPr>
            <w:r/>
            <w:r>
              <w:rPr>
                <w:rFonts w:ascii="Aptos" w:hAnsi="Aptos" w:eastAsia="Aptos" w:cs="Aptos"/>
                <w:b w:val="0"/>
                <w:sz w:val="19"/>
              </w:rPr>
              <w:t>Profitable in all of the last 10 years with high stability</w:t>
            </w:r>
          </w:p>
        </w:tc>
        <w:tc>
          <w:tcPr>
            <w:tcW w:type="dxa" w:w="5100"/>
            <w:vAlign w:val="center"/>
          </w:tcPr>
          <w:p>
            <w:pPr>
              <w:jc w:val="left"/>
            </w:pPr>
            <w:r/>
            <w:r>
              <w:rPr>
                <w:rFonts w:ascii="Aptos" w:hAnsi="Aptos" w:eastAsia="Aptos" w:cs="Aptos"/>
                <w:b w:val="0"/>
                <w:sz w:val="19"/>
              </w:rPr>
              <w:t>13–15</w:t>
            </w:r>
          </w:p>
        </w:tc>
      </w:tr>
    </w:tbl>
    <w:p/>
    <w:p>
      <w:pPr>
        <w:pStyle w:val="Heading3"/>
        <w:spacing w:before="200" w:after="120"/>
      </w:pPr>
      <w:r>
        <w:rPr>
          <w:rFonts w:ascii="Aptos" w:hAnsi="Aptos" w:eastAsia="Aptos" w:cs="Aptos"/>
          <w:b/>
          <w:color w:val="000000"/>
          <w:sz w:val="23"/>
        </w:rPr>
        <w:t>3.5 Dividend History — 10 points</w:t>
      </w:r>
    </w:p>
    <w:p>
      <w:pPr>
        <w:spacing w:after="120" w:line="259" w:lineRule="auto"/>
        <w:jc w:val="left"/>
      </w:pPr>
      <w:r>
        <w:rPr>
          <w:rFonts w:ascii="Aptos" w:hAnsi="Aptos" w:eastAsia="Aptos" w:cs="Aptos"/>
          <w:b w:val="0"/>
          <w:i w:val="0"/>
          <w:sz w:val="22"/>
        </w:rPr>
        <w:t>Explanation: This criterion evaluates whether the company pays dividends consistently and whether those dividends are supported by earnings and free cash flow. In Graham’s approach, dividends are a sign of conservatism and financial discipline.</w:t>
      </w:r>
    </w:p>
    <w:p>
      <w:pPr>
        <w:spacing w:after="120" w:line="259" w:lineRule="auto"/>
        <w:jc w:val="left"/>
      </w:pPr>
      <w:r>
        <w:rPr>
          <w:rFonts w:ascii="Aptos" w:hAnsi="Aptos" w:eastAsia="Aptos" w:cs="Aptos"/>
          <w:b/>
          <w:i w:val="0"/>
          <w:sz w:val="22"/>
        </w:rPr>
        <w:t>How to calculate the criterion:</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Metric</w:t>
            </w:r>
          </w:p>
        </w:tc>
        <w:tc>
          <w:tcPr>
            <w:tcW w:type="dxa" w:w="5100"/>
            <w:vAlign w:val="center"/>
            <w:shd w:fill="D9EAF7"/>
          </w:tcPr>
          <w:p>
            <w:pPr>
              <w:jc w:val="left"/>
            </w:pPr>
            <w:r/>
            <w:r>
              <w:rPr>
                <w:rFonts w:ascii="Aptos" w:hAnsi="Aptos" w:eastAsia="Aptos" w:cs="Aptos"/>
                <w:b/>
                <w:sz w:val="19"/>
              </w:rPr>
              <w:t>Formula</w:t>
            </w:r>
          </w:p>
        </w:tc>
      </w:tr>
      <w:tr>
        <w:tc>
          <w:tcPr>
            <w:tcW w:type="dxa" w:w="5100"/>
            <w:vAlign w:val="center"/>
          </w:tcPr>
          <w:p>
            <w:pPr>
              <w:jc w:val="left"/>
            </w:pPr>
            <w:r/>
            <w:r>
              <w:rPr>
                <w:rFonts w:ascii="Aptos" w:hAnsi="Aptos" w:eastAsia="Aptos" w:cs="Aptos"/>
                <w:b w:val="0"/>
                <w:sz w:val="19"/>
              </w:rPr>
              <w:t>Dividend Payout Ratio</w:t>
            </w:r>
          </w:p>
        </w:tc>
        <w:tc>
          <w:tcPr>
            <w:tcW w:type="dxa" w:w="5100"/>
            <w:vAlign w:val="center"/>
          </w:tcPr>
          <w:p>
            <w:pPr>
              <w:jc w:val="left"/>
            </w:pPr>
            <w:r/>
            <w:r>
              <w:rPr>
                <w:rFonts w:ascii="Aptos" w:hAnsi="Aptos" w:eastAsia="Aptos" w:cs="Aptos"/>
                <w:b w:val="0"/>
                <w:sz w:val="19"/>
              </w:rPr>
              <w:t>Dividends Paid / Net Income</w:t>
            </w:r>
          </w:p>
        </w:tc>
      </w:tr>
      <w:tr>
        <w:tc>
          <w:tcPr>
            <w:tcW w:type="dxa" w:w="5100"/>
            <w:vAlign w:val="center"/>
          </w:tcPr>
          <w:p>
            <w:pPr>
              <w:jc w:val="left"/>
            </w:pPr>
            <w:r/>
            <w:r>
              <w:rPr>
                <w:rFonts w:ascii="Aptos" w:hAnsi="Aptos" w:eastAsia="Aptos" w:cs="Aptos"/>
                <w:b w:val="0"/>
                <w:sz w:val="19"/>
              </w:rPr>
              <w:t>FCF Payout Ratio</w:t>
            </w:r>
          </w:p>
        </w:tc>
        <w:tc>
          <w:tcPr>
            <w:tcW w:type="dxa" w:w="5100"/>
            <w:vAlign w:val="center"/>
          </w:tcPr>
          <w:p>
            <w:pPr>
              <w:jc w:val="left"/>
            </w:pPr>
            <w:r/>
            <w:r>
              <w:rPr>
                <w:rFonts w:ascii="Aptos" w:hAnsi="Aptos" w:eastAsia="Aptos" w:cs="Aptos"/>
                <w:b w:val="0"/>
                <w:sz w:val="19"/>
              </w:rPr>
              <w:t>Dividends Paid / Free Cash Flow</w:t>
            </w:r>
          </w:p>
        </w:tc>
      </w:tr>
    </w:tbl>
    <w:p/>
    <w:p>
      <w:pPr>
        <w:spacing w:after="120" w:line="259" w:lineRule="auto"/>
        <w:jc w:val="left"/>
      </w:pPr>
      <w:r>
        <w:rPr>
          <w:rFonts w:ascii="Aptos" w:hAnsi="Aptos" w:eastAsia="Aptos" w:cs="Aptos"/>
          <w:b/>
          <w:i w:val="0"/>
          <w:sz w:val="22"/>
        </w:rPr>
        <w:t>Scoring method:</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Situation</w:t>
            </w:r>
          </w:p>
        </w:tc>
        <w:tc>
          <w:tcPr>
            <w:tcW w:type="dxa" w:w="5100"/>
            <w:vAlign w:val="center"/>
            <w:shd w:fill="D9EAF7"/>
          </w:tcPr>
          <w:p>
            <w:pPr>
              <w:jc w:val="left"/>
            </w:pPr>
            <w:r/>
            <w:r>
              <w:rPr>
                <w:rFonts w:ascii="Aptos" w:hAnsi="Aptos" w:eastAsia="Aptos" w:cs="Aptos"/>
                <w:b/>
                <w:sz w:val="19"/>
              </w:rPr>
              <w:t>Score</w:t>
            </w:r>
          </w:p>
        </w:tc>
      </w:tr>
      <w:tr>
        <w:tc>
          <w:tcPr>
            <w:tcW w:type="dxa" w:w="5100"/>
            <w:vAlign w:val="center"/>
          </w:tcPr>
          <w:p>
            <w:pPr>
              <w:jc w:val="left"/>
            </w:pPr>
            <w:r/>
            <w:r>
              <w:rPr>
                <w:rFonts w:ascii="Aptos" w:hAnsi="Aptos" w:eastAsia="Aptos" w:cs="Aptos"/>
                <w:b w:val="0"/>
                <w:sz w:val="19"/>
              </w:rPr>
              <w:t>No dividend or dividend stopped without a good reason</w:t>
            </w:r>
          </w:p>
        </w:tc>
        <w:tc>
          <w:tcPr>
            <w:tcW w:type="dxa" w:w="5100"/>
            <w:vAlign w:val="center"/>
          </w:tcPr>
          <w:p>
            <w:pPr>
              <w:jc w:val="left"/>
            </w:pPr>
            <w:r/>
            <w:r>
              <w:rPr>
                <w:rFonts w:ascii="Aptos" w:hAnsi="Aptos" w:eastAsia="Aptos" w:cs="Aptos"/>
                <w:b w:val="0"/>
                <w:sz w:val="19"/>
              </w:rPr>
              <w:t>0–2</w:t>
            </w:r>
          </w:p>
        </w:tc>
      </w:tr>
      <w:tr>
        <w:tc>
          <w:tcPr>
            <w:tcW w:type="dxa" w:w="5100"/>
            <w:vAlign w:val="center"/>
          </w:tcPr>
          <w:p>
            <w:pPr>
              <w:jc w:val="left"/>
            </w:pPr>
            <w:r/>
            <w:r>
              <w:rPr>
                <w:rFonts w:ascii="Aptos" w:hAnsi="Aptos" w:eastAsia="Aptos" w:cs="Aptos"/>
                <w:b w:val="0"/>
                <w:sz w:val="19"/>
              </w:rPr>
              <w:t>Dividend exists but history is short or unstable</w:t>
            </w:r>
          </w:p>
        </w:tc>
        <w:tc>
          <w:tcPr>
            <w:tcW w:type="dxa" w:w="5100"/>
            <w:vAlign w:val="center"/>
          </w:tcPr>
          <w:p>
            <w:pPr>
              <w:jc w:val="left"/>
            </w:pPr>
            <w:r/>
            <w:r>
              <w:rPr>
                <w:rFonts w:ascii="Aptos" w:hAnsi="Aptos" w:eastAsia="Aptos" w:cs="Aptos"/>
                <w:b w:val="0"/>
                <w:sz w:val="19"/>
              </w:rPr>
              <w:t>3–5</w:t>
            </w:r>
          </w:p>
        </w:tc>
      </w:tr>
      <w:tr>
        <w:tc>
          <w:tcPr>
            <w:tcW w:type="dxa" w:w="5100"/>
            <w:vAlign w:val="center"/>
          </w:tcPr>
          <w:p>
            <w:pPr>
              <w:jc w:val="left"/>
            </w:pPr>
            <w:r/>
            <w:r>
              <w:rPr>
                <w:rFonts w:ascii="Aptos" w:hAnsi="Aptos" w:eastAsia="Aptos" w:cs="Aptos"/>
                <w:b w:val="0"/>
                <w:sz w:val="19"/>
              </w:rPr>
              <w:t>Consistent dividend but somewhat volatile</w:t>
            </w:r>
          </w:p>
        </w:tc>
        <w:tc>
          <w:tcPr>
            <w:tcW w:type="dxa" w:w="5100"/>
            <w:vAlign w:val="center"/>
          </w:tcPr>
          <w:p>
            <w:pPr>
              <w:jc w:val="left"/>
            </w:pPr>
            <w:r/>
            <w:r>
              <w:rPr>
                <w:rFonts w:ascii="Aptos" w:hAnsi="Aptos" w:eastAsia="Aptos" w:cs="Aptos"/>
                <w:b w:val="0"/>
                <w:sz w:val="19"/>
              </w:rPr>
              <w:t>6–8</w:t>
            </w:r>
          </w:p>
        </w:tc>
      </w:tr>
      <w:tr>
        <w:tc>
          <w:tcPr>
            <w:tcW w:type="dxa" w:w="5100"/>
            <w:vAlign w:val="center"/>
          </w:tcPr>
          <w:p>
            <w:pPr>
              <w:jc w:val="left"/>
            </w:pPr>
            <w:r/>
            <w:r>
              <w:rPr>
                <w:rFonts w:ascii="Aptos" w:hAnsi="Aptos" w:eastAsia="Aptos" w:cs="Aptos"/>
                <w:b w:val="0"/>
                <w:sz w:val="19"/>
              </w:rPr>
              <w:t>Consistent, conservative, well-covered dividend</w:t>
            </w:r>
          </w:p>
        </w:tc>
        <w:tc>
          <w:tcPr>
            <w:tcW w:type="dxa" w:w="5100"/>
            <w:vAlign w:val="center"/>
          </w:tcPr>
          <w:p>
            <w:pPr>
              <w:jc w:val="left"/>
            </w:pPr>
            <w:r/>
            <w:r>
              <w:rPr>
                <w:rFonts w:ascii="Aptos" w:hAnsi="Aptos" w:eastAsia="Aptos" w:cs="Aptos"/>
                <w:b w:val="0"/>
                <w:sz w:val="19"/>
              </w:rPr>
              <w:t>9–10</w:t>
            </w:r>
          </w:p>
        </w:tc>
      </w:tr>
    </w:tbl>
    <w:p/>
    <w:p>
      <w:pPr>
        <w:pStyle w:val="Heading3"/>
        <w:spacing w:before="200" w:after="120"/>
      </w:pPr>
      <w:r>
        <w:rPr>
          <w:rFonts w:ascii="Aptos" w:hAnsi="Aptos" w:eastAsia="Aptos" w:cs="Aptos"/>
          <w:b/>
          <w:color w:val="000000"/>
          <w:sz w:val="23"/>
        </w:rPr>
        <w:t>3.6 Moderate Earnings Growth — 15 points</w:t>
      </w:r>
    </w:p>
    <w:p>
      <w:pPr>
        <w:spacing w:after="120" w:line="259" w:lineRule="auto"/>
        <w:jc w:val="left"/>
      </w:pPr>
      <w:r>
        <w:rPr>
          <w:rFonts w:ascii="Aptos" w:hAnsi="Aptos" w:eastAsia="Aptos" w:cs="Aptos"/>
          <w:b w:val="0"/>
          <w:i w:val="0"/>
          <w:sz w:val="22"/>
        </w:rPr>
        <w:t>Explanation: This criterion evaluates whether the company’s earnings power improves over time. Graham did not require high growth, but he did prefer stable companies with moderate earnings improvement.</w:t>
      </w:r>
    </w:p>
    <w:p>
      <w:pPr>
        <w:spacing w:after="120" w:line="259" w:lineRule="auto"/>
        <w:jc w:val="left"/>
      </w:pPr>
      <w:r>
        <w:rPr>
          <w:rFonts w:ascii="Aptos" w:hAnsi="Aptos" w:eastAsia="Aptos" w:cs="Aptos"/>
          <w:b/>
          <w:i w:val="0"/>
          <w:sz w:val="22"/>
        </w:rPr>
        <w:t>How to calculate the criterion:</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Metric</w:t>
            </w:r>
          </w:p>
        </w:tc>
        <w:tc>
          <w:tcPr>
            <w:tcW w:type="dxa" w:w="5100"/>
            <w:vAlign w:val="center"/>
            <w:shd w:fill="D9EAF7"/>
          </w:tcPr>
          <w:p>
            <w:pPr>
              <w:jc w:val="left"/>
            </w:pPr>
            <w:r/>
            <w:r>
              <w:rPr>
                <w:rFonts w:ascii="Aptos" w:hAnsi="Aptos" w:eastAsia="Aptos" w:cs="Aptos"/>
                <w:b/>
                <w:sz w:val="19"/>
              </w:rPr>
              <w:t>Formula</w:t>
            </w:r>
          </w:p>
        </w:tc>
      </w:tr>
      <w:tr>
        <w:tc>
          <w:tcPr>
            <w:tcW w:type="dxa" w:w="5100"/>
            <w:vAlign w:val="center"/>
          </w:tcPr>
          <w:p>
            <w:pPr>
              <w:jc w:val="left"/>
            </w:pPr>
            <w:r/>
            <w:r>
              <w:rPr>
                <w:rFonts w:ascii="Aptos" w:hAnsi="Aptos" w:eastAsia="Aptos" w:cs="Aptos"/>
                <w:b w:val="0"/>
                <w:sz w:val="19"/>
              </w:rPr>
              <w:t>EPS Growth</w:t>
            </w:r>
          </w:p>
        </w:tc>
        <w:tc>
          <w:tcPr>
            <w:tcW w:type="dxa" w:w="5100"/>
            <w:vAlign w:val="center"/>
          </w:tcPr>
          <w:p>
            <w:pPr>
              <w:jc w:val="left"/>
            </w:pPr>
            <w:r/>
            <w:r>
              <w:rPr>
                <w:rFonts w:ascii="Aptos" w:hAnsi="Aptos" w:eastAsia="Aptos" w:cs="Aptos"/>
                <w:b w:val="0"/>
                <w:sz w:val="19"/>
              </w:rPr>
              <w:t>EPS Final Period / EPS Initial Period − 1</w:t>
            </w:r>
          </w:p>
        </w:tc>
      </w:tr>
      <w:tr>
        <w:tc>
          <w:tcPr>
            <w:tcW w:type="dxa" w:w="5100"/>
            <w:vAlign w:val="center"/>
          </w:tcPr>
          <w:p>
            <w:pPr>
              <w:jc w:val="left"/>
            </w:pPr>
            <w:r/>
            <w:r>
              <w:rPr>
                <w:rFonts w:ascii="Aptos" w:hAnsi="Aptos" w:eastAsia="Aptos" w:cs="Aptos"/>
                <w:b w:val="0"/>
                <w:sz w:val="19"/>
              </w:rPr>
              <w:t>Growth based on 3-year averages</w:t>
            </w:r>
          </w:p>
        </w:tc>
        <w:tc>
          <w:tcPr>
            <w:tcW w:type="dxa" w:w="5100"/>
            <w:vAlign w:val="center"/>
          </w:tcPr>
          <w:p>
            <w:pPr>
              <w:jc w:val="left"/>
            </w:pPr>
            <w:r/>
            <w:r>
              <w:rPr>
                <w:rFonts w:ascii="Aptos" w:hAnsi="Aptos" w:eastAsia="Aptos" w:cs="Aptos"/>
                <w:b w:val="0"/>
                <w:sz w:val="19"/>
              </w:rPr>
              <w:t>Average EPS Last 3 Years / Average EPS First 3 Years − 1</w:t>
            </w:r>
          </w:p>
        </w:tc>
      </w:tr>
      <w:tr>
        <w:tc>
          <w:tcPr>
            <w:tcW w:type="dxa" w:w="5100"/>
            <w:vAlign w:val="center"/>
          </w:tcPr>
          <w:p>
            <w:pPr>
              <w:jc w:val="left"/>
            </w:pPr>
            <w:r/>
            <w:r>
              <w:rPr>
                <w:rFonts w:ascii="Aptos" w:hAnsi="Aptos" w:eastAsia="Aptos" w:cs="Aptos"/>
                <w:b w:val="0"/>
                <w:sz w:val="19"/>
              </w:rPr>
              <w:t>EPS CAGR</w:t>
            </w:r>
          </w:p>
        </w:tc>
        <w:tc>
          <w:tcPr>
            <w:tcW w:type="dxa" w:w="5100"/>
            <w:vAlign w:val="center"/>
          </w:tcPr>
          <w:p>
            <w:pPr>
              <w:jc w:val="left"/>
            </w:pPr>
            <w:r/>
            <w:r>
              <w:rPr>
                <w:rFonts w:ascii="Aptos" w:hAnsi="Aptos" w:eastAsia="Aptos" w:cs="Aptos"/>
                <w:b w:val="0"/>
                <w:sz w:val="19"/>
              </w:rPr>
              <w:t>(EPS Final / EPS Initial)^(1/n) − 1</w:t>
            </w:r>
          </w:p>
        </w:tc>
      </w:tr>
    </w:tbl>
    <w:p/>
    <w:p>
      <w:pPr>
        <w:spacing w:after="120" w:line="259" w:lineRule="auto"/>
        <w:jc w:val="left"/>
      </w:pPr>
      <w:r>
        <w:rPr>
          <w:rFonts w:ascii="Aptos" w:hAnsi="Aptos" w:eastAsia="Aptos" w:cs="Aptos"/>
          <w:b/>
          <w:i w:val="0"/>
          <w:sz w:val="22"/>
        </w:rPr>
        <w:t>Scoring method:</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Situation</w:t>
            </w:r>
          </w:p>
        </w:tc>
        <w:tc>
          <w:tcPr>
            <w:tcW w:type="dxa" w:w="5100"/>
            <w:vAlign w:val="center"/>
            <w:shd w:fill="D9EAF7"/>
          </w:tcPr>
          <w:p>
            <w:pPr>
              <w:jc w:val="left"/>
            </w:pPr>
            <w:r/>
            <w:r>
              <w:rPr>
                <w:rFonts w:ascii="Aptos" w:hAnsi="Aptos" w:eastAsia="Aptos" w:cs="Aptos"/>
                <w:b/>
                <w:sz w:val="19"/>
              </w:rPr>
              <w:t>Score</w:t>
            </w:r>
          </w:p>
        </w:tc>
      </w:tr>
      <w:tr>
        <w:tc>
          <w:tcPr>
            <w:tcW w:type="dxa" w:w="5100"/>
            <w:vAlign w:val="center"/>
          </w:tcPr>
          <w:p>
            <w:pPr>
              <w:jc w:val="left"/>
            </w:pPr>
            <w:r/>
            <w:r>
              <w:rPr>
                <w:rFonts w:ascii="Aptos" w:hAnsi="Aptos" w:eastAsia="Aptos" w:cs="Aptos"/>
                <w:b w:val="0"/>
                <w:sz w:val="19"/>
              </w:rPr>
              <w:t>No earnings growth or EPS decline</w:t>
            </w:r>
          </w:p>
        </w:tc>
        <w:tc>
          <w:tcPr>
            <w:tcW w:type="dxa" w:w="5100"/>
            <w:vAlign w:val="center"/>
          </w:tcPr>
          <w:p>
            <w:pPr>
              <w:jc w:val="left"/>
            </w:pPr>
            <w:r/>
            <w:r>
              <w:rPr>
                <w:rFonts w:ascii="Aptos" w:hAnsi="Aptos" w:eastAsia="Aptos" w:cs="Aptos"/>
                <w:b w:val="0"/>
                <w:sz w:val="19"/>
              </w:rPr>
              <w:t>0–4</w:t>
            </w:r>
          </w:p>
        </w:tc>
      </w:tr>
      <w:tr>
        <w:tc>
          <w:tcPr>
            <w:tcW w:type="dxa" w:w="5100"/>
            <w:vAlign w:val="center"/>
          </w:tcPr>
          <w:p>
            <w:pPr>
              <w:jc w:val="left"/>
            </w:pPr>
            <w:r/>
            <w:r>
              <w:rPr>
                <w:rFonts w:ascii="Aptos" w:hAnsi="Aptos" w:eastAsia="Aptos" w:cs="Aptos"/>
                <w:b w:val="0"/>
                <w:sz w:val="19"/>
              </w:rPr>
              <w:t>Very weak or volatile growth</w:t>
            </w:r>
          </w:p>
        </w:tc>
        <w:tc>
          <w:tcPr>
            <w:tcW w:type="dxa" w:w="5100"/>
            <w:vAlign w:val="center"/>
          </w:tcPr>
          <w:p>
            <w:pPr>
              <w:jc w:val="left"/>
            </w:pPr>
            <w:r/>
            <w:r>
              <w:rPr>
                <w:rFonts w:ascii="Aptos" w:hAnsi="Aptos" w:eastAsia="Aptos" w:cs="Aptos"/>
                <w:b w:val="0"/>
                <w:sz w:val="19"/>
              </w:rPr>
              <w:t>5–8</w:t>
            </w:r>
          </w:p>
        </w:tc>
      </w:tr>
      <w:tr>
        <w:tc>
          <w:tcPr>
            <w:tcW w:type="dxa" w:w="5100"/>
            <w:vAlign w:val="center"/>
          </w:tcPr>
          <w:p>
            <w:pPr>
              <w:jc w:val="left"/>
            </w:pPr>
            <w:r/>
            <w:r>
              <w:rPr>
                <w:rFonts w:ascii="Aptos" w:hAnsi="Aptos" w:eastAsia="Aptos" w:cs="Aptos"/>
                <w:b w:val="0"/>
                <w:sz w:val="19"/>
              </w:rPr>
              <w:t>Moderate, positive, clear growth</w:t>
            </w:r>
          </w:p>
        </w:tc>
        <w:tc>
          <w:tcPr>
            <w:tcW w:type="dxa" w:w="5100"/>
            <w:vAlign w:val="center"/>
          </w:tcPr>
          <w:p>
            <w:pPr>
              <w:jc w:val="left"/>
            </w:pPr>
            <w:r/>
            <w:r>
              <w:rPr>
                <w:rFonts w:ascii="Aptos" w:hAnsi="Aptos" w:eastAsia="Aptos" w:cs="Aptos"/>
                <w:b w:val="0"/>
                <w:sz w:val="19"/>
              </w:rPr>
              <w:t>9–12</w:t>
            </w:r>
          </w:p>
        </w:tc>
      </w:tr>
      <w:tr>
        <w:tc>
          <w:tcPr>
            <w:tcW w:type="dxa" w:w="5100"/>
            <w:vAlign w:val="center"/>
          </w:tcPr>
          <w:p>
            <w:pPr>
              <w:jc w:val="left"/>
            </w:pPr>
            <w:r/>
            <w:r>
              <w:rPr>
                <w:rFonts w:ascii="Aptos" w:hAnsi="Aptos" w:eastAsia="Aptos" w:cs="Aptos"/>
                <w:b w:val="0"/>
                <w:sz w:val="19"/>
              </w:rPr>
              <w:t>Relatively strong, stable, non-speculative growth</w:t>
            </w:r>
          </w:p>
        </w:tc>
        <w:tc>
          <w:tcPr>
            <w:tcW w:type="dxa" w:w="5100"/>
            <w:vAlign w:val="center"/>
          </w:tcPr>
          <w:p>
            <w:pPr>
              <w:jc w:val="left"/>
            </w:pPr>
            <w:r/>
            <w:r>
              <w:rPr>
                <w:rFonts w:ascii="Aptos" w:hAnsi="Aptos" w:eastAsia="Aptos" w:cs="Aptos"/>
                <w:b w:val="0"/>
                <w:sz w:val="19"/>
              </w:rPr>
              <w:t>13–15</w:t>
            </w:r>
          </w:p>
        </w:tc>
      </w:tr>
    </w:tbl>
    <w:p/>
    <w:p>
      <w:pPr>
        <w:pStyle w:val="Heading3"/>
        <w:spacing w:before="200" w:after="120"/>
      </w:pPr>
      <w:r>
        <w:rPr>
          <w:rFonts w:ascii="Aptos" w:hAnsi="Aptos" w:eastAsia="Aptos" w:cs="Aptos"/>
          <w:b/>
          <w:color w:val="000000"/>
          <w:sz w:val="23"/>
        </w:rPr>
        <w:t>3.7 Quality of Equity and Assets — 10 points</w:t>
      </w:r>
    </w:p>
    <w:p>
      <w:pPr>
        <w:spacing w:after="120" w:line="259" w:lineRule="auto"/>
        <w:jc w:val="left"/>
      </w:pPr>
      <w:r>
        <w:rPr>
          <w:rFonts w:ascii="Aptos" w:hAnsi="Aptos" w:eastAsia="Aptos" w:cs="Aptos"/>
          <w:b w:val="0"/>
          <w:i w:val="0"/>
          <w:sz w:val="22"/>
        </w:rPr>
        <w:t>Explanation: This criterion evaluates whether shareholders’ equity is solid, stable, and based on assets with real value. This matters because Graham valuation uses book value.</w:t>
      </w:r>
    </w:p>
    <w:p>
      <w:pPr>
        <w:spacing w:after="120" w:line="259" w:lineRule="auto"/>
        <w:jc w:val="left"/>
      </w:pPr>
      <w:r>
        <w:rPr>
          <w:rFonts w:ascii="Aptos" w:hAnsi="Aptos" w:eastAsia="Aptos" w:cs="Aptos"/>
          <w:b/>
          <w:i w:val="0"/>
          <w:sz w:val="22"/>
        </w:rPr>
        <w:t>How to calculate the criterion:</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Metric</w:t>
            </w:r>
          </w:p>
        </w:tc>
        <w:tc>
          <w:tcPr>
            <w:tcW w:type="dxa" w:w="5100"/>
            <w:vAlign w:val="center"/>
            <w:shd w:fill="D9EAF7"/>
          </w:tcPr>
          <w:p>
            <w:pPr>
              <w:jc w:val="left"/>
            </w:pPr>
            <w:r/>
            <w:r>
              <w:rPr>
                <w:rFonts w:ascii="Aptos" w:hAnsi="Aptos" w:eastAsia="Aptos" w:cs="Aptos"/>
                <w:b/>
                <w:sz w:val="19"/>
              </w:rPr>
              <w:t>Formula</w:t>
            </w:r>
          </w:p>
        </w:tc>
      </w:tr>
      <w:tr>
        <w:tc>
          <w:tcPr>
            <w:tcW w:type="dxa" w:w="5100"/>
            <w:vAlign w:val="center"/>
          </w:tcPr>
          <w:p>
            <w:pPr>
              <w:jc w:val="left"/>
            </w:pPr>
            <w:r/>
            <w:r>
              <w:rPr>
                <w:rFonts w:ascii="Aptos" w:hAnsi="Aptos" w:eastAsia="Aptos" w:cs="Aptos"/>
                <w:b w:val="0"/>
                <w:sz w:val="19"/>
              </w:rPr>
              <w:t>Book Value Per Share</w:t>
            </w:r>
          </w:p>
        </w:tc>
        <w:tc>
          <w:tcPr>
            <w:tcW w:type="dxa" w:w="5100"/>
            <w:vAlign w:val="center"/>
          </w:tcPr>
          <w:p>
            <w:pPr>
              <w:jc w:val="left"/>
            </w:pPr>
            <w:r/>
            <w:r>
              <w:rPr>
                <w:rFonts w:ascii="Aptos" w:hAnsi="Aptos" w:eastAsia="Aptos" w:cs="Aptos"/>
                <w:b w:val="0"/>
                <w:sz w:val="19"/>
              </w:rPr>
              <w:t>Shareholders’ Equity / Diluted Shares</w:t>
            </w:r>
          </w:p>
        </w:tc>
      </w:tr>
      <w:tr>
        <w:tc>
          <w:tcPr>
            <w:tcW w:type="dxa" w:w="5100"/>
            <w:vAlign w:val="center"/>
          </w:tcPr>
          <w:p>
            <w:pPr>
              <w:jc w:val="left"/>
            </w:pPr>
            <w:r/>
            <w:r>
              <w:rPr>
                <w:rFonts w:ascii="Aptos" w:hAnsi="Aptos" w:eastAsia="Aptos" w:cs="Aptos"/>
                <w:b w:val="0"/>
                <w:sz w:val="19"/>
              </w:rPr>
              <w:t>Tangible Book Value</w:t>
            </w:r>
          </w:p>
        </w:tc>
        <w:tc>
          <w:tcPr>
            <w:tcW w:type="dxa" w:w="5100"/>
            <w:vAlign w:val="center"/>
          </w:tcPr>
          <w:p>
            <w:pPr>
              <w:jc w:val="left"/>
            </w:pPr>
            <w:r/>
            <w:r>
              <w:rPr>
                <w:rFonts w:ascii="Aptos" w:hAnsi="Aptos" w:eastAsia="Aptos" w:cs="Aptos"/>
                <w:b w:val="0"/>
                <w:sz w:val="19"/>
              </w:rPr>
              <w:t>Shareholders’ Equity − Goodwill − Intangible Assets</w:t>
            </w:r>
          </w:p>
        </w:tc>
      </w:tr>
      <w:tr>
        <w:tc>
          <w:tcPr>
            <w:tcW w:type="dxa" w:w="5100"/>
            <w:vAlign w:val="center"/>
          </w:tcPr>
          <w:p>
            <w:pPr>
              <w:jc w:val="left"/>
            </w:pPr>
            <w:r/>
            <w:r>
              <w:rPr>
                <w:rFonts w:ascii="Aptos" w:hAnsi="Aptos" w:eastAsia="Aptos" w:cs="Aptos"/>
                <w:b w:val="0"/>
                <w:sz w:val="19"/>
              </w:rPr>
              <w:t>Tangible BVPS</w:t>
            </w:r>
          </w:p>
        </w:tc>
        <w:tc>
          <w:tcPr>
            <w:tcW w:type="dxa" w:w="5100"/>
            <w:vAlign w:val="center"/>
          </w:tcPr>
          <w:p>
            <w:pPr>
              <w:jc w:val="left"/>
            </w:pPr>
            <w:r/>
            <w:r>
              <w:rPr>
                <w:rFonts w:ascii="Aptos" w:hAnsi="Aptos" w:eastAsia="Aptos" w:cs="Aptos"/>
                <w:b w:val="0"/>
                <w:sz w:val="19"/>
              </w:rPr>
              <w:t>Tangible Book Value / Diluted Shares</w:t>
            </w:r>
          </w:p>
        </w:tc>
      </w:tr>
    </w:tbl>
    <w:p/>
    <w:p>
      <w:pPr>
        <w:spacing w:after="120" w:line="259" w:lineRule="auto"/>
        <w:jc w:val="left"/>
      </w:pPr>
      <w:r>
        <w:rPr>
          <w:rFonts w:ascii="Aptos" w:hAnsi="Aptos" w:eastAsia="Aptos" w:cs="Aptos"/>
          <w:b/>
          <w:i w:val="0"/>
          <w:sz w:val="22"/>
        </w:rPr>
        <w:t>Scoring method:</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Situation</w:t>
            </w:r>
          </w:p>
        </w:tc>
        <w:tc>
          <w:tcPr>
            <w:tcW w:type="dxa" w:w="5100"/>
            <w:vAlign w:val="center"/>
            <w:shd w:fill="D9EAF7"/>
          </w:tcPr>
          <w:p>
            <w:pPr>
              <w:jc w:val="left"/>
            </w:pPr>
            <w:r/>
            <w:r>
              <w:rPr>
                <w:rFonts w:ascii="Aptos" w:hAnsi="Aptos" w:eastAsia="Aptos" w:cs="Aptos"/>
                <w:b/>
                <w:sz w:val="19"/>
              </w:rPr>
              <w:t>Score</w:t>
            </w:r>
          </w:p>
        </w:tc>
      </w:tr>
      <w:tr>
        <w:tc>
          <w:tcPr>
            <w:tcW w:type="dxa" w:w="5100"/>
            <w:vAlign w:val="center"/>
          </w:tcPr>
          <w:p>
            <w:pPr>
              <w:jc w:val="left"/>
            </w:pPr>
            <w:r/>
            <w:r>
              <w:rPr>
                <w:rFonts w:ascii="Aptos" w:hAnsi="Aptos" w:eastAsia="Aptos" w:cs="Aptos"/>
                <w:b w:val="0"/>
                <w:sz w:val="19"/>
              </w:rPr>
              <w:t>Negative equity or heavy dependence on hard-to-value intangibles</w:t>
            </w:r>
          </w:p>
        </w:tc>
        <w:tc>
          <w:tcPr>
            <w:tcW w:type="dxa" w:w="5100"/>
            <w:vAlign w:val="center"/>
          </w:tcPr>
          <w:p>
            <w:pPr>
              <w:jc w:val="left"/>
            </w:pPr>
            <w:r/>
            <w:r>
              <w:rPr>
                <w:rFonts w:ascii="Aptos" w:hAnsi="Aptos" w:eastAsia="Aptos" w:cs="Aptos"/>
                <w:b w:val="0"/>
                <w:sz w:val="19"/>
              </w:rPr>
              <w:t>0–3</w:t>
            </w:r>
          </w:p>
        </w:tc>
      </w:tr>
      <w:tr>
        <w:tc>
          <w:tcPr>
            <w:tcW w:type="dxa" w:w="5100"/>
            <w:vAlign w:val="center"/>
          </w:tcPr>
          <w:p>
            <w:pPr>
              <w:jc w:val="left"/>
            </w:pPr>
            <w:r/>
            <w:r>
              <w:rPr>
                <w:rFonts w:ascii="Aptos" w:hAnsi="Aptos" w:eastAsia="Aptos" w:cs="Aptos"/>
                <w:b w:val="0"/>
                <w:sz w:val="19"/>
              </w:rPr>
              <w:t>Positive equity but much of it is intangible</w:t>
            </w:r>
          </w:p>
        </w:tc>
        <w:tc>
          <w:tcPr>
            <w:tcW w:type="dxa" w:w="5100"/>
            <w:vAlign w:val="center"/>
          </w:tcPr>
          <w:p>
            <w:pPr>
              <w:jc w:val="left"/>
            </w:pPr>
            <w:r/>
            <w:r>
              <w:rPr>
                <w:rFonts w:ascii="Aptos" w:hAnsi="Aptos" w:eastAsia="Aptos" w:cs="Aptos"/>
                <w:b w:val="0"/>
                <w:sz w:val="19"/>
              </w:rPr>
              <w:t>4–6</w:t>
            </w:r>
          </w:p>
        </w:tc>
      </w:tr>
      <w:tr>
        <w:tc>
          <w:tcPr>
            <w:tcW w:type="dxa" w:w="5100"/>
            <w:vAlign w:val="center"/>
          </w:tcPr>
          <w:p>
            <w:pPr>
              <w:jc w:val="left"/>
            </w:pPr>
            <w:r/>
            <w:r>
              <w:rPr>
                <w:rFonts w:ascii="Aptos" w:hAnsi="Aptos" w:eastAsia="Aptos" w:cs="Aptos"/>
                <w:b w:val="0"/>
                <w:sz w:val="19"/>
              </w:rPr>
              <w:t>Positive and stable equity base</w:t>
            </w:r>
          </w:p>
        </w:tc>
        <w:tc>
          <w:tcPr>
            <w:tcW w:type="dxa" w:w="5100"/>
            <w:vAlign w:val="center"/>
          </w:tcPr>
          <w:p>
            <w:pPr>
              <w:jc w:val="left"/>
            </w:pPr>
            <w:r/>
            <w:r>
              <w:rPr>
                <w:rFonts w:ascii="Aptos" w:hAnsi="Aptos" w:eastAsia="Aptos" w:cs="Aptos"/>
                <w:b w:val="0"/>
                <w:sz w:val="19"/>
              </w:rPr>
              <w:t>7–8</w:t>
            </w:r>
          </w:p>
        </w:tc>
      </w:tr>
      <w:tr>
        <w:tc>
          <w:tcPr>
            <w:tcW w:type="dxa" w:w="5100"/>
            <w:vAlign w:val="center"/>
          </w:tcPr>
          <w:p>
            <w:pPr>
              <w:jc w:val="left"/>
            </w:pPr>
            <w:r/>
            <w:r>
              <w:rPr>
                <w:rFonts w:ascii="Aptos" w:hAnsi="Aptos" w:eastAsia="Aptos" w:cs="Aptos"/>
                <w:b w:val="0"/>
                <w:sz w:val="19"/>
              </w:rPr>
              <w:t>Strong, relatively tangible, conservative equity base</w:t>
            </w:r>
          </w:p>
        </w:tc>
        <w:tc>
          <w:tcPr>
            <w:tcW w:type="dxa" w:w="5100"/>
            <w:vAlign w:val="center"/>
          </w:tcPr>
          <w:p>
            <w:pPr>
              <w:jc w:val="left"/>
            </w:pPr>
            <w:r/>
            <w:r>
              <w:rPr>
                <w:rFonts w:ascii="Aptos" w:hAnsi="Aptos" w:eastAsia="Aptos" w:cs="Aptos"/>
                <w:b w:val="0"/>
                <w:sz w:val="19"/>
              </w:rPr>
              <w:t>9–10</w:t>
            </w:r>
          </w:p>
        </w:tc>
      </w:tr>
    </w:tbl>
    <w:p/>
    <w:p>
      <w:pPr>
        <w:pStyle w:val="Heading3"/>
        <w:spacing w:before="200" w:after="120"/>
      </w:pPr>
      <w:r>
        <w:rPr>
          <w:rFonts w:ascii="Aptos" w:hAnsi="Aptos" w:eastAsia="Aptos" w:cs="Aptos"/>
          <w:b/>
          <w:color w:val="000000"/>
          <w:sz w:val="23"/>
        </w:rPr>
        <w:t>3.8 Earnings Quality and Share Dilution — 10 points</w:t>
      </w:r>
    </w:p>
    <w:p>
      <w:pPr>
        <w:spacing w:after="120" w:line="259" w:lineRule="auto"/>
        <w:jc w:val="left"/>
      </w:pPr>
      <w:r>
        <w:rPr>
          <w:rFonts w:ascii="Aptos" w:hAnsi="Aptos" w:eastAsia="Aptos" w:cs="Aptos"/>
          <w:b w:val="0"/>
          <w:i w:val="0"/>
          <w:sz w:val="22"/>
        </w:rPr>
        <w:t>Explanation: This criterion evaluates whether reported earnings are real, recurring, and healthy, and whether shareholders are not being diluted over time.</w:t>
      </w:r>
    </w:p>
    <w:p>
      <w:pPr>
        <w:spacing w:after="120" w:line="259" w:lineRule="auto"/>
        <w:jc w:val="left"/>
      </w:pPr>
      <w:r>
        <w:rPr>
          <w:rFonts w:ascii="Aptos" w:hAnsi="Aptos" w:eastAsia="Aptos" w:cs="Aptos"/>
          <w:b/>
          <w:i w:val="0"/>
          <w:sz w:val="22"/>
        </w:rPr>
        <w:t>How to calculate the criterion:</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Metric</w:t>
            </w:r>
          </w:p>
        </w:tc>
        <w:tc>
          <w:tcPr>
            <w:tcW w:type="dxa" w:w="5100"/>
            <w:vAlign w:val="center"/>
            <w:shd w:fill="D9EAF7"/>
          </w:tcPr>
          <w:p>
            <w:pPr>
              <w:jc w:val="left"/>
            </w:pPr>
            <w:r/>
            <w:r>
              <w:rPr>
                <w:rFonts w:ascii="Aptos" w:hAnsi="Aptos" w:eastAsia="Aptos" w:cs="Aptos"/>
                <w:b/>
                <w:sz w:val="19"/>
              </w:rPr>
              <w:t>Maximum score</w:t>
            </w:r>
          </w:p>
        </w:tc>
      </w:tr>
      <w:tr>
        <w:tc>
          <w:tcPr>
            <w:tcW w:type="dxa" w:w="5100"/>
            <w:vAlign w:val="center"/>
          </w:tcPr>
          <w:p>
            <w:pPr>
              <w:jc w:val="left"/>
            </w:pPr>
            <w:r/>
            <w:r>
              <w:rPr>
                <w:rFonts w:ascii="Aptos" w:hAnsi="Aptos" w:eastAsia="Aptos" w:cs="Aptos"/>
                <w:b w:val="0"/>
                <w:sz w:val="19"/>
              </w:rPr>
              <w:t>FCF supports net income over time</w:t>
            </w:r>
          </w:p>
        </w:tc>
        <w:tc>
          <w:tcPr>
            <w:tcW w:type="dxa" w:w="5100"/>
            <w:vAlign w:val="center"/>
          </w:tcPr>
          <w:p>
            <w:pPr>
              <w:jc w:val="left"/>
            </w:pPr>
            <w:r/>
            <w:r>
              <w:rPr>
                <w:rFonts w:ascii="Aptos" w:hAnsi="Aptos" w:eastAsia="Aptos" w:cs="Aptos"/>
                <w:b w:val="0"/>
                <w:sz w:val="19"/>
              </w:rPr>
              <w:t>3</w:t>
            </w:r>
          </w:p>
        </w:tc>
      </w:tr>
      <w:tr>
        <w:tc>
          <w:tcPr>
            <w:tcW w:type="dxa" w:w="5100"/>
            <w:vAlign w:val="center"/>
          </w:tcPr>
          <w:p>
            <w:pPr>
              <w:jc w:val="left"/>
            </w:pPr>
            <w:r/>
            <w:r>
              <w:rPr>
                <w:rFonts w:ascii="Aptos" w:hAnsi="Aptos" w:eastAsia="Aptos" w:cs="Aptos"/>
                <w:b w:val="0"/>
                <w:sz w:val="19"/>
              </w:rPr>
              <w:t>No meaningful shareholder dilution</w:t>
            </w:r>
          </w:p>
        </w:tc>
        <w:tc>
          <w:tcPr>
            <w:tcW w:type="dxa" w:w="5100"/>
            <w:vAlign w:val="center"/>
          </w:tcPr>
          <w:p>
            <w:pPr>
              <w:jc w:val="left"/>
            </w:pPr>
            <w:r/>
            <w:r>
              <w:rPr>
                <w:rFonts w:ascii="Aptos" w:hAnsi="Aptos" w:eastAsia="Aptos" w:cs="Aptos"/>
                <w:b w:val="0"/>
                <w:sz w:val="19"/>
              </w:rPr>
              <w:t>2</w:t>
            </w:r>
          </w:p>
        </w:tc>
      </w:tr>
      <w:tr>
        <w:tc>
          <w:tcPr>
            <w:tcW w:type="dxa" w:w="5100"/>
            <w:vAlign w:val="center"/>
          </w:tcPr>
          <w:p>
            <w:pPr>
              <w:jc w:val="left"/>
            </w:pPr>
            <w:r/>
            <w:r>
              <w:rPr>
                <w:rFonts w:ascii="Aptos" w:hAnsi="Aptos" w:eastAsia="Aptos" w:cs="Aptos"/>
                <w:b w:val="0"/>
                <w:sz w:val="19"/>
              </w:rPr>
              <w:t>No high dependence on one-time items</w:t>
            </w:r>
          </w:p>
        </w:tc>
        <w:tc>
          <w:tcPr>
            <w:tcW w:type="dxa" w:w="5100"/>
            <w:vAlign w:val="center"/>
          </w:tcPr>
          <w:p>
            <w:pPr>
              <w:jc w:val="left"/>
            </w:pPr>
            <w:r/>
            <w:r>
              <w:rPr>
                <w:rFonts w:ascii="Aptos" w:hAnsi="Aptos" w:eastAsia="Aptos" w:cs="Aptos"/>
                <w:b w:val="0"/>
                <w:sz w:val="19"/>
              </w:rPr>
              <w:t>2</w:t>
            </w:r>
          </w:p>
        </w:tc>
      </w:tr>
      <w:tr>
        <w:tc>
          <w:tcPr>
            <w:tcW w:type="dxa" w:w="5100"/>
            <w:vAlign w:val="center"/>
          </w:tcPr>
          <w:p>
            <w:pPr>
              <w:jc w:val="left"/>
            </w:pPr>
            <w:r/>
            <w:r>
              <w:rPr>
                <w:rFonts w:ascii="Aptos" w:hAnsi="Aptos" w:eastAsia="Aptos" w:cs="Aptos"/>
                <w:b w:val="0"/>
                <w:sz w:val="19"/>
              </w:rPr>
              <w:t>EPS is stable and not inflated</w:t>
            </w:r>
          </w:p>
        </w:tc>
        <w:tc>
          <w:tcPr>
            <w:tcW w:type="dxa" w:w="5100"/>
            <w:vAlign w:val="center"/>
          </w:tcPr>
          <w:p>
            <w:pPr>
              <w:jc w:val="left"/>
            </w:pPr>
            <w:r/>
            <w:r>
              <w:rPr>
                <w:rFonts w:ascii="Aptos" w:hAnsi="Aptos" w:eastAsia="Aptos" w:cs="Aptos"/>
                <w:b w:val="0"/>
                <w:sz w:val="19"/>
              </w:rPr>
              <w:t>2</w:t>
            </w:r>
          </w:p>
        </w:tc>
      </w:tr>
      <w:tr>
        <w:tc>
          <w:tcPr>
            <w:tcW w:type="dxa" w:w="5100"/>
            <w:vAlign w:val="center"/>
          </w:tcPr>
          <w:p>
            <w:pPr>
              <w:jc w:val="left"/>
            </w:pPr>
            <w:r/>
            <w:r>
              <w:rPr>
                <w:rFonts w:ascii="Aptos" w:hAnsi="Aptos" w:eastAsia="Aptos" w:cs="Aptos"/>
                <w:b w:val="0"/>
                <w:sz w:val="19"/>
              </w:rPr>
              <w:t>Reasonable gap between net income and cash flow</w:t>
            </w:r>
          </w:p>
        </w:tc>
        <w:tc>
          <w:tcPr>
            <w:tcW w:type="dxa" w:w="5100"/>
            <w:vAlign w:val="center"/>
          </w:tcPr>
          <w:p>
            <w:pPr>
              <w:jc w:val="left"/>
            </w:pPr>
            <w:r/>
            <w:r>
              <w:rPr>
                <w:rFonts w:ascii="Aptos" w:hAnsi="Aptos" w:eastAsia="Aptos" w:cs="Aptos"/>
                <w:b w:val="0"/>
                <w:sz w:val="19"/>
              </w:rPr>
              <w:t>1</w:t>
            </w:r>
          </w:p>
        </w:tc>
      </w:tr>
    </w:tbl>
    <w:p/>
    <w:p>
      <w:pPr>
        <w:spacing w:after="120" w:line="259" w:lineRule="auto"/>
        <w:jc w:val="left"/>
      </w:pPr>
      <w:r>
        <w:rPr>
          <w:rFonts w:ascii="Aptos" w:hAnsi="Aptos" w:eastAsia="Aptos" w:cs="Aptos"/>
          <w:b/>
          <w:i w:val="0"/>
          <w:sz w:val="22"/>
        </w:rPr>
        <w:t>Scoring method:</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Situation</w:t>
            </w:r>
          </w:p>
        </w:tc>
        <w:tc>
          <w:tcPr>
            <w:tcW w:type="dxa" w:w="5100"/>
            <w:vAlign w:val="center"/>
            <w:shd w:fill="D9EAF7"/>
          </w:tcPr>
          <w:p>
            <w:pPr>
              <w:jc w:val="left"/>
            </w:pPr>
            <w:r/>
            <w:r>
              <w:rPr>
                <w:rFonts w:ascii="Aptos" w:hAnsi="Aptos" w:eastAsia="Aptos" w:cs="Aptos"/>
                <w:b/>
                <w:sz w:val="19"/>
              </w:rPr>
              <w:t>Score</w:t>
            </w:r>
          </w:p>
        </w:tc>
      </w:tr>
      <w:tr>
        <w:tc>
          <w:tcPr>
            <w:tcW w:type="dxa" w:w="5100"/>
            <w:vAlign w:val="center"/>
          </w:tcPr>
          <w:p>
            <w:pPr>
              <w:jc w:val="left"/>
            </w:pPr>
            <w:r/>
            <w:r>
              <w:rPr>
                <w:rFonts w:ascii="Aptos" w:hAnsi="Aptos" w:eastAsia="Aptos" w:cs="Aptos"/>
                <w:b w:val="0"/>
                <w:sz w:val="19"/>
              </w:rPr>
              <w:t>Weak earnings quality, high dilution, or many one-offs</w:t>
            </w:r>
          </w:p>
        </w:tc>
        <w:tc>
          <w:tcPr>
            <w:tcW w:type="dxa" w:w="5100"/>
            <w:vAlign w:val="center"/>
          </w:tcPr>
          <w:p>
            <w:pPr>
              <w:jc w:val="left"/>
            </w:pPr>
            <w:r/>
            <w:r>
              <w:rPr>
                <w:rFonts w:ascii="Aptos" w:hAnsi="Aptos" w:eastAsia="Aptos" w:cs="Aptos"/>
                <w:b w:val="0"/>
                <w:sz w:val="19"/>
              </w:rPr>
              <w:t>0–3</w:t>
            </w:r>
          </w:p>
        </w:tc>
      </w:tr>
      <w:tr>
        <w:tc>
          <w:tcPr>
            <w:tcW w:type="dxa" w:w="5100"/>
            <w:vAlign w:val="center"/>
          </w:tcPr>
          <w:p>
            <w:pPr>
              <w:jc w:val="left"/>
            </w:pPr>
            <w:r/>
            <w:r>
              <w:rPr>
                <w:rFonts w:ascii="Aptos" w:hAnsi="Aptos" w:eastAsia="Aptos" w:cs="Aptos"/>
                <w:b w:val="0"/>
                <w:sz w:val="19"/>
              </w:rPr>
              <w:t>Reasonable but imperfect earnings quality</w:t>
            </w:r>
          </w:p>
        </w:tc>
        <w:tc>
          <w:tcPr>
            <w:tcW w:type="dxa" w:w="5100"/>
            <w:vAlign w:val="center"/>
          </w:tcPr>
          <w:p>
            <w:pPr>
              <w:jc w:val="left"/>
            </w:pPr>
            <w:r/>
            <w:r>
              <w:rPr>
                <w:rFonts w:ascii="Aptos" w:hAnsi="Aptos" w:eastAsia="Aptos" w:cs="Aptos"/>
                <w:b w:val="0"/>
                <w:sz w:val="19"/>
              </w:rPr>
              <w:t>4–7</w:t>
            </w:r>
          </w:p>
        </w:tc>
      </w:tr>
      <w:tr>
        <w:tc>
          <w:tcPr>
            <w:tcW w:type="dxa" w:w="5100"/>
            <w:vAlign w:val="center"/>
          </w:tcPr>
          <w:p>
            <w:pPr>
              <w:jc w:val="left"/>
            </w:pPr>
            <w:r/>
            <w:r>
              <w:rPr>
                <w:rFonts w:ascii="Aptos" w:hAnsi="Aptos" w:eastAsia="Aptos" w:cs="Aptos"/>
                <w:b w:val="0"/>
                <w:sz w:val="19"/>
              </w:rPr>
              <w:t>High-quality earnings, cash support, and no meaningful dilution</w:t>
            </w:r>
          </w:p>
        </w:tc>
        <w:tc>
          <w:tcPr>
            <w:tcW w:type="dxa" w:w="5100"/>
            <w:vAlign w:val="center"/>
          </w:tcPr>
          <w:p>
            <w:pPr>
              <w:jc w:val="left"/>
            </w:pPr>
            <w:r/>
            <w:r>
              <w:rPr>
                <w:rFonts w:ascii="Aptos" w:hAnsi="Aptos" w:eastAsia="Aptos" w:cs="Aptos"/>
                <w:b w:val="0"/>
                <w:sz w:val="19"/>
              </w:rPr>
              <w:t>8–10</w:t>
            </w:r>
          </w:p>
        </w:tc>
      </w:tr>
    </w:tbl>
    <w:p/>
    <w:p>
      <w:pPr>
        <w:pStyle w:val="Heading2"/>
        <w:spacing w:before="200" w:after="120"/>
      </w:pPr>
      <w:r>
        <w:rPr>
          <w:rFonts w:ascii="Aptos" w:hAnsi="Aptos" w:eastAsia="Aptos" w:cs="Aptos"/>
          <w:b/>
          <w:color w:val="1F4E79"/>
          <w:sz w:val="26"/>
        </w:rPr>
        <w:t>4. Business Quality Score Summary</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Quality score</w:t>
            </w:r>
          </w:p>
        </w:tc>
        <w:tc>
          <w:tcPr>
            <w:tcW w:type="dxa" w:w="5100"/>
            <w:vAlign w:val="center"/>
            <w:shd w:fill="D9EAF7"/>
          </w:tcPr>
          <w:p>
            <w:pPr>
              <w:jc w:val="left"/>
            </w:pPr>
            <w:r/>
            <w:r>
              <w:rPr>
                <w:rFonts w:ascii="Aptos" w:hAnsi="Aptos" w:eastAsia="Aptos" w:cs="Aptos"/>
                <w:b/>
                <w:sz w:val="19"/>
              </w:rPr>
              <w:t>Meaning</w:t>
            </w:r>
          </w:p>
        </w:tc>
      </w:tr>
      <w:tr>
        <w:tc>
          <w:tcPr>
            <w:tcW w:type="dxa" w:w="5100"/>
            <w:vAlign w:val="center"/>
          </w:tcPr>
          <w:p>
            <w:pPr>
              <w:jc w:val="left"/>
            </w:pPr>
            <w:r/>
            <w:r>
              <w:rPr>
                <w:rFonts w:ascii="Aptos" w:hAnsi="Aptos" w:eastAsia="Aptos" w:cs="Aptos"/>
                <w:b w:val="0"/>
                <w:sz w:val="19"/>
              </w:rPr>
              <w:t>85–100</w:t>
            </w:r>
          </w:p>
        </w:tc>
        <w:tc>
          <w:tcPr>
            <w:tcW w:type="dxa" w:w="5100"/>
            <w:vAlign w:val="center"/>
          </w:tcPr>
          <w:p>
            <w:pPr>
              <w:jc w:val="left"/>
            </w:pPr>
            <w:r/>
            <w:r>
              <w:rPr>
                <w:rFonts w:ascii="Aptos" w:hAnsi="Aptos" w:eastAsia="Aptos" w:cs="Aptos"/>
                <w:b w:val="0"/>
                <w:sz w:val="19"/>
              </w:rPr>
              <w:t>Very conservative, stable, and strong company under the Graham approach</w:t>
            </w:r>
          </w:p>
        </w:tc>
      </w:tr>
      <w:tr>
        <w:tc>
          <w:tcPr>
            <w:tcW w:type="dxa" w:w="5100"/>
            <w:vAlign w:val="center"/>
          </w:tcPr>
          <w:p>
            <w:pPr>
              <w:jc w:val="left"/>
            </w:pPr>
            <w:r/>
            <w:r>
              <w:rPr>
                <w:rFonts w:ascii="Aptos" w:hAnsi="Aptos" w:eastAsia="Aptos" w:cs="Aptos"/>
                <w:b w:val="0"/>
                <w:sz w:val="19"/>
              </w:rPr>
              <w:t>70–84</w:t>
            </w:r>
          </w:p>
        </w:tc>
        <w:tc>
          <w:tcPr>
            <w:tcW w:type="dxa" w:w="5100"/>
            <w:vAlign w:val="center"/>
          </w:tcPr>
          <w:p>
            <w:pPr>
              <w:jc w:val="left"/>
            </w:pPr>
            <w:r/>
            <w:r>
              <w:rPr>
                <w:rFonts w:ascii="Aptos" w:hAnsi="Aptos" w:eastAsia="Aptos" w:cs="Aptos"/>
                <w:b w:val="0"/>
                <w:sz w:val="19"/>
              </w:rPr>
              <w:t>Good and stable company, but specific weaknesses should be reviewed</w:t>
            </w:r>
          </w:p>
        </w:tc>
      </w:tr>
      <w:tr>
        <w:tc>
          <w:tcPr>
            <w:tcW w:type="dxa" w:w="5100"/>
            <w:vAlign w:val="center"/>
          </w:tcPr>
          <w:p>
            <w:pPr>
              <w:jc w:val="left"/>
            </w:pPr>
            <w:r/>
            <w:r>
              <w:rPr>
                <w:rFonts w:ascii="Aptos" w:hAnsi="Aptos" w:eastAsia="Aptos" w:cs="Aptos"/>
                <w:b w:val="0"/>
                <w:sz w:val="19"/>
              </w:rPr>
              <w:t>55–69</w:t>
            </w:r>
          </w:p>
        </w:tc>
        <w:tc>
          <w:tcPr>
            <w:tcW w:type="dxa" w:w="5100"/>
            <w:vAlign w:val="center"/>
          </w:tcPr>
          <w:p>
            <w:pPr>
              <w:jc w:val="left"/>
            </w:pPr>
            <w:r/>
            <w:r>
              <w:rPr>
                <w:rFonts w:ascii="Aptos" w:hAnsi="Aptos" w:eastAsia="Aptos" w:cs="Aptos"/>
                <w:b w:val="0"/>
                <w:sz w:val="19"/>
              </w:rPr>
              <w:t>Borderline company; may only be suitable at a very low price</w:t>
            </w:r>
          </w:p>
        </w:tc>
      </w:tr>
      <w:tr>
        <w:tc>
          <w:tcPr>
            <w:tcW w:type="dxa" w:w="5100"/>
            <w:vAlign w:val="center"/>
          </w:tcPr>
          <w:p>
            <w:pPr>
              <w:jc w:val="left"/>
            </w:pPr>
            <w:r/>
            <w:r>
              <w:rPr>
                <w:rFonts w:ascii="Aptos" w:hAnsi="Aptos" w:eastAsia="Aptos" w:cs="Aptos"/>
                <w:b w:val="0"/>
                <w:sz w:val="19"/>
              </w:rPr>
              <w:t>Below 55</w:t>
            </w:r>
          </w:p>
        </w:tc>
        <w:tc>
          <w:tcPr>
            <w:tcW w:type="dxa" w:w="5100"/>
            <w:vAlign w:val="center"/>
          </w:tcPr>
          <w:p>
            <w:pPr>
              <w:jc w:val="left"/>
            </w:pPr>
            <w:r/>
            <w:r>
              <w:rPr>
                <w:rFonts w:ascii="Aptos" w:hAnsi="Aptos" w:eastAsia="Aptos" w:cs="Aptos"/>
                <w:b w:val="0"/>
                <w:sz w:val="19"/>
              </w:rPr>
              <w:t>Probably not suitable for the defensive Graham approach</w:t>
            </w:r>
          </w:p>
        </w:tc>
      </w:tr>
    </w:tbl>
    <w:p/>
    <w:p>
      <w:pPr>
        <w:spacing w:after="120" w:line="259" w:lineRule="auto"/>
        <w:jc w:val="left"/>
      </w:pPr>
      <w:r>
        <w:rPr>
          <w:rFonts w:ascii="Aptos" w:hAnsi="Aptos" w:eastAsia="Aptos" w:cs="Aptos"/>
          <w:b w:val="0"/>
          <w:i w:val="0"/>
          <w:sz w:val="22"/>
        </w:rPr>
        <w:t>A high Graham quality score means the company is stable enough to proceed to valuation. A good Graham investment requires both adequate business safety and a stock price meaningfully below conservative value.</w:t>
      </w:r>
    </w:p>
    <w:p>
      <w:pPr>
        <w:pStyle w:val="Heading2"/>
      </w:pPr>
      <w:r>
        <w:t>5. Explanation of the Stock Price Versus Value Score</w:t>
      </w:r>
    </w:p>
    <w:p>
      <w:r>
        <w:t>The Graham price score should now be calculated according to the type of company being analyzed. For traditional companies with meaningful book value and tangible assets, the classic Graham Number remains the primary valuation method. For software and technology companies, where book value often fails to represent the economic value of the business, the Graham Number should be used mainly as a conservative reference check, while the primary valuation should be based on normalized adjusted free cash flow and a conservative FCF multiple.</w:t>
      </w:r>
    </w:p>
    <w:p>
      <w:r>
        <w:t>This technology adjustment is not an official Benjamin Graham rule. It is a practical modern adjustment that preserves the spirit of Graham: conservative valuation, real earnings or cash flow, low financial risk, and a margin of safety.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Company type</w:t>
            </w:r>
          </w:p>
        </w:tc>
        <w:tc>
          <w:tcPr>
            <w:tcW w:type="dxa" w:w="2880"/>
          </w:tcPr>
          <w:p>
            <w:r>
              <w:rPr>
                <w:b/>
              </w:rPr>
              <w:t>Primary valuation method</w:t>
            </w:r>
          </w:p>
        </w:tc>
        <w:tc>
          <w:tcPr>
            <w:tcW w:type="dxa" w:w="2880"/>
          </w:tcPr>
          <w:p>
            <w:r>
              <w:rPr>
                <w:b/>
              </w:rPr>
              <w:t>Use</w:t>
            </w:r>
          </w:p>
        </w:tc>
      </w:tr>
      <w:tr>
        <w:tc>
          <w:tcPr>
            <w:tcW w:type="dxa" w:w="2880"/>
          </w:tcPr>
          <w:p>
            <w:r>
              <w:t>Traditional / asset-heavy company</w:t>
            </w:r>
          </w:p>
        </w:tc>
        <w:tc>
          <w:tcPr>
            <w:tcW w:type="dxa" w:w="2880"/>
          </w:tcPr>
          <w:p>
            <w:r>
              <w:t>Classic Graham Number</w:t>
            </w:r>
          </w:p>
        </w:tc>
        <w:tc>
          <w:tcPr>
            <w:tcW w:type="dxa" w:w="2880"/>
          </w:tcPr>
          <w:p>
            <w:r>
              <w:t>Primary price score</w:t>
            </w:r>
          </w:p>
        </w:tc>
      </w:tr>
      <w:tr>
        <w:tc>
          <w:tcPr>
            <w:tcW w:type="dxa" w:w="2880"/>
          </w:tcPr>
          <w:p>
            <w:r>
              <w:t>Software / technology / asset-light company</w:t>
            </w:r>
          </w:p>
        </w:tc>
        <w:tc>
          <w:tcPr>
            <w:tcW w:type="dxa" w:w="2880"/>
          </w:tcPr>
          <w:p>
            <w:r>
              <w:t>Adjusted FCF-based conservative value</w:t>
            </w:r>
          </w:p>
        </w:tc>
        <w:tc>
          <w:tcPr>
            <w:tcW w:type="dxa" w:w="2880"/>
          </w:tcPr>
          <w:p>
            <w:r>
              <w:t>Primary price score; Graham Number as a conservatism check</w:t>
            </w:r>
          </w:p>
        </w:tc>
      </w:tr>
      <w:tr>
        <w:tc>
          <w:tcPr>
            <w:tcW w:type="dxa" w:w="2880"/>
          </w:tcPr>
          <w:p>
            <w:r>
              <w:t>Unprofitable company or negative adjusted FCF</w:t>
            </w:r>
          </w:p>
        </w:tc>
        <w:tc>
          <w:tcPr>
            <w:tcW w:type="dxa" w:w="2880"/>
          </w:tcPr>
          <w:p>
            <w:r>
              <w:t>Usually not suitable for Graham valuation</w:t>
            </w:r>
          </w:p>
        </w:tc>
        <w:tc>
          <w:tcPr>
            <w:tcW w:type="dxa" w:w="2880"/>
          </w:tcPr>
          <w:p>
            <w:r>
              <w:t>Avoid or require a separate turnaround analysis</w:t>
            </w:r>
          </w:p>
        </w:tc>
      </w:tr>
    </w:tbl>
    <w:p>
      <w:pPr>
        <w:pStyle w:val="Heading2"/>
      </w:pPr>
      <w:r>
        <w:t>6. Calculating Whether the Stock Is Cheap or Expensive</w:t>
      </w:r>
    </w:p>
    <w:p>
      <w:pPr>
        <w:pStyle w:val="Heading3"/>
      </w:pPr>
      <w:r>
        <w:t>6.1 Classic Graham Value for Traditional Companies</w:t>
      </w:r>
    </w:p>
    <w:p>
      <w:r>
        <w:t>The classic method is the Graham Number, which combines normalized earnings per share and book value per share.</w:t>
      </w:r>
    </w:p>
    <w:p>
      <w:r>
        <w:t>Graham Number = √(22.5 × Normalized EPS × Book Value Per Share)</w:t>
      </w:r>
    </w:p>
    <w:p>
      <w:r>
        <w:t>The number 22.5 comes from combining a P/E ceiling of 15 with a P/B ceiling of 1.5:</w:t>
      </w:r>
    </w:p>
    <w:p>
      <w:r>
        <w:t>15 × 1.5 = 22.5</w:t>
      </w:r>
    </w:p>
    <w:p>
      <w:r>
        <w:t>Classic Graham Fair Value = Graham Number</w:t>
      </w:r>
    </w:p>
    <w:p>
      <w:r>
        <w:t>A more conservative cross-check can still be used:</w:t>
      </w:r>
    </w:p>
    <w:p>
      <w:r>
        <w:t>Conservative Graham Check = Min(Graham Number, Normalized EPS × 15, BVPS × 1.5)</w:t>
      </w:r>
    </w:p>
    <w:p>
      <w:r>
        <w:t>The Min approach should be treated as an additional conservatism check, not necessarily as the default value, because it can be too restrictive in many modern markets.</w:t>
      </w:r>
    </w:p>
    <w:p>
      <w:r>
        <w:t>Discount to Graham Value = (Graham Fair Value − Current Price) / Graham Fair Value</w:t>
      </w:r>
    </w:p>
    <w:p>
      <w:r>
        <w:t>Premium to Graham Value = (Current Price − Graham Fair Value) / Graham Fair Value</w:t>
      </w:r>
    </w:p>
    <w:p>
      <w:r>
        <w:t>Upside = (Graham Fair Value − Current Price) / Current Price</w:t>
      </w:r>
    </w:p>
    <w:p>
      <w:r>
        <w:t>Optional Net-Net test:</w:t>
      </w:r>
    </w:p>
    <w:p>
      <w:r>
        <w:t>NCAV = Current Assets − Total Liabilities</w:t>
      </w:r>
    </w:p>
    <w:p>
      <w:r>
        <w:t>Net-Net Buy Zone = Price &lt; ⅔ × NCAV Per Share</w:t>
      </w:r>
    </w:p>
    <w:p>
      <w:pPr>
        <w:pStyle w:val="Heading3"/>
      </w:pPr>
      <w:r>
        <w:t>6.2 Adjusted Graham Value for Software and Technology Companies</w:t>
      </w:r>
    </w:p>
    <w:p>
      <w:r>
        <w:t>For software and technology companies, book value may be too low because much of the value is based on intangible assets such as software, customer relationships, data, brand, switching costs, and accumulated R&amp;D. Therefore, the primary valuation should be based on conservative free cash flow rather than book value.</w:t>
      </w:r>
    </w:p>
    <w:p>
      <w:r>
        <w:t>Free Cash Flow = Cash Flow From Operations − Capital Expenditures</w:t>
      </w:r>
    </w:p>
    <w:p>
      <w:r>
        <w:t>Adjusted FCF = Free Cash Flow − Stock-Based Compensation</w:t>
      </w:r>
    </w:p>
    <w:p>
      <w:r>
        <w:t>If SBC is already offset by meaningful buybacks that prevent dilution, the analyst may use FCF adjusted for the actual cost of dilution instead of subtracting the full SBC amount.</w:t>
      </w:r>
    </w:p>
    <w:p>
      <w:r>
        <w:t>Graham Tech Fair Value = (Adjusted FCF × Conservative FCF Multiple + Cash − Debt) / Diluted Shares</w:t>
      </w:r>
    </w:p>
    <w:tbl>
      <w:tblPr>
        <w:tblStyle w:val="TableGrid"/>
        <w:tblW w:type="auto" w:w="0"/>
        <w:tblLook w:firstColumn="1" w:firstRow="1" w:lastColumn="0" w:lastRow="0" w:noHBand="0" w:noVBand="1" w:val="04A0"/>
      </w:tblPr>
      <w:tblGrid>
        <w:gridCol w:w="4320"/>
        <w:gridCol w:w="4320"/>
      </w:tblGrid>
      <w:tr>
        <w:tc>
          <w:tcPr>
            <w:tcW w:type="dxa" w:w="4320"/>
          </w:tcPr>
          <w:p>
            <w:r>
              <w:rPr>
                <w:b/>
              </w:rPr>
              <w:t>Technology company profile</w:t>
            </w:r>
          </w:p>
        </w:tc>
        <w:tc>
          <w:tcPr>
            <w:tcW w:type="dxa" w:w="4320"/>
          </w:tcPr>
          <w:p>
            <w:r>
              <w:rPr>
                <w:b/>
              </w:rPr>
              <w:t>Conservative FCF multiple</w:t>
            </w:r>
          </w:p>
        </w:tc>
      </w:tr>
      <w:tr>
        <w:tc>
          <w:tcPr>
            <w:tcW w:type="dxa" w:w="4320"/>
          </w:tcPr>
          <w:p>
            <w:r>
              <w:t>Stable software company, low growth, positive adjusted FCF</w:t>
            </w:r>
          </w:p>
        </w:tc>
        <w:tc>
          <w:tcPr>
            <w:tcW w:type="dxa" w:w="4320"/>
          </w:tcPr>
          <w:p>
            <w:r>
              <w:t>12–15</w:t>
            </w:r>
          </w:p>
        </w:tc>
      </w:tr>
      <w:tr>
        <w:tc>
          <w:tcPr>
            <w:tcW w:type="dxa" w:w="4320"/>
          </w:tcPr>
          <w:p>
            <w:r>
              <w:t>Good software company, moderate growth, low debt</w:t>
            </w:r>
          </w:p>
        </w:tc>
        <w:tc>
          <w:tcPr>
            <w:tcW w:type="dxa" w:w="4320"/>
          </w:tcPr>
          <w:p>
            <w:r>
              <w:t>15–18</w:t>
            </w:r>
          </w:p>
        </w:tc>
      </w:tr>
      <w:tr>
        <w:tc>
          <w:tcPr>
            <w:tcW w:type="dxa" w:w="4320"/>
          </w:tcPr>
          <w:p>
            <w:r>
              <w:t>High-quality software company, strong FCF, stable growth</w:t>
            </w:r>
          </w:p>
        </w:tc>
        <w:tc>
          <w:tcPr>
            <w:tcW w:type="dxa" w:w="4320"/>
          </w:tcPr>
          <w:p>
            <w:r>
              <w:t>18–22</w:t>
            </w:r>
          </w:p>
        </w:tc>
      </w:tr>
      <w:tr>
        <w:tc>
          <w:tcPr>
            <w:tcW w:type="dxa" w:w="4320"/>
          </w:tcPr>
          <w:p>
            <w:r>
              <w:t>Exceptional software company with high and profitable growth</w:t>
            </w:r>
          </w:p>
        </w:tc>
        <w:tc>
          <w:tcPr>
            <w:tcW w:type="dxa" w:w="4320"/>
          </w:tcPr>
          <w:p>
            <w:r>
              <w:t>22–25, used carefully</w:t>
            </w:r>
          </w:p>
        </w:tc>
      </w:tr>
      <w:tr>
        <w:tc>
          <w:tcPr>
            <w:tcW w:type="dxa" w:w="4320"/>
          </w:tcPr>
          <w:p>
            <w:r>
              <w:t>Negative adjusted FCF or heavy dilution</w:t>
            </w:r>
          </w:p>
        </w:tc>
        <w:tc>
          <w:tcPr>
            <w:tcW w:type="dxa" w:w="4320"/>
          </w:tcPr>
          <w:p>
            <w:r>
              <w:t>Usually not suitable for Graham valuation</w:t>
            </w:r>
          </w:p>
        </w:tc>
      </w:tr>
    </w:tbl>
    <w:p>
      <w:r>
        <w:t>Discount to Graham Tech Value = (Graham Tech Fair Value − Current Price) / Graham Tech Fair Value</w:t>
      </w:r>
    </w:p>
    <w:p>
      <w:r>
        <w:t>Premium to Graham Tech Value = (Current Price − Graham Tech Fair Value) / Graham Tech Fair Value</w:t>
      </w:r>
    </w:p>
    <w:p>
      <w:r>
        <w:t>Upside = (Graham Tech Fair Value − Current Price) / Current Price</w:t>
      </w:r>
    </w:p>
    <w:p>
      <w:pPr>
        <w:pStyle w:val="Heading3"/>
      </w:pPr>
      <w:r>
        <w:t>6.3 Choosing the Correct Graham Valuation Method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Question</w:t>
            </w:r>
          </w:p>
        </w:tc>
        <w:tc>
          <w:tcPr>
            <w:tcW w:type="dxa" w:w="2880"/>
          </w:tcPr>
          <w:p>
            <w:r>
              <w:rPr>
                <w:b/>
              </w:rPr>
              <w:t>If the answer is yes</w:t>
            </w:r>
          </w:p>
        </w:tc>
        <w:tc>
          <w:tcPr>
            <w:tcW w:type="dxa" w:w="2880"/>
          </w:tcPr>
          <w:p>
            <w:r>
              <w:rPr>
                <w:b/>
              </w:rPr>
              <w:t>Preferred method</w:t>
            </w:r>
          </w:p>
        </w:tc>
      </w:tr>
      <w:tr>
        <w:tc>
          <w:tcPr>
            <w:tcW w:type="dxa" w:w="2880"/>
          </w:tcPr>
          <w:p>
            <w:r>
              <w:t>Does book value represent meaningful assets?</w:t>
            </w:r>
          </w:p>
        </w:tc>
        <w:tc>
          <w:tcPr>
            <w:tcW w:type="dxa" w:w="2880"/>
          </w:tcPr>
          <w:p>
            <w:r>
              <w:t>Yes</w:t>
            </w:r>
          </w:p>
        </w:tc>
        <w:tc>
          <w:tcPr>
            <w:tcW w:type="dxa" w:w="2880"/>
          </w:tcPr>
          <w:p>
            <w:r>
              <w:t>Classic Graham Number</w:t>
            </w:r>
          </w:p>
        </w:tc>
      </w:tr>
      <w:tr>
        <w:tc>
          <w:tcPr>
            <w:tcW w:type="dxa" w:w="2880"/>
          </w:tcPr>
          <w:p>
            <w:r>
              <w:t>Is the company asset-light, software-based, or intangible-heavy?</w:t>
            </w:r>
          </w:p>
        </w:tc>
        <w:tc>
          <w:tcPr>
            <w:tcW w:type="dxa" w:w="2880"/>
          </w:tcPr>
          <w:p>
            <w:r>
              <w:t>Yes</w:t>
            </w:r>
          </w:p>
        </w:tc>
        <w:tc>
          <w:tcPr>
            <w:tcW w:type="dxa" w:w="2880"/>
          </w:tcPr>
          <w:p>
            <w:r>
              <w:t>Adjusted FCF-based Graham Tech Value</w:t>
            </w:r>
          </w:p>
        </w:tc>
      </w:tr>
      <w:tr>
        <w:tc>
          <w:tcPr>
            <w:tcW w:type="dxa" w:w="2880"/>
          </w:tcPr>
          <w:p>
            <w:r>
              <w:t>Is EPS positive but FCF weak or negative?</w:t>
            </w:r>
          </w:p>
        </w:tc>
        <w:tc>
          <w:tcPr>
            <w:tcW w:type="dxa" w:w="2880"/>
          </w:tcPr>
          <w:p>
            <w:r>
              <w:t>Yes</w:t>
            </w:r>
          </w:p>
        </w:tc>
        <w:tc>
          <w:tcPr>
            <w:tcW w:type="dxa" w:w="2880"/>
          </w:tcPr>
          <w:p>
            <w:r>
              <w:t>Be cautious; reduce score or avoid</w:t>
            </w:r>
          </w:p>
        </w:tc>
      </w:tr>
      <w:tr>
        <w:tc>
          <w:tcPr>
            <w:tcW w:type="dxa" w:w="2880"/>
          </w:tcPr>
          <w:p>
            <w:r>
              <w:t>Is FCF positive but SBC/dilution high?</w:t>
            </w:r>
          </w:p>
        </w:tc>
        <w:tc>
          <w:tcPr>
            <w:tcW w:type="dxa" w:w="2880"/>
          </w:tcPr>
          <w:p>
            <w:r>
              <w:t>Yes</w:t>
            </w:r>
          </w:p>
        </w:tc>
        <w:tc>
          <w:tcPr>
            <w:tcW w:type="dxa" w:w="2880"/>
          </w:tcPr>
          <w:p>
            <w:r>
              <w:t>Use Adjusted FCF after dilution/SBC</w:t>
            </w:r>
          </w:p>
        </w:tc>
      </w:tr>
    </w:tbl>
    <w:p>
      <w:pPr>
        <w:pStyle w:val="Heading2"/>
      </w:pPr>
      <w:r>
        <w:t>7. Graham Price Score</w:t>
      </w:r>
    </w:p>
    <w:p>
      <w:pPr>
        <w:pStyle w:val="Heading3"/>
      </w:pPr>
      <w:r>
        <w:t>7.1 Classic Graham Price Score</w:t>
      </w:r>
    </w:p>
    <w:p>
      <w:r>
        <w:t>Use this table for traditional companies valued mainly by the Graham Number.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Stock valuation state vs. Graham value</w:t>
            </w:r>
          </w:p>
        </w:tc>
        <w:tc>
          <w:tcPr>
            <w:tcW w:type="dxa" w:w="2880"/>
          </w:tcPr>
          <w:p>
            <w:r>
              <w:rPr>
                <w:b/>
              </w:rPr>
              <w:t>Margin of safety</w:t>
            </w:r>
          </w:p>
        </w:tc>
        <w:tc>
          <w:tcPr>
            <w:tcW w:type="dxa" w:w="2880"/>
          </w:tcPr>
          <w:p>
            <w:r>
              <w:rPr>
                <w:b/>
              </w:rPr>
              <w:t>Price score</w:t>
            </w:r>
          </w:p>
        </w:tc>
      </w:tr>
      <w:tr>
        <w:tc>
          <w:tcPr>
            <w:tcW w:type="dxa" w:w="2880"/>
          </w:tcPr>
          <w:p>
            <w:r>
              <w:t>Significantly expensive</w:t>
            </w:r>
          </w:p>
        </w:tc>
        <w:tc>
          <w:tcPr>
            <w:tcW w:type="dxa" w:w="2880"/>
          </w:tcPr>
          <w:p>
            <w:r>
              <w:t>More than 20% above Graham value</w:t>
            </w:r>
          </w:p>
        </w:tc>
        <w:tc>
          <w:tcPr>
            <w:tcW w:type="dxa" w:w="2880"/>
          </w:tcPr>
          <w:p>
            <w:r>
              <w:t>0</w:t>
            </w:r>
          </w:p>
        </w:tc>
      </w:tr>
      <w:tr>
        <w:tc>
          <w:tcPr>
            <w:tcW w:type="dxa" w:w="2880"/>
          </w:tcPr>
          <w:p>
            <w:r>
              <w:t>Expensive</w:t>
            </w:r>
          </w:p>
        </w:tc>
        <w:tc>
          <w:tcPr>
            <w:tcW w:type="dxa" w:w="2880"/>
          </w:tcPr>
          <w:p>
            <w:r>
              <w:t>0%–20% above Graham value</w:t>
            </w:r>
          </w:p>
        </w:tc>
        <w:tc>
          <w:tcPr>
            <w:tcW w:type="dxa" w:w="2880"/>
          </w:tcPr>
          <w:p>
            <w:r>
              <w:t>1–2</w:t>
            </w:r>
          </w:p>
        </w:tc>
      </w:tr>
      <w:tr>
        <w:tc>
          <w:tcPr>
            <w:tcW w:type="dxa" w:w="2880"/>
          </w:tcPr>
          <w:p>
            <w:r>
              <w:t>Near Graham value</w:t>
            </w:r>
          </w:p>
        </w:tc>
        <w:tc>
          <w:tcPr>
            <w:tcW w:type="dxa" w:w="2880"/>
          </w:tcPr>
          <w:p>
            <w:r>
              <w:t>0%–15% discount</w:t>
            </w:r>
          </w:p>
        </w:tc>
        <w:tc>
          <w:tcPr>
            <w:tcW w:type="dxa" w:w="2880"/>
          </w:tcPr>
          <w:p>
            <w:r>
              <w:t>3–4</w:t>
            </w:r>
          </w:p>
        </w:tc>
      </w:tr>
      <w:tr>
        <w:tc>
          <w:tcPr>
            <w:tcW w:type="dxa" w:w="2880"/>
          </w:tcPr>
          <w:p>
            <w:r>
              <w:t>Moderately cheap</w:t>
            </w:r>
          </w:p>
        </w:tc>
        <w:tc>
          <w:tcPr>
            <w:tcW w:type="dxa" w:w="2880"/>
          </w:tcPr>
          <w:p>
            <w:r>
              <w:t>15%–25% discount</w:t>
            </w:r>
          </w:p>
        </w:tc>
        <w:tc>
          <w:tcPr>
            <w:tcW w:type="dxa" w:w="2880"/>
          </w:tcPr>
          <w:p>
            <w:r>
              <w:t>5–6</w:t>
            </w:r>
          </w:p>
        </w:tc>
      </w:tr>
      <w:tr>
        <w:tc>
          <w:tcPr>
            <w:tcW w:type="dxa" w:w="2880"/>
          </w:tcPr>
          <w:p>
            <w:r>
              <w:t>Attractive</w:t>
            </w:r>
          </w:p>
        </w:tc>
        <w:tc>
          <w:tcPr>
            <w:tcW w:type="dxa" w:w="2880"/>
          </w:tcPr>
          <w:p>
            <w:r>
              <w:t>25%–40% discount</w:t>
            </w:r>
          </w:p>
        </w:tc>
        <w:tc>
          <w:tcPr>
            <w:tcW w:type="dxa" w:w="2880"/>
          </w:tcPr>
          <w:p>
            <w:r>
              <w:t>7–8</w:t>
            </w:r>
          </w:p>
        </w:tc>
      </w:tr>
      <w:tr>
        <w:tc>
          <w:tcPr>
            <w:tcW w:type="dxa" w:w="2880"/>
          </w:tcPr>
          <w:p>
            <w:r>
              <w:t>Very cheap</w:t>
            </w:r>
          </w:p>
        </w:tc>
        <w:tc>
          <w:tcPr>
            <w:tcW w:type="dxa" w:w="2880"/>
          </w:tcPr>
          <w:p>
            <w:r>
              <w:t>More than 40% discount</w:t>
            </w:r>
          </w:p>
        </w:tc>
        <w:tc>
          <w:tcPr>
            <w:tcW w:type="dxa" w:w="2880"/>
          </w:tcPr>
          <w:p>
            <w:r>
              <w:t>9–10</w:t>
            </w:r>
          </w:p>
        </w:tc>
      </w:tr>
    </w:tbl>
    <w:p>
      <w:pPr>
        <w:pStyle w:val="Heading3"/>
      </w:pPr>
      <w:r>
        <w:t>7.2 Technology-Adjusted Graham Price Score</w:t>
      </w:r>
    </w:p>
    <w:p>
      <w:r>
        <w:t>Use this table for software and technology companies valued by adjusted FCF. The required discount is slightly less strict because the valuation itself already uses conservative adjusted FCF and a conservative FCF multiple.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Stock valuation state vs. adjusted FCF value</w:t>
            </w:r>
          </w:p>
        </w:tc>
        <w:tc>
          <w:tcPr>
            <w:tcW w:type="dxa" w:w="2880"/>
          </w:tcPr>
          <w:p>
            <w:r>
              <w:rPr>
                <w:b/>
              </w:rPr>
              <w:t>Margin of safety</w:t>
            </w:r>
          </w:p>
        </w:tc>
        <w:tc>
          <w:tcPr>
            <w:tcW w:type="dxa" w:w="2880"/>
          </w:tcPr>
          <w:p>
            <w:r>
              <w:rPr>
                <w:b/>
              </w:rPr>
              <w:t>Price score</w:t>
            </w:r>
          </w:p>
        </w:tc>
      </w:tr>
      <w:tr>
        <w:tc>
          <w:tcPr>
            <w:tcW w:type="dxa" w:w="2880"/>
          </w:tcPr>
          <w:p>
            <w:r>
              <w:t>Significantly expensive</w:t>
            </w:r>
          </w:p>
        </w:tc>
        <w:tc>
          <w:tcPr>
            <w:tcW w:type="dxa" w:w="2880"/>
          </w:tcPr>
          <w:p>
            <w:r>
              <w:t>More than 20% above adjusted FCF value</w:t>
            </w:r>
          </w:p>
        </w:tc>
        <w:tc>
          <w:tcPr>
            <w:tcW w:type="dxa" w:w="2880"/>
          </w:tcPr>
          <w:p>
            <w:r>
              <w:t>0</w:t>
            </w:r>
          </w:p>
        </w:tc>
      </w:tr>
      <w:tr>
        <w:tc>
          <w:tcPr>
            <w:tcW w:type="dxa" w:w="2880"/>
          </w:tcPr>
          <w:p>
            <w:r>
              <w:t>Expensive</w:t>
            </w:r>
          </w:p>
        </w:tc>
        <w:tc>
          <w:tcPr>
            <w:tcW w:type="dxa" w:w="2880"/>
          </w:tcPr>
          <w:p>
            <w:r>
              <w:t>0%–20% above adjusted FCF value</w:t>
            </w:r>
          </w:p>
        </w:tc>
        <w:tc>
          <w:tcPr>
            <w:tcW w:type="dxa" w:w="2880"/>
          </w:tcPr>
          <w:p>
            <w:r>
              <w:t>1–2</w:t>
            </w:r>
          </w:p>
        </w:tc>
      </w:tr>
      <w:tr>
        <w:tc>
          <w:tcPr>
            <w:tcW w:type="dxa" w:w="2880"/>
          </w:tcPr>
          <w:p>
            <w:r>
              <w:t>Near fair value</w:t>
            </w:r>
          </w:p>
        </w:tc>
        <w:tc>
          <w:tcPr>
            <w:tcW w:type="dxa" w:w="2880"/>
          </w:tcPr>
          <w:p>
            <w:r>
              <w:t>0%–10% discount</w:t>
            </w:r>
          </w:p>
        </w:tc>
        <w:tc>
          <w:tcPr>
            <w:tcW w:type="dxa" w:w="2880"/>
          </w:tcPr>
          <w:p>
            <w:r>
              <w:t>3–4</w:t>
            </w:r>
          </w:p>
        </w:tc>
      </w:tr>
      <w:tr>
        <w:tc>
          <w:tcPr>
            <w:tcW w:type="dxa" w:w="2880"/>
          </w:tcPr>
          <w:p>
            <w:r>
              <w:t>Moderately cheap</w:t>
            </w:r>
          </w:p>
        </w:tc>
        <w:tc>
          <w:tcPr>
            <w:tcW w:type="dxa" w:w="2880"/>
          </w:tcPr>
          <w:p>
            <w:r>
              <w:t>10%–20% discount</w:t>
            </w:r>
          </w:p>
        </w:tc>
        <w:tc>
          <w:tcPr>
            <w:tcW w:type="dxa" w:w="2880"/>
          </w:tcPr>
          <w:p>
            <w:r>
              <w:t>5–6</w:t>
            </w:r>
          </w:p>
        </w:tc>
      </w:tr>
      <w:tr>
        <w:tc>
          <w:tcPr>
            <w:tcW w:type="dxa" w:w="2880"/>
          </w:tcPr>
          <w:p>
            <w:r>
              <w:t>Attractive</w:t>
            </w:r>
          </w:p>
        </w:tc>
        <w:tc>
          <w:tcPr>
            <w:tcW w:type="dxa" w:w="2880"/>
          </w:tcPr>
          <w:p>
            <w:r>
              <w:t>20%–30% discount</w:t>
            </w:r>
          </w:p>
        </w:tc>
        <w:tc>
          <w:tcPr>
            <w:tcW w:type="dxa" w:w="2880"/>
          </w:tcPr>
          <w:p>
            <w:r>
              <w:t>7–8</w:t>
            </w:r>
          </w:p>
        </w:tc>
      </w:tr>
      <w:tr>
        <w:tc>
          <w:tcPr>
            <w:tcW w:type="dxa" w:w="2880"/>
          </w:tcPr>
          <w:p>
            <w:r>
              <w:t>Very cheap</w:t>
            </w:r>
          </w:p>
        </w:tc>
        <w:tc>
          <w:tcPr>
            <w:tcW w:type="dxa" w:w="2880"/>
          </w:tcPr>
          <w:p>
            <w:r>
              <w:t>More than 30% discount</w:t>
            </w:r>
          </w:p>
        </w:tc>
        <w:tc>
          <w:tcPr>
            <w:tcW w:type="dxa" w:w="2880"/>
          </w:tcPr>
          <w:p>
            <w:r>
              <w:t>9–10</w:t>
            </w:r>
          </w:p>
        </w:tc>
      </w:tr>
    </w:tbl>
    <w:p>
      <w:pPr>
        <w:pStyle w:val="Heading2"/>
      </w:pPr>
      <w:r>
        <w:t>8. Setting a Desired Buy Price</w:t>
      </w:r>
    </w:p>
    <w:p>
      <w:r>
        <w:t>The desired buy price is based on the selected conservative value and the required margin of safety.</w:t>
      </w:r>
    </w:p>
    <w:p>
      <w:r>
        <w:t>Buy Price = Selected Graham Fair Value × (1 − Required Margin of Safety)</w:t>
      </w:r>
    </w:p>
    <w:p>
      <w:r>
        <w:t>For traditional companies, Selected Graham Fair Value usually means the Graham Number. For software and technology companies, it usually means Graham Tech Fair Value based on adjusted FCF.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Graham quality score</w:t>
            </w:r>
          </w:p>
        </w:tc>
        <w:tc>
          <w:tcPr>
            <w:tcW w:type="dxa" w:w="2160"/>
          </w:tcPr>
          <w:p>
            <w:r>
              <w:rPr>
                <w:b/>
              </w:rPr>
              <w:t>Quality level</w:t>
            </w:r>
          </w:p>
        </w:tc>
        <w:tc>
          <w:tcPr>
            <w:tcW w:type="dxa" w:w="2160"/>
          </w:tcPr>
          <w:p>
            <w:r>
              <w:rPr>
                <w:b/>
              </w:rPr>
              <w:t>Traditional company margin of safety</w:t>
            </w:r>
          </w:p>
        </w:tc>
        <w:tc>
          <w:tcPr>
            <w:tcW w:type="dxa" w:w="2160"/>
          </w:tcPr>
          <w:p>
            <w:r>
              <w:rPr>
                <w:b/>
              </w:rPr>
              <w:t>Technology-adjusted margin of safety</w:t>
            </w:r>
          </w:p>
        </w:tc>
      </w:tr>
      <w:tr>
        <w:tc>
          <w:tcPr>
            <w:tcW w:type="dxa" w:w="2160"/>
          </w:tcPr>
          <w:p>
            <w:r>
              <w:t>85–100</w:t>
            </w:r>
          </w:p>
        </w:tc>
        <w:tc>
          <w:tcPr>
            <w:tcW w:type="dxa" w:w="2160"/>
          </w:tcPr>
          <w:p>
            <w:r>
              <w:t>Very conservative and strong company</w:t>
            </w:r>
          </w:p>
        </w:tc>
        <w:tc>
          <w:tcPr>
            <w:tcW w:type="dxa" w:w="2160"/>
          </w:tcPr>
          <w:p>
            <w:r>
              <w:t>25%–30%</w:t>
            </w:r>
          </w:p>
        </w:tc>
        <w:tc>
          <w:tcPr>
            <w:tcW w:type="dxa" w:w="2160"/>
          </w:tcPr>
          <w:p>
            <w:r>
              <w:t>20%–25%</w:t>
            </w:r>
          </w:p>
        </w:tc>
      </w:tr>
      <w:tr>
        <w:tc>
          <w:tcPr>
            <w:tcW w:type="dxa" w:w="2160"/>
          </w:tcPr>
          <w:p>
            <w:r>
              <w:t>70–84</w:t>
            </w:r>
          </w:p>
        </w:tc>
        <w:tc>
          <w:tcPr>
            <w:tcW w:type="dxa" w:w="2160"/>
          </w:tcPr>
          <w:p>
            <w:r>
              <w:t>Good and stable company</w:t>
            </w:r>
          </w:p>
        </w:tc>
        <w:tc>
          <w:tcPr>
            <w:tcW w:type="dxa" w:w="2160"/>
          </w:tcPr>
          <w:p>
            <w:r>
              <w:t>30%–35%</w:t>
            </w:r>
          </w:p>
        </w:tc>
        <w:tc>
          <w:tcPr>
            <w:tcW w:type="dxa" w:w="2160"/>
          </w:tcPr>
          <w:p>
            <w:r>
              <w:t>25%–30%</w:t>
            </w:r>
          </w:p>
        </w:tc>
      </w:tr>
      <w:tr>
        <w:tc>
          <w:tcPr>
            <w:tcW w:type="dxa" w:w="2160"/>
          </w:tcPr>
          <w:p>
            <w:r>
              <w:t>55–69</w:t>
            </w:r>
          </w:p>
        </w:tc>
        <w:tc>
          <w:tcPr>
            <w:tcW w:type="dxa" w:w="2160"/>
          </w:tcPr>
          <w:p>
            <w:r>
              <w:t>Borderline company</w:t>
            </w:r>
          </w:p>
        </w:tc>
        <w:tc>
          <w:tcPr>
            <w:tcW w:type="dxa" w:w="2160"/>
          </w:tcPr>
          <w:p>
            <w:r>
              <w:t>40%–50%</w:t>
            </w:r>
          </w:p>
        </w:tc>
        <w:tc>
          <w:tcPr>
            <w:tcW w:type="dxa" w:w="2160"/>
          </w:tcPr>
          <w:p>
            <w:r>
              <w:t>35%–40%</w:t>
            </w:r>
          </w:p>
        </w:tc>
      </w:tr>
      <w:tr>
        <w:tc>
          <w:tcPr>
            <w:tcW w:type="dxa" w:w="2160"/>
          </w:tcPr>
          <w:p>
            <w:r>
              <w:t>Below 55</w:t>
            </w:r>
          </w:p>
        </w:tc>
        <w:tc>
          <w:tcPr>
            <w:tcW w:type="dxa" w:w="2160"/>
          </w:tcPr>
          <w:p>
            <w:r>
              <w:t>Weak company</w:t>
            </w:r>
          </w:p>
        </w:tc>
        <w:tc>
          <w:tcPr>
            <w:tcW w:type="dxa" w:w="2160"/>
          </w:tcPr>
          <w:p>
            <w:r>
              <w:t>Do not buy</w:t>
            </w:r>
          </w:p>
        </w:tc>
        <w:tc>
          <w:tcPr>
            <w:tcW w:type="dxa" w:w="2160"/>
          </w:tcPr>
          <w:p>
            <w:r>
              <w:t>Do not buy</w:t>
            </w:r>
          </w:p>
        </w:tc>
      </w:tr>
    </w:tbl>
    <w:p>
      <w:r>
        <w:t>The technology-adjusted margin of safety can be somewhat lower only because the valuation already uses adjusted FCF and capped conservative multiples. If the valuation relies on optimistic growth assumptions, use the stricter classic Graham margin of safety.</w:t>
      </w:r>
    </w:p>
    <w:p>
      <w:pPr>
        <w:pStyle w:val="Heading2"/>
      </w:pPr>
      <w:r>
        <w:t>9. Knowing When the Investment Has Reached Realization</w:t>
      </w:r>
    </w:p>
    <w:p>
      <w:r>
        <w:t>In the Graham approach, realization usually occurs when the margin of safety closes, when the stock leaves the conservative valuation zone, or when the company no longer meets the quality criteria.</w:t>
      </w:r>
    </w:p>
    <w:tbl>
      <w:tblPr>
        <w:tblStyle w:val="TableGrid"/>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Possible interpretation/action</w:t>
            </w:r>
          </w:p>
        </w:tc>
      </w:tr>
      <w:tr>
        <w:tc>
          <w:tcPr>
            <w:tcW w:type="dxa" w:w="4320"/>
          </w:tcPr>
          <w:p>
            <w:r>
              <w:t>Current Price ≥ Selected Graham Fair Value</w:t>
            </w:r>
          </w:p>
        </w:tc>
        <w:tc>
          <w:tcPr>
            <w:tcW w:type="dxa" w:w="4320"/>
          </w:tcPr>
          <w:p>
            <w:r>
              <w:t>Margin of safety has closed; consider partial realization or reallocation</w:t>
            </w:r>
          </w:p>
        </w:tc>
      </w:tr>
      <w:tr>
        <w:tc>
          <w:tcPr>
            <w:tcW w:type="dxa" w:w="4320"/>
          </w:tcPr>
          <w:p>
            <w:r>
              <w:t>Traditional company: P/E above 15–18 or P/B above 1.5–2</w:t>
            </w:r>
          </w:p>
        </w:tc>
        <w:tc>
          <w:tcPr>
            <w:tcW w:type="dxa" w:w="4320"/>
          </w:tcPr>
          <w:p>
            <w:r>
              <w:t>The stock is no longer cheap by classic Graham multiples</w:t>
            </w:r>
          </w:p>
        </w:tc>
      </w:tr>
      <w:tr>
        <w:tc>
          <w:tcPr>
            <w:tcW w:type="dxa" w:w="4320"/>
          </w:tcPr>
          <w:p>
            <w:r>
              <w:t>Traditional company: P/E × P/B above 22.5</w:t>
            </w:r>
          </w:p>
        </w:tc>
        <w:tc>
          <w:tcPr>
            <w:tcW w:type="dxa" w:w="4320"/>
          </w:tcPr>
          <w:p>
            <w:r>
              <w:t>The stock has left the classic Graham valuation zone</w:t>
            </w:r>
          </w:p>
        </w:tc>
      </w:tr>
      <w:tr>
        <w:tc>
          <w:tcPr>
            <w:tcW w:type="dxa" w:w="4320"/>
          </w:tcPr>
          <w:p>
            <w:r>
              <w:t>Technology company: Current Price ≥ Graham Tech Fair Value × 1.20</w:t>
            </w:r>
          </w:p>
        </w:tc>
        <w:tc>
          <w:tcPr>
            <w:tcW w:type="dxa" w:w="4320"/>
          </w:tcPr>
          <w:p>
            <w:r>
              <w:t>The stock is meaningfully expensive relative to conservative adjusted FCF value</w:t>
            </w:r>
          </w:p>
        </w:tc>
      </w:tr>
      <w:tr>
        <w:tc>
          <w:tcPr>
            <w:tcW w:type="dxa" w:w="4320"/>
          </w:tcPr>
          <w:p>
            <w:r>
              <w:t>Company weakens financially</w:t>
            </w:r>
          </w:p>
        </w:tc>
        <w:tc>
          <w:tcPr>
            <w:tcW w:type="dxa" w:w="4320"/>
          </w:tcPr>
          <w:p>
            <w:r>
              <w:t>Consider selling even if the price has not risen</w:t>
            </w:r>
          </w:p>
        </w:tc>
      </w:tr>
      <w:tr>
        <w:tc>
          <w:tcPr>
            <w:tcW w:type="dxa" w:w="4320"/>
          </w:tcPr>
          <w:p>
            <w:r>
              <w:t>Better and cheaper Graham candidate exists</w:t>
            </w:r>
          </w:p>
        </w:tc>
        <w:tc>
          <w:tcPr>
            <w:tcW w:type="dxa" w:w="4320"/>
          </w:tcPr>
          <w:p>
            <w:r>
              <w:t>Consider reallocating capital</w:t>
            </w:r>
          </w:p>
        </w:tc>
      </w:tr>
    </w:tbl>
    <w:p>
      <w:r>
        <w:t>Technology-specific realization warnings include falling adjusted FCF, rising SBC or dilution, declining FCF margin, growth that requires excessive debt, weakening renewal rates, or a clear loss of pricing power.</w:t>
      </w:r>
    </w:p>
    <w:p>
      <w:pPr>
        <w:pStyle w:val="Heading2"/>
        <w:spacing w:before="200" w:after="120"/>
      </w:pPr>
      <w:r>
        <w:rPr>
          <w:rFonts w:ascii="Aptos" w:hAnsi="Aptos" w:eastAsia="Aptos" w:cs="Aptos"/>
          <w:b/>
          <w:color w:val="1F4E79"/>
          <w:sz w:val="26"/>
        </w:rPr>
        <w:t>Sources and Notes</w:t>
      </w:r>
    </w:p>
    <w:p>
      <w:pPr>
        <w:spacing w:after="120" w:line="259" w:lineRule="auto"/>
        <w:jc w:val="left"/>
      </w:pPr>
      <w:r>
        <w:rPr>
          <w:rFonts w:ascii="Aptos" w:hAnsi="Aptos" w:eastAsia="Aptos" w:cs="Aptos"/>
          <w:b w:val="0"/>
          <w:i w:val="0"/>
          <w:sz w:val="22"/>
        </w:rPr>
        <w:t>The scorecards in this document are practical frameworks based on value investing principles. The Buffett scorecard reflects the idea of high-quality businesses at reasonable prices. The Graham scorecard reflects financial strength, low multiples, conservative asset value, and margin of safety. The Graham Number is derived from combining a P/E ceiling of 15 with a P/B ceiling of 1.5.</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