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Noto Sans Hebrew" w:hAnsi="Noto Sans Hebrew" w:eastAsia="Noto Sans Hebrew" w:cs="Noto Sans Hebrew"/>
          <w:b/>
          <w:color w:val="1F4E79"/>
          <w:sz w:val="44"/>
        </w:rPr>
        <w:t>מסמכי מדדי השקעות ערך: באפט וגרהם</w:t>
      </w:r>
    </w:p>
    <w:tbl>
      <w:tblPr>
        <w:tblStyle w:val="TableGrid"/>
        <w:tblW w:type="auto" w:w="0"/>
        <w:jc w:val="center"/>
        <w:tblLook w:firstColumn="1" w:firstRow="1" w:lastColumn="0" w:lastRow="0" w:noHBand="0" w:noVBand="1" w:val="04A0"/>
      </w:tblPr>
      <w:tblGrid>
        <w:gridCol w:w="10200"/>
      </w:tblGrid>
      <w:tr>
        <w:tc>
          <w:tcPr>
            <w:tcW w:type="dxa" w:w="10200"/>
            <w:vAlign w:val="center"/>
            <w:shd w:fill="F2F2F2"/>
          </w:tcPr>
          <w:p>
            <w:pPr>
              <w:bidi/>
              <w:jc w:val="right"/>
            </w:pPr>
            <w:r/>
            <w:r>
              <w:rPr>
                <w:rFonts w:ascii="Noto Sans Hebrew" w:hAnsi="Noto Sans Hebrew" w:eastAsia="Noto Sans Hebrew" w:cs="Noto Sans Hebrew"/>
                <w:b w:val="0"/>
                <w:sz w:val="20"/>
              </w:rPr>
              <w:t>הערת מקור: מדדי הניקוד במסמך אינם מדדים רשמיים של וורן באפט או בנג’מין גרהם. אלה מודלים פרקטיים שנבנו בהשראת עקרונות ההשקעה שלהם, כדי לאפשר סינון, השוואה ותיעוד עקבי של החלטות השקעה.</w:t>
            </w:r>
          </w:p>
        </w:tc>
      </w:tr>
    </w:tbl>
    <w:p/>
    <w:p>
      <w:pPr>
        <w:pStyle w:val="Heading1"/>
        <w:bidi/>
        <w:spacing w:before="200" w:after="120"/>
        <w:jc w:val="right"/>
      </w:pPr>
      <w:r>
        <w:rPr>
          <w:rFonts w:ascii="Noto Sans Hebrew" w:hAnsi="Noto Sans Hebrew" w:eastAsia="Noto Sans Hebrew" w:cs="Noto Sans Hebrew"/>
          <w:b/>
          <w:color w:val="1F4E79"/>
          <w:sz w:val="32"/>
        </w:rPr>
        <w:t>חלק א׳ — מדד באפט לכדאיות השקעה</w:t>
      </w:r>
    </w:p>
    <w:p>
      <w:pPr>
        <w:pStyle w:val="Heading2"/>
        <w:bidi/>
        <w:spacing w:before="200" w:after="120"/>
        <w:jc w:val="right"/>
      </w:pPr>
      <w:r>
        <w:rPr>
          <w:rFonts w:ascii="Noto Sans Hebrew" w:hAnsi="Noto Sans Hebrew" w:eastAsia="Noto Sans Hebrew" w:cs="Noto Sans Hebrew"/>
          <w:b/>
          <w:color w:val="1F4E79"/>
          <w:sz w:val="26"/>
        </w:rPr>
        <w:t>‪1.‬ הסבר על המדד</w:t>
      </w:r>
    </w:p>
    <w:p>
      <w:pPr>
        <w:bidi/>
        <w:spacing w:after="120" w:line="259" w:lineRule="auto"/>
        <w:jc w:val="right"/>
      </w:pPr>
      <w:r>
        <w:rPr>
          <w:rFonts w:ascii="Noto Sans Hebrew" w:hAnsi="Noto Sans Hebrew" w:eastAsia="Noto Sans Hebrew" w:cs="Noto Sans Hebrew"/>
          <w:b w:val="0"/>
          <w:i w:val="0"/>
          <w:sz w:val="22"/>
        </w:rPr>
        <w:t>מדד באפט נועד לבחון האם מניה מתאימה לגישת השקעות ערך בסגנון וורן באפט. המדד אינו בודק רק אם המניה זולה, אלא קודם כול האם מדובר בחברה איכותית, רווחית, צומחת, בעלת יתרון תחרותי, חוב סביר והנהלה שמקצה הון בצורה חכמה.</w:t>
      </w:r>
    </w:p>
    <w:p>
      <w:pPr>
        <w:bidi/>
        <w:spacing w:after="120" w:line="259" w:lineRule="auto"/>
        <w:jc w:val="right"/>
      </w:pPr>
      <w:r>
        <w:rPr>
          <w:rFonts w:ascii="Noto Sans Hebrew" w:hAnsi="Noto Sans Hebrew" w:eastAsia="Noto Sans Hebrew" w:cs="Noto Sans Hebrew"/>
          <w:b w:val="0"/>
          <w:i w:val="0"/>
          <w:sz w:val="22"/>
        </w:rPr>
        <w:t>המדד מחולק לשני חלקים נפרדים: מדד איכות עסקית ופיננסית מתוך מאה נקודות, ומדד מחיר המניה ביחס לשווי שלה מתוך עשר נקודות ובאחוזים.</w:t>
      </w:r>
    </w:p>
    <w:p>
      <w:pPr>
        <w:bidi/>
        <w:spacing w:after="120" w:line="259" w:lineRule="auto"/>
        <w:jc w:val="right"/>
      </w:pPr>
      <w:r>
        <w:rPr>
          <w:rFonts w:ascii="Noto Sans Hebrew" w:hAnsi="Noto Sans Hebrew" w:eastAsia="Noto Sans Hebrew" w:cs="Noto Sans Hebrew"/>
          <w:b/>
          <w:i w:val="0"/>
          <w:sz w:val="22"/>
        </w:rPr>
        <w:t>העיקרון המרכזי: קודם בודקים אם מדובר בעסק איכותי. רק לאחר מכן בודקים אם מחיר המניה מספיק אטרקטיבי.</w:t>
      </w:r>
    </w:p>
    <w:p>
      <w:pPr>
        <w:pStyle w:val="Heading2"/>
        <w:bidi/>
        <w:spacing w:before="200" w:after="120"/>
        <w:jc w:val="right"/>
      </w:pPr>
      <w:r>
        <w:rPr>
          <w:rFonts w:ascii="Noto Sans Hebrew" w:hAnsi="Noto Sans Hebrew" w:eastAsia="Noto Sans Hebrew" w:cs="Noto Sans Hebrew"/>
          <w:b/>
          <w:color w:val="1F4E79"/>
          <w:sz w:val="26"/>
        </w:rPr>
        <w:t>‪2.‬ מבנה מדד איכות עסקית ופיננסית</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קריטריון</w:t>
            </w:r>
          </w:p>
        </w:tc>
        <w:tc>
          <w:tcPr>
            <w:tcW w:type="dxa" w:w="5100"/>
            <w:vAlign w:val="center"/>
            <w:shd w:fill="D9EAF7"/>
          </w:tcPr>
          <w:p>
            <w:pPr>
              <w:bidi/>
              <w:jc w:val="right"/>
            </w:pPr>
            <w:r/>
            <w:r>
              <w:rPr>
                <w:rFonts w:ascii="Noto Sans Hebrew" w:hAnsi="Noto Sans Hebrew" w:eastAsia="Noto Sans Hebrew" w:cs="Noto Sans Hebrew"/>
                <w:b/>
                <w:sz w:val="19"/>
              </w:rPr>
              <w:t>משקל</w:t>
            </w:r>
          </w:p>
        </w:tc>
      </w:tr>
      <w:tr>
        <w:tc>
          <w:tcPr>
            <w:tcW w:type="dxa" w:w="5100"/>
            <w:vAlign w:val="center"/>
          </w:tcPr>
          <w:p>
            <w:pPr>
              <w:bidi/>
              <w:jc w:val="right"/>
            </w:pPr>
            <w:r/>
            <w:r>
              <w:rPr>
                <w:rFonts w:ascii="Noto Sans Hebrew" w:hAnsi="Noto Sans Hebrew" w:eastAsia="Noto Sans Hebrew" w:cs="Noto Sans Hebrew"/>
                <w:b w:val="0"/>
                <w:sz w:val="19"/>
              </w:rPr>
              <w:t>עסק פשוט ומובן</w:t>
            </w:r>
          </w:p>
        </w:tc>
        <w:tc>
          <w:tcPr>
            <w:tcW w:type="dxa" w:w="5100"/>
            <w:vAlign w:val="center"/>
          </w:tcPr>
          <w:p>
            <w:pPr>
              <w:jc w:val="left"/>
            </w:pPr>
            <w:r/>
            <w:r>
              <w:rPr>
                <w:rFonts w:ascii="Aptos" w:hAnsi="Aptos" w:eastAsia="Aptos" w:cs="Aptos"/>
                <w:b w:val="0"/>
                <w:sz w:val="19"/>
              </w:rPr>
              <w:t>10</w:t>
            </w:r>
          </w:p>
        </w:tc>
      </w:tr>
      <w:tr>
        <w:tc>
          <w:tcPr>
            <w:tcW w:type="dxa" w:w="5100"/>
            <w:vAlign w:val="center"/>
          </w:tcPr>
          <w:p>
            <w:pPr>
              <w:bidi/>
              <w:jc w:val="right"/>
            </w:pPr>
            <w:r/>
            <w:r>
              <w:rPr>
                <w:rFonts w:ascii="Noto Sans Hebrew" w:hAnsi="Noto Sans Hebrew" w:eastAsia="Noto Sans Hebrew" w:cs="Noto Sans Hebrew"/>
                <w:b w:val="0"/>
                <w:sz w:val="19"/>
              </w:rPr>
              <w:t>יתרון תחרותי — ‪Moat‬</w:t>
            </w:r>
          </w:p>
        </w:tc>
        <w:tc>
          <w:tcPr>
            <w:tcW w:type="dxa" w:w="5100"/>
            <w:vAlign w:val="center"/>
          </w:tcPr>
          <w:p>
            <w:pPr>
              <w:jc w:val="left"/>
            </w:pPr>
            <w:r/>
            <w:r>
              <w:rPr>
                <w:rFonts w:ascii="Aptos" w:hAnsi="Aptos" w:eastAsia="Aptos" w:cs="Aptos"/>
                <w:b w:val="0"/>
                <w:sz w:val="19"/>
              </w:rPr>
              <w:t>10</w:t>
            </w:r>
          </w:p>
        </w:tc>
      </w:tr>
      <w:tr>
        <w:tc>
          <w:tcPr>
            <w:tcW w:type="dxa" w:w="5100"/>
            <w:vAlign w:val="center"/>
          </w:tcPr>
          <w:p>
            <w:pPr>
              <w:bidi/>
              <w:jc w:val="right"/>
            </w:pPr>
            <w:r/>
            <w:r>
              <w:rPr>
                <w:rFonts w:ascii="Noto Sans Hebrew" w:hAnsi="Noto Sans Hebrew" w:eastAsia="Noto Sans Hebrew" w:cs="Noto Sans Hebrew"/>
                <w:b w:val="0"/>
                <w:sz w:val="19"/>
              </w:rPr>
              <w:t>רווחיות עקבית</w:t>
            </w:r>
          </w:p>
        </w:tc>
        <w:tc>
          <w:tcPr>
            <w:tcW w:type="dxa" w:w="5100"/>
            <w:vAlign w:val="center"/>
          </w:tcPr>
          <w:p>
            <w:pPr>
              <w:jc w:val="left"/>
            </w:pPr>
            <w:r/>
            <w:r>
              <w:rPr>
                <w:rFonts w:ascii="Aptos" w:hAnsi="Aptos" w:eastAsia="Aptos" w:cs="Aptos"/>
                <w:b w:val="0"/>
                <w:sz w:val="19"/>
              </w:rPr>
              <w:t>15</w:t>
            </w:r>
          </w:p>
        </w:tc>
      </w:tr>
      <w:tr>
        <w:tc>
          <w:tcPr>
            <w:tcW w:type="dxa" w:w="5100"/>
            <w:vAlign w:val="center"/>
          </w:tcPr>
          <w:p>
            <w:pPr>
              <w:bidi/>
              <w:jc w:val="right"/>
            </w:pPr>
            <w:r/>
            <w:r>
              <w:rPr>
                <w:rFonts w:ascii="Noto Sans Hebrew" w:hAnsi="Noto Sans Hebrew" w:eastAsia="Noto Sans Hebrew" w:cs="Noto Sans Hebrew"/>
                <w:b w:val="0"/>
                <w:sz w:val="19"/>
              </w:rPr>
              <w:t>תשואה גבוהה על ההון</w:t>
            </w:r>
          </w:p>
        </w:tc>
        <w:tc>
          <w:tcPr>
            <w:tcW w:type="dxa" w:w="5100"/>
            <w:vAlign w:val="center"/>
          </w:tcPr>
          <w:p>
            <w:pPr>
              <w:jc w:val="left"/>
            </w:pPr>
            <w:r/>
            <w:r>
              <w:rPr>
                <w:rFonts w:ascii="Aptos" w:hAnsi="Aptos" w:eastAsia="Aptos" w:cs="Aptos"/>
                <w:b w:val="0"/>
                <w:sz w:val="19"/>
              </w:rPr>
              <w:t>15</w:t>
            </w:r>
          </w:p>
        </w:tc>
      </w:tr>
      <w:tr>
        <w:tc>
          <w:tcPr>
            <w:tcW w:type="dxa" w:w="5100"/>
            <w:vAlign w:val="center"/>
          </w:tcPr>
          <w:p>
            <w:pPr>
              <w:bidi/>
              <w:jc w:val="right"/>
            </w:pPr>
            <w:r/>
            <w:r>
              <w:rPr>
                <w:rFonts w:ascii="Noto Sans Hebrew" w:hAnsi="Noto Sans Hebrew" w:eastAsia="Noto Sans Hebrew" w:cs="Noto Sans Hebrew"/>
                <w:b w:val="0"/>
                <w:sz w:val="19"/>
              </w:rPr>
              <w:t>תזרים חופשי / ‪Owner‬ ‪Earnings‬</w:t>
            </w:r>
          </w:p>
        </w:tc>
        <w:tc>
          <w:tcPr>
            <w:tcW w:type="dxa" w:w="5100"/>
            <w:vAlign w:val="center"/>
          </w:tcPr>
          <w:p>
            <w:pPr>
              <w:jc w:val="left"/>
            </w:pPr>
            <w:r/>
            <w:r>
              <w:rPr>
                <w:rFonts w:ascii="Aptos" w:hAnsi="Aptos" w:eastAsia="Aptos" w:cs="Aptos"/>
                <w:b w:val="0"/>
                <w:sz w:val="19"/>
              </w:rPr>
              <w:t>15</w:t>
            </w:r>
          </w:p>
        </w:tc>
      </w:tr>
      <w:tr>
        <w:tc>
          <w:tcPr>
            <w:tcW w:type="dxa" w:w="5100"/>
            <w:vAlign w:val="center"/>
          </w:tcPr>
          <w:p>
            <w:pPr>
              <w:bidi/>
              <w:jc w:val="right"/>
            </w:pPr>
            <w:r/>
            <w:r>
              <w:rPr>
                <w:rFonts w:ascii="Noto Sans Hebrew" w:hAnsi="Noto Sans Hebrew" w:eastAsia="Noto Sans Hebrew" w:cs="Noto Sans Hebrew"/>
                <w:b w:val="0"/>
                <w:sz w:val="19"/>
              </w:rPr>
              <w:t>מאזן חזק וחוב סביר</w:t>
            </w:r>
          </w:p>
        </w:tc>
        <w:tc>
          <w:tcPr>
            <w:tcW w:type="dxa" w:w="5100"/>
            <w:vAlign w:val="center"/>
          </w:tcPr>
          <w:p>
            <w:pPr>
              <w:jc w:val="left"/>
            </w:pPr>
            <w:r/>
            <w:r>
              <w:rPr>
                <w:rFonts w:ascii="Aptos" w:hAnsi="Aptos" w:eastAsia="Aptos" w:cs="Aptos"/>
                <w:b w:val="0"/>
                <w:sz w:val="19"/>
              </w:rPr>
              <w:t>10</w:t>
            </w:r>
          </w:p>
        </w:tc>
      </w:tr>
      <w:tr>
        <w:tc>
          <w:tcPr>
            <w:tcW w:type="dxa" w:w="5100"/>
            <w:vAlign w:val="center"/>
          </w:tcPr>
          <w:p>
            <w:pPr>
              <w:bidi/>
              <w:jc w:val="right"/>
            </w:pPr>
            <w:r/>
            <w:r>
              <w:rPr>
                <w:rFonts w:ascii="Noto Sans Hebrew" w:hAnsi="Noto Sans Hebrew" w:eastAsia="Noto Sans Hebrew" w:cs="Noto Sans Hebrew"/>
                <w:b w:val="0"/>
                <w:sz w:val="19"/>
              </w:rPr>
              <w:t>הנהלה והקצאת הון</w:t>
            </w:r>
          </w:p>
        </w:tc>
        <w:tc>
          <w:tcPr>
            <w:tcW w:type="dxa" w:w="5100"/>
            <w:vAlign w:val="center"/>
          </w:tcPr>
          <w:p>
            <w:pPr>
              <w:jc w:val="left"/>
            </w:pPr>
            <w:r/>
            <w:r>
              <w:rPr>
                <w:rFonts w:ascii="Aptos" w:hAnsi="Aptos" w:eastAsia="Aptos" w:cs="Aptos"/>
                <w:b w:val="0"/>
                <w:sz w:val="19"/>
              </w:rPr>
              <w:t>10</w:t>
            </w:r>
          </w:p>
        </w:tc>
      </w:tr>
      <w:tr>
        <w:tc>
          <w:tcPr>
            <w:tcW w:type="dxa" w:w="5100"/>
            <w:vAlign w:val="center"/>
          </w:tcPr>
          <w:p>
            <w:pPr>
              <w:bidi/>
              <w:jc w:val="right"/>
            </w:pPr>
            <w:r/>
            <w:r>
              <w:rPr>
                <w:rFonts w:ascii="Noto Sans Hebrew" w:hAnsi="Noto Sans Hebrew" w:eastAsia="Noto Sans Hebrew" w:cs="Noto Sans Hebrew"/>
                <w:b w:val="0"/>
                <w:sz w:val="19"/>
              </w:rPr>
              <w:t>צמיחה איכותית וברת קיימא</w:t>
            </w:r>
          </w:p>
        </w:tc>
        <w:tc>
          <w:tcPr>
            <w:tcW w:type="dxa" w:w="5100"/>
            <w:vAlign w:val="center"/>
          </w:tcPr>
          <w:p>
            <w:pPr>
              <w:jc w:val="left"/>
            </w:pPr>
            <w:r/>
            <w:r>
              <w:rPr>
                <w:rFonts w:ascii="Aptos" w:hAnsi="Aptos" w:eastAsia="Aptos" w:cs="Aptos"/>
                <w:b w:val="0"/>
                <w:sz w:val="19"/>
              </w:rPr>
              <w:t>15</w:t>
            </w:r>
          </w:p>
        </w:tc>
      </w:tr>
      <w:tr>
        <w:tc>
          <w:tcPr>
            <w:tcW w:type="dxa" w:w="5100"/>
            <w:vAlign w:val="center"/>
          </w:tcPr>
          <w:p>
            <w:pPr>
              <w:bidi/>
              <w:jc w:val="right"/>
            </w:pPr>
            <w:r/>
            <w:r>
              <w:rPr>
                <w:rFonts w:ascii="Noto Sans Hebrew" w:hAnsi="Noto Sans Hebrew" w:eastAsia="Noto Sans Hebrew" w:cs="Noto Sans Hebrew"/>
                <w:b w:val="0"/>
                <w:sz w:val="19"/>
              </w:rPr>
              <w:t>סה״כ</w:t>
            </w:r>
          </w:p>
        </w:tc>
        <w:tc>
          <w:tcPr>
            <w:tcW w:type="dxa" w:w="5100"/>
            <w:vAlign w:val="center"/>
          </w:tcPr>
          <w:p>
            <w:pPr>
              <w:jc w:val="left"/>
            </w:pPr>
            <w:r/>
            <w:r>
              <w:rPr>
                <w:rFonts w:ascii="Aptos" w:hAnsi="Aptos" w:eastAsia="Aptos" w:cs="Aptos"/>
                <w:b w:val="0"/>
                <w:sz w:val="19"/>
              </w:rPr>
              <w:t>100</w:t>
            </w:r>
          </w:p>
        </w:tc>
      </w:tr>
    </w:tbl>
    <w:p/>
    <w:p>
      <w:pPr>
        <w:bidi/>
        <w:spacing w:after="120" w:line="259" w:lineRule="auto"/>
        <w:jc w:val="right"/>
      </w:pPr>
      <w:r>
        <w:rPr>
          <w:rFonts w:ascii="Noto Sans Hebrew" w:hAnsi="Noto Sans Hebrew" w:eastAsia="Noto Sans Hebrew" w:cs="Noto Sans Hebrew"/>
          <w:b w:val="0"/>
          <w:i w:val="0"/>
          <w:sz w:val="22"/>
        </w:rPr>
        <w:t>מדד זה בודק את איכות החברה בלבד, ללא קשר למחיר המניה. חברה יכולה לקבל ציון איכות גבוה גם אם כרגע לא כדאי לקנות אותה בגלל מחיר יקר.</w:t>
      </w:r>
    </w:p>
    <w:p>
      <w:pPr>
        <w:pStyle w:val="Heading2"/>
        <w:bidi/>
        <w:spacing w:before="200" w:after="120"/>
        <w:jc w:val="right"/>
      </w:pPr>
      <w:r>
        <w:rPr>
          <w:rFonts w:ascii="Noto Sans Hebrew" w:hAnsi="Noto Sans Hebrew" w:eastAsia="Noto Sans Hebrew" w:cs="Noto Sans Hebrew"/>
          <w:b/>
          <w:color w:val="1F4E79"/>
          <w:sz w:val="26"/>
        </w:rPr>
        <w:t>‪3.‬ הקריטריונים העסקיים במדד</w:t>
      </w:r>
    </w:p>
    <w:p>
      <w:pPr>
        <w:pStyle w:val="Heading3"/>
        <w:bidi/>
        <w:spacing w:before="200" w:after="120"/>
        <w:jc w:val="right"/>
      </w:pPr>
      <w:r>
        <w:rPr>
          <w:rFonts w:ascii="Noto Sans Hebrew" w:hAnsi="Noto Sans Hebrew" w:eastAsia="Noto Sans Hebrew" w:cs="Noto Sans Hebrew"/>
          <w:b/>
          <w:color w:val="000000"/>
          <w:sz w:val="23"/>
        </w:rPr>
        <w:t>‪3.1‬ עסק פשוט ומובן — עשר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אפשר להבין בצורה ברורה איך החברה מרוויחה כסף: מה היא מוכרת, מי הלקוחות, איך נוצרות ההכנסות ומהם הסיכונים המרכזיים.</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שאלה לבדיקה</w:t>
            </w:r>
          </w:p>
        </w:tc>
        <w:tc>
          <w:tcPr>
            <w:tcW w:type="dxa" w:w="5100"/>
            <w:vAlign w:val="center"/>
            <w:shd w:fill="D9EAF7"/>
          </w:tcPr>
          <w:p>
            <w:pPr>
              <w:bidi/>
              <w:jc w:val="right"/>
            </w:pPr>
            <w:r/>
            <w:r>
              <w:rPr>
                <w:rFonts w:ascii="Noto Sans Hebrew" w:hAnsi="Noto Sans Hebrew" w:eastAsia="Noto Sans Hebrew" w:cs="Noto Sans Hebrew"/>
                <w:b/>
                <w:sz w:val="19"/>
              </w:rPr>
              <w:t>תשובה רצויה</w:t>
            </w:r>
          </w:p>
        </w:tc>
      </w:tr>
      <w:tr>
        <w:tc>
          <w:tcPr>
            <w:tcW w:type="dxa" w:w="5100"/>
            <w:vAlign w:val="center"/>
          </w:tcPr>
          <w:p>
            <w:pPr>
              <w:bidi/>
              <w:jc w:val="right"/>
            </w:pPr>
            <w:r/>
            <w:r>
              <w:rPr>
                <w:rFonts w:ascii="Noto Sans Hebrew" w:hAnsi="Noto Sans Hebrew" w:eastAsia="Noto Sans Hebrew" w:cs="Noto Sans Hebrew"/>
                <w:b w:val="0"/>
                <w:sz w:val="19"/>
              </w:rPr>
              <w:t>האם ברור מה החברה מוכרת?</w:t>
            </w:r>
          </w:p>
        </w:tc>
        <w:tc>
          <w:tcPr>
            <w:tcW w:type="dxa" w:w="5100"/>
            <w:vAlign w:val="center"/>
          </w:tcPr>
          <w:p>
            <w:pPr>
              <w:bidi/>
              <w:jc w:val="right"/>
            </w:pPr>
            <w:r/>
            <w:r>
              <w:rPr>
                <w:rFonts w:ascii="Noto Sans Hebrew" w:hAnsi="Noto Sans Hebrew" w:eastAsia="Noto Sans Hebrew" w:cs="Noto Sans Hebrew"/>
                <w:b w:val="0"/>
                <w:sz w:val="19"/>
              </w:rPr>
              <w:t>כן</w:t>
            </w:r>
          </w:p>
        </w:tc>
      </w:tr>
      <w:tr>
        <w:tc>
          <w:tcPr>
            <w:tcW w:type="dxa" w:w="5100"/>
            <w:vAlign w:val="center"/>
          </w:tcPr>
          <w:p>
            <w:pPr>
              <w:bidi/>
              <w:jc w:val="right"/>
            </w:pPr>
            <w:r/>
            <w:r>
              <w:rPr>
                <w:rFonts w:ascii="Noto Sans Hebrew" w:hAnsi="Noto Sans Hebrew" w:eastAsia="Noto Sans Hebrew" w:cs="Noto Sans Hebrew"/>
                <w:b w:val="0"/>
                <w:sz w:val="19"/>
              </w:rPr>
              <w:t>האם ברור מי הלקוחות?</w:t>
            </w:r>
          </w:p>
        </w:tc>
        <w:tc>
          <w:tcPr>
            <w:tcW w:type="dxa" w:w="5100"/>
            <w:vAlign w:val="center"/>
          </w:tcPr>
          <w:p>
            <w:pPr>
              <w:bidi/>
              <w:jc w:val="right"/>
            </w:pPr>
            <w:r/>
            <w:r>
              <w:rPr>
                <w:rFonts w:ascii="Noto Sans Hebrew" w:hAnsi="Noto Sans Hebrew" w:eastAsia="Noto Sans Hebrew" w:cs="Noto Sans Hebrew"/>
                <w:b w:val="0"/>
                <w:sz w:val="19"/>
              </w:rPr>
              <w:t>כן</w:t>
            </w:r>
          </w:p>
        </w:tc>
      </w:tr>
      <w:tr>
        <w:tc>
          <w:tcPr>
            <w:tcW w:type="dxa" w:w="5100"/>
            <w:vAlign w:val="center"/>
          </w:tcPr>
          <w:p>
            <w:pPr>
              <w:bidi/>
              <w:jc w:val="right"/>
            </w:pPr>
            <w:r/>
            <w:r>
              <w:rPr>
                <w:rFonts w:ascii="Noto Sans Hebrew" w:hAnsi="Noto Sans Hebrew" w:eastAsia="Noto Sans Hebrew" w:cs="Noto Sans Hebrew"/>
                <w:b w:val="0"/>
                <w:sz w:val="19"/>
              </w:rPr>
              <w:t>האם מקורות ההכנסה פשוטים להבנה?</w:t>
            </w:r>
          </w:p>
        </w:tc>
        <w:tc>
          <w:tcPr>
            <w:tcW w:type="dxa" w:w="5100"/>
            <w:vAlign w:val="center"/>
          </w:tcPr>
          <w:p>
            <w:pPr>
              <w:bidi/>
              <w:jc w:val="right"/>
            </w:pPr>
            <w:r/>
            <w:r>
              <w:rPr>
                <w:rFonts w:ascii="Noto Sans Hebrew" w:hAnsi="Noto Sans Hebrew" w:eastAsia="Noto Sans Hebrew" w:cs="Noto Sans Hebrew"/>
                <w:b w:val="0"/>
                <w:sz w:val="19"/>
              </w:rPr>
              <w:t>כן</w:t>
            </w:r>
          </w:p>
        </w:tc>
      </w:tr>
      <w:tr>
        <w:tc>
          <w:tcPr>
            <w:tcW w:type="dxa" w:w="5100"/>
            <w:vAlign w:val="center"/>
          </w:tcPr>
          <w:p>
            <w:pPr>
              <w:bidi/>
              <w:jc w:val="right"/>
            </w:pPr>
            <w:r/>
            <w:r>
              <w:rPr>
                <w:rFonts w:ascii="Noto Sans Hebrew" w:hAnsi="Noto Sans Hebrew" w:eastAsia="Noto Sans Hebrew" w:cs="Noto Sans Hebrew"/>
                <w:b w:val="0"/>
                <w:sz w:val="19"/>
              </w:rPr>
              <w:t>האם הסיכונים המרכזיים ברורים?</w:t>
            </w:r>
          </w:p>
        </w:tc>
        <w:tc>
          <w:tcPr>
            <w:tcW w:type="dxa" w:w="5100"/>
            <w:vAlign w:val="center"/>
          </w:tcPr>
          <w:p>
            <w:pPr>
              <w:bidi/>
              <w:jc w:val="right"/>
            </w:pPr>
            <w:r/>
            <w:r>
              <w:rPr>
                <w:rFonts w:ascii="Noto Sans Hebrew" w:hAnsi="Noto Sans Hebrew" w:eastAsia="Noto Sans Hebrew" w:cs="Noto Sans Hebrew"/>
                <w:b w:val="0"/>
                <w:sz w:val="19"/>
              </w:rPr>
              <w:t>כן</w:t>
            </w:r>
          </w:p>
        </w:tc>
      </w:tr>
      <w:tr>
        <w:tc>
          <w:tcPr>
            <w:tcW w:type="dxa" w:w="5100"/>
            <w:vAlign w:val="center"/>
          </w:tcPr>
          <w:p>
            <w:pPr>
              <w:bidi/>
              <w:jc w:val="right"/>
            </w:pPr>
            <w:r/>
            <w:r>
              <w:rPr>
                <w:rFonts w:ascii="Noto Sans Hebrew" w:hAnsi="Noto Sans Hebrew" w:eastAsia="Noto Sans Hebrew" w:cs="Noto Sans Hebrew"/>
                <w:b w:val="0"/>
                <w:sz w:val="19"/>
              </w:rPr>
              <w:t>האם אפשר להסביר את העסק במשפט אחד?</w:t>
            </w:r>
          </w:p>
        </w:tc>
        <w:tc>
          <w:tcPr>
            <w:tcW w:type="dxa" w:w="5100"/>
            <w:vAlign w:val="center"/>
          </w:tcPr>
          <w:p>
            <w:pPr>
              <w:bidi/>
              <w:jc w:val="right"/>
            </w:pPr>
            <w:r/>
            <w:r>
              <w:rPr>
                <w:rFonts w:ascii="Noto Sans Hebrew" w:hAnsi="Noto Sans Hebrew" w:eastAsia="Noto Sans Hebrew" w:cs="Noto Sans Hebrew"/>
                <w:b w:val="0"/>
                <w:sz w:val="19"/>
              </w:rPr>
              <w:t>כן</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עסק מורכב מאוד וקשה להבנה</w:t>
            </w:r>
          </w:p>
        </w:tc>
        <w:tc>
          <w:tcPr>
            <w:tcW w:type="dxa" w:w="5100"/>
            <w:vAlign w:val="center"/>
          </w:tcPr>
          <w:p>
            <w:pPr>
              <w:jc w:val="left"/>
            </w:pPr>
            <w:r/>
            <w:r>
              <w:rPr>
                <w:rFonts w:ascii="Aptos" w:hAnsi="Aptos" w:eastAsia="Aptos" w:cs="Aptos"/>
                <w:b w:val="0"/>
                <w:sz w:val="19"/>
              </w:rPr>
              <w:t>0–3</w:t>
            </w:r>
          </w:p>
        </w:tc>
      </w:tr>
      <w:tr>
        <w:tc>
          <w:tcPr>
            <w:tcW w:type="dxa" w:w="5100"/>
            <w:vAlign w:val="center"/>
          </w:tcPr>
          <w:p>
            <w:pPr>
              <w:bidi/>
              <w:jc w:val="right"/>
            </w:pPr>
            <w:r/>
            <w:r>
              <w:rPr>
                <w:rFonts w:ascii="Noto Sans Hebrew" w:hAnsi="Noto Sans Hebrew" w:eastAsia="Noto Sans Hebrew" w:cs="Noto Sans Hebrew"/>
                <w:b w:val="0"/>
                <w:sz w:val="19"/>
              </w:rPr>
              <w:t>עסק מובן חלקית אך מורכב</w:t>
            </w:r>
          </w:p>
        </w:tc>
        <w:tc>
          <w:tcPr>
            <w:tcW w:type="dxa" w:w="5100"/>
            <w:vAlign w:val="center"/>
          </w:tcPr>
          <w:p>
            <w:pPr>
              <w:jc w:val="left"/>
            </w:pPr>
            <w:r/>
            <w:r>
              <w:rPr>
                <w:rFonts w:ascii="Aptos" w:hAnsi="Aptos" w:eastAsia="Aptos" w:cs="Aptos"/>
                <w:b w:val="0"/>
                <w:sz w:val="19"/>
              </w:rPr>
              <w:t>4–7</w:t>
            </w:r>
          </w:p>
        </w:tc>
      </w:tr>
      <w:tr>
        <w:tc>
          <w:tcPr>
            <w:tcW w:type="dxa" w:w="5100"/>
            <w:vAlign w:val="center"/>
          </w:tcPr>
          <w:p>
            <w:pPr>
              <w:bidi/>
              <w:jc w:val="right"/>
            </w:pPr>
            <w:r/>
            <w:r>
              <w:rPr>
                <w:rFonts w:ascii="Noto Sans Hebrew" w:hAnsi="Noto Sans Hebrew" w:eastAsia="Noto Sans Hebrew" w:cs="Noto Sans Hebrew"/>
                <w:b w:val="0"/>
                <w:sz w:val="19"/>
              </w:rPr>
              <w:t>עסק פשוט, ברור וניתן להסבר קצר</w:t>
            </w:r>
          </w:p>
        </w:tc>
        <w:tc>
          <w:tcPr>
            <w:tcW w:type="dxa" w:w="5100"/>
            <w:vAlign w:val="center"/>
          </w:tcPr>
          <w:p>
            <w:pPr>
              <w:jc w:val="left"/>
            </w:pPr>
            <w:r/>
            <w:r>
              <w:rPr>
                <w:rFonts w:ascii="Aptos" w:hAnsi="Aptos" w:eastAsia="Aptos" w:cs="Aptos"/>
                <w:b w:val="0"/>
                <w:sz w:val="19"/>
              </w:rPr>
              <w:t>8–10</w:t>
            </w:r>
          </w:p>
        </w:tc>
      </w:tr>
    </w:tbl>
    <w:p/>
    <w:p>
      <w:pPr>
        <w:pStyle w:val="Heading3"/>
        <w:bidi/>
        <w:spacing w:before="200" w:after="120"/>
        <w:jc w:val="right"/>
      </w:pPr>
      <w:r>
        <w:rPr>
          <w:rFonts w:ascii="Noto Sans Hebrew" w:hAnsi="Noto Sans Hebrew" w:eastAsia="Noto Sans Hebrew" w:cs="Noto Sans Hebrew"/>
          <w:b/>
          <w:color w:val="000000"/>
          <w:sz w:val="23"/>
        </w:rPr>
        <w:t>‪3.2‬ יתרון תחרותי — ‪Moat‬ — עשר נקודות</w:t>
      </w:r>
    </w:p>
    <w:p>
      <w:pPr>
        <w:bidi/>
        <w:spacing w:after="120" w:line="259" w:lineRule="auto"/>
        <w:jc w:val="right"/>
      </w:pPr>
      <w:r>
        <w:rPr>
          <w:rFonts w:ascii="Noto Sans Hebrew" w:hAnsi="Noto Sans Hebrew" w:eastAsia="Noto Sans Hebrew" w:cs="Noto Sans Hebrew"/>
          <w:b w:val="0"/>
          <w:i w:val="0"/>
          <w:sz w:val="22"/>
        </w:rPr>
        <w:t>הסבר: יתרון תחרותי הוא היכולת של החברה לשמור על רווחיות, נתח שוק ומעמד עסקי לאורך זמן למרות תחרות. היתרון יכול לנבוע ממותג, עלויות מעבר, יתרון גודל, יתרון עלות, אפקט רשת, רגולציה או דאטה.</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סימן</w:t>
            </w:r>
          </w:p>
        </w:tc>
        <w:tc>
          <w:tcPr>
            <w:tcW w:type="dxa" w:w="5100"/>
            <w:vAlign w:val="center"/>
            <w:shd w:fill="D9EAF7"/>
          </w:tcPr>
          <w:p>
            <w:pPr>
              <w:bidi/>
              <w:jc w:val="right"/>
            </w:pPr>
            <w:r/>
            <w:r>
              <w:rPr>
                <w:rFonts w:ascii="Noto Sans Hebrew" w:hAnsi="Noto Sans Hebrew" w:eastAsia="Noto Sans Hebrew" w:cs="Noto Sans Hebrew"/>
                <w:b/>
                <w:sz w:val="19"/>
              </w:rPr>
              <w:t>ניקוד מקסימלי</w:t>
            </w:r>
          </w:p>
        </w:tc>
      </w:tr>
      <w:tr>
        <w:tc>
          <w:tcPr>
            <w:tcW w:type="dxa" w:w="5100"/>
            <w:vAlign w:val="center"/>
          </w:tcPr>
          <w:p>
            <w:pPr>
              <w:bidi/>
              <w:jc w:val="right"/>
            </w:pPr>
            <w:r/>
            <w:r>
              <w:rPr>
                <w:rFonts w:ascii="Noto Sans Hebrew" w:hAnsi="Noto Sans Hebrew" w:eastAsia="Noto Sans Hebrew" w:cs="Noto Sans Hebrew"/>
                <w:b w:val="0"/>
                <w:sz w:val="19"/>
              </w:rPr>
              <w:t>שיעור רווח גולמי גבוה ויציב</w:t>
            </w:r>
          </w:p>
        </w:tc>
        <w:tc>
          <w:tcPr>
            <w:tcW w:type="dxa" w:w="5100"/>
            <w:vAlign w:val="center"/>
          </w:tcPr>
          <w:p>
            <w:pPr>
              <w:jc w:val="left"/>
            </w:pPr>
            <w:r/>
            <w:r>
              <w:rPr>
                <w:rFonts w:ascii="Aptos" w:hAnsi="Aptos" w:eastAsia="Aptos" w:cs="Aptos"/>
                <w:b w:val="0"/>
                <w:sz w:val="19"/>
              </w:rPr>
              <w:t>2.5</w:t>
            </w:r>
          </w:p>
        </w:tc>
      </w:tr>
      <w:tr>
        <w:tc>
          <w:tcPr>
            <w:tcW w:type="dxa" w:w="5100"/>
            <w:vAlign w:val="center"/>
          </w:tcPr>
          <w:p>
            <w:pPr>
              <w:bidi/>
              <w:jc w:val="right"/>
            </w:pPr>
            <w:r/>
            <w:r>
              <w:rPr>
                <w:rFonts w:ascii="Noto Sans Hebrew" w:hAnsi="Noto Sans Hebrew" w:eastAsia="Noto Sans Hebrew" w:cs="Noto Sans Hebrew"/>
                <w:b w:val="0"/>
                <w:sz w:val="19"/>
              </w:rPr>
              <w:t>שיעור רווח תפעולי יציב</w:t>
            </w:r>
          </w:p>
        </w:tc>
        <w:tc>
          <w:tcPr>
            <w:tcW w:type="dxa" w:w="5100"/>
            <w:vAlign w:val="center"/>
          </w:tcPr>
          <w:p>
            <w:pPr>
              <w:jc w:val="left"/>
            </w:pPr>
            <w:r/>
            <w:r>
              <w:rPr>
                <w:rFonts w:ascii="Aptos" w:hAnsi="Aptos" w:eastAsia="Aptos" w:cs="Aptos"/>
                <w:b w:val="0"/>
                <w:sz w:val="19"/>
              </w:rPr>
              <w:t>2.5</w:t>
            </w:r>
          </w:p>
        </w:tc>
      </w:tr>
      <w:tr>
        <w:tc>
          <w:tcPr>
            <w:tcW w:type="dxa" w:w="5100"/>
            <w:vAlign w:val="center"/>
          </w:tcPr>
          <w:p>
            <w:pPr>
              <w:bidi/>
              <w:jc w:val="right"/>
            </w:pPr>
            <w:r/>
            <w:r>
              <w:rPr>
                <w:rFonts w:ascii="Noto Sans Hebrew" w:hAnsi="Noto Sans Hebrew" w:eastAsia="Noto Sans Hebrew" w:cs="Noto Sans Hebrew"/>
                <w:b w:val="0"/>
                <w:sz w:val="19"/>
              </w:rPr>
              <w:t>‪ROIC‬ גבוה ומתמשך</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שמירה על נתח שוק או מעמד תחרותי</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יתרון תחרותי ברור שניתן להסביר</w:t>
            </w:r>
          </w:p>
        </w:tc>
        <w:tc>
          <w:tcPr>
            <w:tcW w:type="dxa" w:w="5100"/>
            <w:vAlign w:val="center"/>
          </w:tcPr>
          <w:p>
            <w:pPr>
              <w:jc w:val="left"/>
            </w:pPr>
            <w:r/>
            <w:r>
              <w:rPr>
                <w:rFonts w:ascii="Aptos" w:hAnsi="Aptos" w:eastAsia="Aptos" w:cs="Aptos"/>
                <w:b w:val="0"/>
                <w:sz w:val="19"/>
              </w:rPr>
              <w:t>1</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אין יתרון ברור והמרווחים נשחקים</w:t>
            </w:r>
          </w:p>
        </w:tc>
        <w:tc>
          <w:tcPr>
            <w:tcW w:type="dxa" w:w="5100"/>
            <w:vAlign w:val="center"/>
          </w:tcPr>
          <w:p>
            <w:pPr>
              <w:jc w:val="left"/>
            </w:pPr>
            <w:r/>
            <w:r>
              <w:rPr>
                <w:rFonts w:ascii="Aptos" w:hAnsi="Aptos" w:eastAsia="Aptos" w:cs="Aptos"/>
                <w:b w:val="0"/>
                <w:sz w:val="19"/>
              </w:rPr>
              <w:t>0–3</w:t>
            </w:r>
          </w:p>
        </w:tc>
      </w:tr>
      <w:tr>
        <w:tc>
          <w:tcPr>
            <w:tcW w:type="dxa" w:w="5100"/>
            <w:vAlign w:val="center"/>
          </w:tcPr>
          <w:p>
            <w:pPr>
              <w:bidi/>
              <w:jc w:val="right"/>
            </w:pPr>
            <w:r/>
            <w:r>
              <w:rPr>
                <w:rFonts w:ascii="Noto Sans Hebrew" w:hAnsi="Noto Sans Hebrew" w:eastAsia="Noto Sans Hebrew" w:cs="Noto Sans Hebrew"/>
                <w:b w:val="0"/>
                <w:sz w:val="19"/>
              </w:rPr>
              <w:t>יש יתרון מסוים אך לא יציב</w:t>
            </w:r>
          </w:p>
        </w:tc>
        <w:tc>
          <w:tcPr>
            <w:tcW w:type="dxa" w:w="5100"/>
            <w:vAlign w:val="center"/>
          </w:tcPr>
          <w:p>
            <w:pPr>
              <w:jc w:val="left"/>
            </w:pPr>
            <w:r/>
            <w:r>
              <w:rPr>
                <w:rFonts w:ascii="Aptos" w:hAnsi="Aptos" w:eastAsia="Aptos" w:cs="Aptos"/>
                <w:b w:val="0"/>
                <w:sz w:val="19"/>
              </w:rPr>
              <w:t>4–7</w:t>
            </w:r>
          </w:p>
        </w:tc>
      </w:tr>
      <w:tr>
        <w:tc>
          <w:tcPr>
            <w:tcW w:type="dxa" w:w="5100"/>
            <w:vAlign w:val="center"/>
          </w:tcPr>
          <w:p>
            <w:pPr>
              <w:bidi/>
              <w:jc w:val="right"/>
            </w:pPr>
            <w:r/>
            <w:r>
              <w:rPr>
                <w:rFonts w:ascii="Noto Sans Hebrew" w:hAnsi="Noto Sans Hebrew" w:eastAsia="Noto Sans Hebrew" w:cs="Noto Sans Hebrew"/>
                <w:b w:val="0"/>
                <w:sz w:val="19"/>
              </w:rPr>
              <w:t>יתרון ברור, חזק ומוכח לאורך זמן</w:t>
            </w:r>
          </w:p>
        </w:tc>
        <w:tc>
          <w:tcPr>
            <w:tcW w:type="dxa" w:w="5100"/>
            <w:vAlign w:val="center"/>
          </w:tcPr>
          <w:p>
            <w:pPr>
              <w:jc w:val="left"/>
            </w:pPr>
            <w:r/>
            <w:r>
              <w:rPr>
                <w:rFonts w:ascii="Aptos" w:hAnsi="Aptos" w:eastAsia="Aptos" w:cs="Aptos"/>
                <w:b w:val="0"/>
                <w:sz w:val="19"/>
              </w:rPr>
              <w:t>8–10</w:t>
            </w:r>
          </w:p>
        </w:tc>
      </w:tr>
    </w:tbl>
    <w:p/>
    <w:p>
      <w:pPr>
        <w:pStyle w:val="Heading3"/>
        <w:bidi/>
        <w:spacing w:before="200" w:after="120"/>
        <w:jc w:val="right"/>
      </w:pPr>
      <w:r>
        <w:rPr>
          <w:rFonts w:ascii="Noto Sans Hebrew" w:hAnsi="Noto Sans Hebrew" w:eastAsia="Noto Sans Hebrew" w:cs="Noto Sans Hebrew"/>
          <w:b/>
          <w:color w:val="000000"/>
          <w:sz w:val="23"/>
        </w:rPr>
        <w:t>‪3.3‬ רווחיות עקבית — חמש עשרה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החברה מרוויחה לאורך זמן ולא רק בשנה אחת חריגה. רווחיות עקבית הופכת את הערכת השווי לאמינה יותר.</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ניקוד מקסימלי</w:t>
            </w:r>
          </w:p>
        </w:tc>
      </w:tr>
      <w:tr>
        <w:tc>
          <w:tcPr>
            <w:tcW w:type="dxa" w:w="5100"/>
            <w:vAlign w:val="center"/>
          </w:tcPr>
          <w:p>
            <w:pPr>
              <w:bidi/>
              <w:jc w:val="right"/>
            </w:pPr>
            <w:r/>
            <w:r>
              <w:rPr>
                <w:rFonts w:ascii="Noto Sans Hebrew" w:hAnsi="Noto Sans Hebrew" w:eastAsia="Noto Sans Hebrew" w:cs="Noto Sans Hebrew"/>
                <w:b w:val="0"/>
                <w:sz w:val="19"/>
              </w:rPr>
              <w:t>רווח נקי חיובי ברוב השנים</w:t>
            </w:r>
          </w:p>
        </w:tc>
        <w:tc>
          <w:tcPr>
            <w:tcW w:type="dxa" w:w="5100"/>
            <w:vAlign w:val="center"/>
          </w:tcPr>
          <w:p>
            <w:pPr>
              <w:jc w:val="left"/>
            </w:pPr>
            <w:r/>
            <w:r>
              <w:rPr>
                <w:rFonts w:ascii="Aptos" w:hAnsi="Aptos" w:eastAsia="Aptos" w:cs="Aptos"/>
                <w:b w:val="0"/>
                <w:sz w:val="19"/>
              </w:rPr>
              <w:t>6</w:t>
            </w:r>
          </w:p>
        </w:tc>
      </w:tr>
      <w:tr>
        <w:tc>
          <w:tcPr>
            <w:tcW w:type="dxa" w:w="5100"/>
            <w:vAlign w:val="center"/>
          </w:tcPr>
          <w:p>
            <w:pPr>
              <w:bidi/>
              <w:jc w:val="right"/>
            </w:pPr>
            <w:r/>
            <w:r>
              <w:rPr>
                <w:rFonts w:ascii="Noto Sans Hebrew" w:hAnsi="Noto Sans Hebrew" w:eastAsia="Noto Sans Hebrew" w:cs="Noto Sans Hebrew"/>
                <w:b w:val="0"/>
                <w:sz w:val="19"/>
              </w:rPr>
              <w:t>יציבות ברווח למניה — ‪EPS‬</w:t>
            </w:r>
          </w:p>
        </w:tc>
        <w:tc>
          <w:tcPr>
            <w:tcW w:type="dxa" w:w="5100"/>
            <w:vAlign w:val="center"/>
          </w:tcPr>
          <w:p>
            <w:pPr>
              <w:jc w:val="left"/>
            </w:pPr>
            <w:r/>
            <w:r>
              <w:rPr>
                <w:rFonts w:ascii="Aptos" w:hAnsi="Aptos" w:eastAsia="Aptos" w:cs="Aptos"/>
                <w:b w:val="0"/>
                <w:sz w:val="19"/>
              </w:rPr>
              <w:t>4</w:t>
            </w:r>
          </w:p>
        </w:tc>
      </w:tr>
      <w:tr>
        <w:tc>
          <w:tcPr>
            <w:tcW w:type="dxa" w:w="5100"/>
            <w:vAlign w:val="center"/>
          </w:tcPr>
          <w:p>
            <w:pPr>
              <w:bidi/>
              <w:jc w:val="right"/>
            </w:pPr>
            <w:r/>
            <w:r>
              <w:rPr>
                <w:rFonts w:ascii="Noto Sans Hebrew" w:hAnsi="Noto Sans Hebrew" w:eastAsia="Noto Sans Hebrew" w:cs="Noto Sans Hebrew"/>
                <w:b w:val="0"/>
                <w:sz w:val="19"/>
              </w:rPr>
              <w:t>צמיחה מתונה בהכנסות</w:t>
            </w:r>
          </w:p>
        </w:tc>
        <w:tc>
          <w:tcPr>
            <w:tcW w:type="dxa" w:w="5100"/>
            <w:vAlign w:val="center"/>
          </w:tcPr>
          <w:p>
            <w:pPr>
              <w:jc w:val="left"/>
            </w:pPr>
            <w:r/>
            <w:r>
              <w:rPr>
                <w:rFonts w:ascii="Aptos" w:hAnsi="Aptos" w:eastAsia="Aptos" w:cs="Aptos"/>
                <w:b w:val="0"/>
                <w:sz w:val="19"/>
              </w:rPr>
              <w:t>3</w:t>
            </w:r>
          </w:p>
        </w:tc>
      </w:tr>
      <w:tr>
        <w:tc>
          <w:tcPr>
            <w:tcW w:type="dxa" w:w="5100"/>
            <w:vAlign w:val="center"/>
          </w:tcPr>
          <w:p>
            <w:pPr>
              <w:bidi/>
              <w:jc w:val="right"/>
            </w:pPr>
            <w:r/>
            <w:r>
              <w:rPr>
                <w:rFonts w:ascii="Noto Sans Hebrew" w:hAnsi="Noto Sans Hebrew" w:eastAsia="Noto Sans Hebrew" w:cs="Noto Sans Hebrew"/>
                <w:b w:val="0"/>
                <w:sz w:val="19"/>
              </w:rPr>
              <w:t>היעדר הפסדים חריגים או שנים קשות מאוד</w:t>
            </w:r>
          </w:p>
        </w:tc>
        <w:tc>
          <w:tcPr>
            <w:tcW w:type="dxa" w:w="5100"/>
            <w:vAlign w:val="center"/>
          </w:tcPr>
          <w:p>
            <w:pPr>
              <w:jc w:val="left"/>
            </w:pPr>
            <w:r/>
            <w:r>
              <w:rPr>
                <w:rFonts w:ascii="Aptos" w:hAnsi="Aptos" w:eastAsia="Aptos" w:cs="Aptos"/>
                <w:b w:val="0"/>
                <w:sz w:val="19"/>
              </w:rPr>
              <w:t>2</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הפסדים חוזרים או רווחיות לא יציבה</w:t>
            </w:r>
          </w:p>
        </w:tc>
        <w:tc>
          <w:tcPr>
            <w:tcW w:type="dxa" w:w="5100"/>
            <w:vAlign w:val="center"/>
          </w:tcPr>
          <w:p>
            <w:pPr>
              <w:jc w:val="left"/>
            </w:pPr>
            <w:r/>
            <w:r>
              <w:rPr>
                <w:rFonts w:ascii="Aptos" w:hAnsi="Aptos" w:eastAsia="Aptos" w:cs="Aptos"/>
                <w:b w:val="0"/>
                <w:sz w:val="19"/>
              </w:rPr>
              <w:t>0–5</w:t>
            </w:r>
          </w:p>
        </w:tc>
      </w:tr>
      <w:tr>
        <w:tc>
          <w:tcPr>
            <w:tcW w:type="dxa" w:w="5100"/>
            <w:vAlign w:val="center"/>
          </w:tcPr>
          <w:p>
            <w:pPr>
              <w:bidi/>
              <w:jc w:val="right"/>
            </w:pPr>
            <w:r/>
            <w:r>
              <w:rPr>
                <w:rFonts w:ascii="Noto Sans Hebrew" w:hAnsi="Noto Sans Hebrew" w:eastAsia="Noto Sans Hebrew" w:cs="Noto Sans Hebrew"/>
                <w:b w:val="0"/>
                <w:sz w:val="19"/>
              </w:rPr>
              <w:t>רווחיות ברוב השנים אך תנודתית</w:t>
            </w:r>
          </w:p>
        </w:tc>
        <w:tc>
          <w:tcPr>
            <w:tcW w:type="dxa" w:w="5100"/>
            <w:vAlign w:val="center"/>
          </w:tcPr>
          <w:p>
            <w:pPr>
              <w:jc w:val="left"/>
            </w:pPr>
            <w:r/>
            <w:r>
              <w:rPr>
                <w:rFonts w:ascii="Aptos" w:hAnsi="Aptos" w:eastAsia="Aptos" w:cs="Aptos"/>
                <w:b w:val="0"/>
                <w:sz w:val="19"/>
              </w:rPr>
              <w:t>6–10</w:t>
            </w:r>
          </w:p>
        </w:tc>
      </w:tr>
      <w:tr>
        <w:tc>
          <w:tcPr>
            <w:tcW w:type="dxa" w:w="5100"/>
            <w:vAlign w:val="center"/>
          </w:tcPr>
          <w:p>
            <w:pPr>
              <w:bidi/>
              <w:jc w:val="right"/>
            </w:pPr>
            <w:r/>
            <w:r>
              <w:rPr>
                <w:rFonts w:ascii="Noto Sans Hebrew" w:hAnsi="Noto Sans Hebrew" w:eastAsia="Noto Sans Hebrew" w:cs="Noto Sans Hebrew"/>
                <w:b w:val="0"/>
                <w:sz w:val="19"/>
              </w:rPr>
              <w:t>רווחיות עקבית לאורך שנים</w:t>
            </w:r>
          </w:p>
        </w:tc>
        <w:tc>
          <w:tcPr>
            <w:tcW w:type="dxa" w:w="5100"/>
            <w:vAlign w:val="center"/>
          </w:tcPr>
          <w:p>
            <w:pPr>
              <w:jc w:val="left"/>
            </w:pPr>
            <w:r/>
            <w:r>
              <w:rPr>
                <w:rFonts w:ascii="Aptos" w:hAnsi="Aptos" w:eastAsia="Aptos" w:cs="Aptos"/>
                <w:b w:val="0"/>
                <w:sz w:val="19"/>
              </w:rPr>
              <w:t>11–15</w:t>
            </w:r>
          </w:p>
        </w:tc>
      </w:tr>
    </w:tbl>
    <w:p/>
    <w:p>
      <w:pPr>
        <w:pStyle w:val="Heading3"/>
        <w:bidi/>
        <w:spacing w:before="200" w:after="120"/>
        <w:jc w:val="right"/>
      </w:pPr>
      <w:r>
        <w:rPr>
          <w:rFonts w:ascii="Noto Sans Hebrew" w:hAnsi="Noto Sans Hebrew" w:eastAsia="Noto Sans Hebrew" w:cs="Noto Sans Hebrew"/>
          <w:b/>
          <w:color w:val="000000"/>
          <w:sz w:val="23"/>
        </w:rPr>
        <w:t>‪3.4‬ תשואה גבוהה על ההון — חמש עשרה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החברה יודעת להרוויח הרבה ביחס להון שהיא צריכה להשקיע בעסק. הדגש המרכזי הוא ‪ROIC‬, משום ש־‪ROE‬ גבוה עלול לנבוע מחוב גבוה.</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נוסחה</w:t>
            </w:r>
          </w:p>
        </w:tc>
      </w:tr>
      <w:tr>
        <w:tc>
          <w:tcPr>
            <w:tcW w:type="dxa" w:w="5100"/>
            <w:vAlign w:val="center"/>
          </w:tcPr>
          <w:p>
            <w:pPr>
              <w:jc w:val="left"/>
            </w:pPr>
            <w:r/>
            <w:r>
              <w:rPr>
                <w:rFonts w:ascii="Aptos" w:hAnsi="Aptos" w:eastAsia="Aptos" w:cs="Aptos"/>
                <w:b w:val="0"/>
                <w:sz w:val="19"/>
              </w:rPr>
              <w:t>ROE</w:t>
            </w:r>
          </w:p>
        </w:tc>
        <w:tc>
          <w:tcPr>
            <w:tcW w:type="dxa" w:w="5100"/>
            <w:vAlign w:val="center"/>
          </w:tcPr>
          <w:p>
            <w:pPr>
              <w:jc w:val="left"/>
            </w:pPr>
            <w:r/>
            <w:r>
              <w:rPr>
                <w:rFonts w:ascii="Aptos" w:hAnsi="Aptos" w:eastAsia="Aptos" w:cs="Aptos"/>
                <w:b w:val="0"/>
                <w:sz w:val="19"/>
              </w:rPr>
              <w:t>Net Income / Average Shareholders’ Equity</w:t>
            </w:r>
          </w:p>
        </w:tc>
      </w:tr>
      <w:tr>
        <w:tc>
          <w:tcPr>
            <w:tcW w:type="dxa" w:w="5100"/>
            <w:vAlign w:val="center"/>
          </w:tcPr>
          <w:p>
            <w:pPr>
              <w:jc w:val="left"/>
            </w:pPr>
            <w:r/>
            <w:r>
              <w:rPr>
                <w:rFonts w:ascii="Aptos" w:hAnsi="Aptos" w:eastAsia="Aptos" w:cs="Aptos"/>
                <w:b w:val="0"/>
                <w:sz w:val="19"/>
              </w:rPr>
              <w:t>ROIC</w:t>
            </w:r>
          </w:p>
        </w:tc>
        <w:tc>
          <w:tcPr>
            <w:tcW w:type="dxa" w:w="5100"/>
            <w:vAlign w:val="center"/>
          </w:tcPr>
          <w:p>
            <w:pPr>
              <w:jc w:val="left"/>
            </w:pPr>
            <w:r/>
            <w:r>
              <w:rPr>
                <w:rFonts w:ascii="Aptos" w:hAnsi="Aptos" w:eastAsia="Aptos" w:cs="Aptos"/>
                <w:b w:val="0"/>
                <w:sz w:val="19"/>
              </w:rPr>
              <w:t>NOPAT / Invested Capital</w:t>
            </w:r>
          </w:p>
        </w:tc>
      </w:tr>
      <w:tr>
        <w:tc>
          <w:tcPr>
            <w:tcW w:type="dxa" w:w="5100"/>
            <w:vAlign w:val="center"/>
          </w:tcPr>
          <w:p>
            <w:pPr>
              <w:jc w:val="left"/>
            </w:pPr>
            <w:r/>
            <w:r>
              <w:rPr>
                <w:rFonts w:ascii="Aptos" w:hAnsi="Aptos" w:eastAsia="Aptos" w:cs="Aptos"/>
                <w:b w:val="0"/>
                <w:sz w:val="19"/>
              </w:rPr>
              <w:t>NOPAT</w:t>
            </w:r>
          </w:p>
        </w:tc>
        <w:tc>
          <w:tcPr>
            <w:tcW w:type="dxa" w:w="5100"/>
            <w:vAlign w:val="center"/>
          </w:tcPr>
          <w:p>
            <w:pPr>
              <w:jc w:val="left"/>
            </w:pPr>
            <w:r/>
            <w:r>
              <w:rPr>
                <w:rFonts w:ascii="Aptos" w:hAnsi="Aptos" w:eastAsia="Aptos" w:cs="Aptos"/>
                <w:b w:val="0"/>
                <w:sz w:val="19"/>
              </w:rPr>
              <w:t>EBIT × (1 − Tax Rate)</w:t>
            </w:r>
          </w:p>
        </w:tc>
      </w:tr>
      <w:tr>
        <w:tc>
          <w:tcPr>
            <w:tcW w:type="dxa" w:w="5100"/>
            <w:vAlign w:val="center"/>
          </w:tcPr>
          <w:p>
            <w:pPr>
              <w:jc w:val="left"/>
            </w:pPr>
            <w:r/>
            <w:r>
              <w:rPr>
                <w:rFonts w:ascii="Aptos" w:hAnsi="Aptos" w:eastAsia="Aptos" w:cs="Aptos"/>
                <w:b w:val="0"/>
                <w:sz w:val="19"/>
              </w:rPr>
              <w:t>Invested Capital</w:t>
            </w:r>
          </w:p>
        </w:tc>
        <w:tc>
          <w:tcPr>
            <w:tcW w:type="dxa" w:w="5100"/>
            <w:vAlign w:val="center"/>
          </w:tcPr>
          <w:p>
            <w:pPr>
              <w:jc w:val="left"/>
            </w:pPr>
            <w:r/>
            <w:r>
              <w:rPr>
                <w:rFonts w:ascii="Aptos" w:hAnsi="Aptos" w:eastAsia="Aptos" w:cs="Aptos"/>
                <w:b w:val="0"/>
                <w:sz w:val="19"/>
              </w:rPr>
              <w:t>Equity + Debt − Cash</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‪ROIC‬ נמוך מ־‪6%‬</w:t>
            </w:r>
          </w:p>
        </w:tc>
        <w:tc>
          <w:tcPr>
            <w:tcW w:type="dxa" w:w="5100"/>
            <w:vAlign w:val="center"/>
          </w:tcPr>
          <w:p>
            <w:pPr>
              <w:jc w:val="left"/>
            </w:pPr>
            <w:r/>
            <w:r>
              <w:rPr>
                <w:rFonts w:ascii="Aptos" w:hAnsi="Aptos" w:eastAsia="Aptos" w:cs="Aptos"/>
                <w:b w:val="0"/>
                <w:sz w:val="19"/>
              </w:rPr>
              <w:t>0–4</w:t>
            </w:r>
          </w:p>
        </w:tc>
      </w:tr>
      <w:tr>
        <w:tc>
          <w:tcPr>
            <w:tcW w:type="dxa" w:w="5100"/>
            <w:vAlign w:val="center"/>
          </w:tcPr>
          <w:p>
            <w:pPr>
              <w:bidi/>
              <w:jc w:val="right"/>
            </w:pPr>
            <w:r/>
            <w:r>
              <w:rPr>
                <w:rFonts w:ascii="Noto Sans Hebrew" w:hAnsi="Noto Sans Hebrew" w:eastAsia="Noto Sans Hebrew" w:cs="Noto Sans Hebrew"/>
                <w:b w:val="0"/>
                <w:sz w:val="19"/>
              </w:rPr>
              <w:t>‪ROIC‬ בין ‪6%‬ ל־‪10%‬</w:t>
            </w:r>
          </w:p>
        </w:tc>
        <w:tc>
          <w:tcPr>
            <w:tcW w:type="dxa" w:w="5100"/>
            <w:vAlign w:val="center"/>
          </w:tcPr>
          <w:p>
            <w:pPr>
              <w:jc w:val="left"/>
            </w:pPr>
            <w:r/>
            <w:r>
              <w:rPr>
                <w:rFonts w:ascii="Aptos" w:hAnsi="Aptos" w:eastAsia="Aptos" w:cs="Aptos"/>
                <w:b w:val="0"/>
                <w:sz w:val="19"/>
              </w:rPr>
              <w:t>5–8</w:t>
            </w:r>
          </w:p>
        </w:tc>
      </w:tr>
      <w:tr>
        <w:tc>
          <w:tcPr>
            <w:tcW w:type="dxa" w:w="5100"/>
            <w:vAlign w:val="center"/>
          </w:tcPr>
          <w:p>
            <w:pPr>
              <w:bidi/>
              <w:jc w:val="right"/>
            </w:pPr>
            <w:r/>
            <w:r>
              <w:rPr>
                <w:rFonts w:ascii="Noto Sans Hebrew" w:hAnsi="Noto Sans Hebrew" w:eastAsia="Noto Sans Hebrew" w:cs="Noto Sans Hebrew"/>
                <w:b w:val="0"/>
                <w:sz w:val="19"/>
              </w:rPr>
              <w:t>‪ROIC‬ בין ‪10%‬ ל־‪15%‬</w:t>
            </w:r>
          </w:p>
        </w:tc>
        <w:tc>
          <w:tcPr>
            <w:tcW w:type="dxa" w:w="5100"/>
            <w:vAlign w:val="center"/>
          </w:tcPr>
          <w:p>
            <w:pPr>
              <w:jc w:val="left"/>
            </w:pPr>
            <w:r/>
            <w:r>
              <w:rPr>
                <w:rFonts w:ascii="Aptos" w:hAnsi="Aptos" w:eastAsia="Aptos" w:cs="Aptos"/>
                <w:b w:val="0"/>
                <w:sz w:val="19"/>
              </w:rPr>
              <w:t>9–12</w:t>
            </w:r>
          </w:p>
        </w:tc>
      </w:tr>
      <w:tr>
        <w:tc>
          <w:tcPr>
            <w:tcW w:type="dxa" w:w="5100"/>
            <w:vAlign w:val="center"/>
          </w:tcPr>
          <w:p>
            <w:pPr>
              <w:bidi/>
              <w:jc w:val="right"/>
            </w:pPr>
            <w:r/>
            <w:r>
              <w:rPr>
                <w:rFonts w:ascii="Noto Sans Hebrew" w:hAnsi="Noto Sans Hebrew" w:eastAsia="Noto Sans Hebrew" w:cs="Noto Sans Hebrew"/>
                <w:b w:val="0"/>
                <w:sz w:val="19"/>
              </w:rPr>
              <w:t>‪ROIC‬ מעל ‪15%‬ לאורך זמן</w:t>
            </w:r>
          </w:p>
        </w:tc>
        <w:tc>
          <w:tcPr>
            <w:tcW w:type="dxa" w:w="5100"/>
            <w:vAlign w:val="center"/>
          </w:tcPr>
          <w:p>
            <w:pPr>
              <w:jc w:val="left"/>
            </w:pPr>
            <w:r/>
            <w:r>
              <w:rPr>
                <w:rFonts w:ascii="Aptos" w:hAnsi="Aptos" w:eastAsia="Aptos" w:cs="Aptos"/>
                <w:b w:val="0"/>
                <w:sz w:val="19"/>
              </w:rPr>
              <w:t>13–15</w:t>
            </w:r>
          </w:p>
        </w:tc>
      </w:tr>
    </w:tbl>
    <w:p/>
    <w:p>
      <w:pPr>
        <w:pStyle w:val="Heading3"/>
        <w:bidi/>
        <w:spacing w:before="200" w:after="120"/>
        <w:jc w:val="right"/>
      </w:pPr>
      <w:r>
        <w:rPr>
          <w:rFonts w:ascii="Noto Sans Hebrew" w:hAnsi="Noto Sans Hebrew" w:eastAsia="Noto Sans Hebrew" w:cs="Noto Sans Hebrew"/>
          <w:b/>
          <w:color w:val="000000"/>
          <w:sz w:val="23"/>
        </w:rPr>
        <w:t>‪3.5‬ תזרים חופשי / ‪Owner‬ ‪Earnings‬ — חמש עשרה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הרווח החשבונאי של החברה הופך למזומן אמיתי. תזרים חופשי מראה כמה כסף נשאר אחרי ההשקעות הנדרשות להפעלת העסק.</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ניקוד מקסימלי</w:t>
            </w:r>
          </w:p>
        </w:tc>
      </w:tr>
      <w:tr>
        <w:tc>
          <w:tcPr>
            <w:tcW w:type="dxa" w:w="5100"/>
            <w:vAlign w:val="center"/>
          </w:tcPr>
          <w:p>
            <w:pPr>
              <w:bidi/>
              <w:jc w:val="right"/>
            </w:pPr>
            <w:r/>
            <w:r>
              <w:rPr>
                <w:rFonts w:ascii="Noto Sans Hebrew" w:hAnsi="Noto Sans Hebrew" w:eastAsia="Noto Sans Hebrew" w:cs="Noto Sans Hebrew"/>
                <w:b w:val="0"/>
                <w:sz w:val="19"/>
              </w:rPr>
              <w:t>‪FCF‬ חיובי ברוב השנים</w:t>
            </w:r>
          </w:p>
        </w:tc>
        <w:tc>
          <w:tcPr>
            <w:tcW w:type="dxa" w:w="5100"/>
            <w:vAlign w:val="center"/>
          </w:tcPr>
          <w:p>
            <w:pPr>
              <w:jc w:val="left"/>
            </w:pPr>
            <w:r/>
            <w:r>
              <w:rPr>
                <w:rFonts w:ascii="Aptos" w:hAnsi="Aptos" w:eastAsia="Aptos" w:cs="Aptos"/>
                <w:b w:val="0"/>
                <w:sz w:val="19"/>
              </w:rPr>
              <w:t>5</w:t>
            </w:r>
          </w:p>
        </w:tc>
      </w:tr>
      <w:tr>
        <w:tc>
          <w:tcPr>
            <w:tcW w:type="dxa" w:w="5100"/>
            <w:vAlign w:val="center"/>
          </w:tcPr>
          <w:p>
            <w:pPr>
              <w:bidi/>
              <w:jc w:val="right"/>
            </w:pPr>
            <w:r/>
            <w:r>
              <w:rPr>
                <w:rFonts w:ascii="Noto Sans Hebrew" w:hAnsi="Noto Sans Hebrew" w:eastAsia="Noto Sans Hebrew" w:cs="Noto Sans Hebrew"/>
                <w:b w:val="0"/>
                <w:sz w:val="19"/>
              </w:rPr>
              <w:t>‪FCF‬ ‪Margin‬ חיובי ויציב</w:t>
            </w:r>
          </w:p>
        </w:tc>
        <w:tc>
          <w:tcPr>
            <w:tcW w:type="dxa" w:w="5100"/>
            <w:vAlign w:val="center"/>
          </w:tcPr>
          <w:p>
            <w:pPr>
              <w:jc w:val="left"/>
            </w:pPr>
            <w:r/>
            <w:r>
              <w:rPr>
                <w:rFonts w:ascii="Aptos" w:hAnsi="Aptos" w:eastAsia="Aptos" w:cs="Aptos"/>
                <w:b w:val="0"/>
                <w:sz w:val="19"/>
              </w:rPr>
              <w:t>4</w:t>
            </w:r>
          </w:p>
        </w:tc>
      </w:tr>
      <w:tr>
        <w:tc>
          <w:tcPr>
            <w:tcW w:type="dxa" w:w="5100"/>
            <w:vAlign w:val="center"/>
          </w:tcPr>
          <w:p>
            <w:pPr>
              <w:bidi/>
              <w:jc w:val="right"/>
            </w:pPr>
            <w:r/>
            <w:r>
              <w:rPr>
                <w:rFonts w:ascii="Noto Sans Hebrew" w:hAnsi="Noto Sans Hebrew" w:eastAsia="Noto Sans Hebrew" w:cs="Noto Sans Hebrew"/>
                <w:b w:val="0"/>
                <w:sz w:val="19"/>
              </w:rPr>
              <w:t>‪FCF‬ / ‪Net‬ ‪Income‬ גבוה מ־‪70%‬</w:t>
            </w:r>
          </w:p>
        </w:tc>
        <w:tc>
          <w:tcPr>
            <w:tcW w:type="dxa" w:w="5100"/>
            <w:vAlign w:val="center"/>
          </w:tcPr>
          <w:p>
            <w:pPr>
              <w:jc w:val="left"/>
            </w:pPr>
            <w:r/>
            <w:r>
              <w:rPr>
                <w:rFonts w:ascii="Aptos" w:hAnsi="Aptos" w:eastAsia="Aptos" w:cs="Aptos"/>
                <w:b w:val="0"/>
                <w:sz w:val="19"/>
              </w:rPr>
              <w:t>3</w:t>
            </w:r>
          </w:p>
        </w:tc>
      </w:tr>
      <w:tr>
        <w:tc>
          <w:tcPr>
            <w:tcW w:type="dxa" w:w="5100"/>
            <w:vAlign w:val="center"/>
          </w:tcPr>
          <w:p>
            <w:pPr>
              <w:bidi/>
              <w:jc w:val="right"/>
            </w:pPr>
            <w:r/>
            <w:r>
              <w:rPr>
                <w:rFonts w:ascii="Noto Sans Hebrew" w:hAnsi="Noto Sans Hebrew" w:eastAsia="Noto Sans Hebrew" w:cs="Noto Sans Hebrew"/>
                <w:b w:val="0"/>
                <w:sz w:val="19"/>
              </w:rPr>
              <w:t>החברה לא דורשת השקעות הון כבדות מדי</w:t>
            </w:r>
          </w:p>
        </w:tc>
        <w:tc>
          <w:tcPr>
            <w:tcW w:type="dxa" w:w="5100"/>
            <w:vAlign w:val="center"/>
          </w:tcPr>
          <w:p>
            <w:pPr>
              <w:jc w:val="left"/>
            </w:pPr>
            <w:r/>
            <w:r>
              <w:rPr>
                <w:rFonts w:ascii="Aptos" w:hAnsi="Aptos" w:eastAsia="Aptos" w:cs="Aptos"/>
                <w:b w:val="0"/>
                <w:sz w:val="19"/>
              </w:rPr>
              <w:t>3</w:t>
            </w:r>
          </w:p>
        </w:tc>
      </w:tr>
    </w:tbl>
    <w:p/>
    <w:p>
      <w:pPr>
        <w:spacing w:before="40" w:after="160"/>
        <w:ind w:left="340"/>
        <w:jc w:val="left"/>
      </w:pPr>
      <w:r>
        <w:rPr>
          <w:rFonts w:ascii="DejaVu Sans Mono" w:hAnsi="DejaVu Sans Mono" w:eastAsia="DejaVu Sans Mono" w:cs="DejaVu Sans Mono"/>
          <w:b/>
          <w:sz w:val="20"/>
        </w:rPr>
        <w:t>Free Cash Flow = Cash Flow From Operations − Capital Expenditures</w:t>
      </w:r>
    </w:p>
    <w:p>
      <w:pPr>
        <w:spacing w:before="40" w:after="160"/>
        <w:ind w:left="340"/>
        <w:jc w:val="left"/>
      </w:pPr>
      <w:r>
        <w:rPr>
          <w:rFonts w:ascii="DejaVu Sans Mono" w:hAnsi="DejaVu Sans Mono" w:eastAsia="DejaVu Sans Mono" w:cs="DejaVu Sans Mono"/>
          <w:b/>
          <w:sz w:val="20"/>
        </w:rPr>
        <w:t>Owner Earnings ≈ Net Income + Depreciation &amp; Amortization − Maintenance CapEx</w:t>
      </w:r>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‪FCF‬ שלילי או חלש לאורך זמן</w:t>
            </w:r>
          </w:p>
        </w:tc>
        <w:tc>
          <w:tcPr>
            <w:tcW w:type="dxa" w:w="5100"/>
            <w:vAlign w:val="center"/>
          </w:tcPr>
          <w:p>
            <w:pPr>
              <w:jc w:val="left"/>
            </w:pPr>
            <w:r/>
            <w:r>
              <w:rPr>
                <w:rFonts w:ascii="Aptos" w:hAnsi="Aptos" w:eastAsia="Aptos" w:cs="Aptos"/>
                <w:b w:val="0"/>
                <w:sz w:val="19"/>
              </w:rPr>
              <w:t>0–5</w:t>
            </w:r>
          </w:p>
        </w:tc>
      </w:tr>
      <w:tr>
        <w:tc>
          <w:tcPr>
            <w:tcW w:type="dxa" w:w="5100"/>
            <w:vAlign w:val="center"/>
          </w:tcPr>
          <w:p>
            <w:pPr>
              <w:bidi/>
              <w:jc w:val="right"/>
            </w:pPr>
            <w:r/>
            <w:r>
              <w:rPr>
                <w:rFonts w:ascii="Noto Sans Hebrew" w:hAnsi="Noto Sans Hebrew" w:eastAsia="Noto Sans Hebrew" w:cs="Noto Sans Hebrew"/>
                <w:b w:val="0"/>
                <w:sz w:val="19"/>
              </w:rPr>
              <w:t>‪FCF‬ חיובי אך תנודתי</w:t>
            </w:r>
          </w:p>
        </w:tc>
        <w:tc>
          <w:tcPr>
            <w:tcW w:type="dxa" w:w="5100"/>
            <w:vAlign w:val="center"/>
          </w:tcPr>
          <w:p>
            <w:pPr>
              <w:jc w:val="left"/>
            </w:pPr>
            <w:r/>
            <w:r>
              <w:rPr>
                <w:rFonts w:ascii="Aptos" w:hAnsi="Aptos" w:eastAsia="Aptos" w:cs="Aptos"/>
                <w:b w:val="0"/>
                <w:sz w:val="19"/>
              </w:rPr>
              <w:t>6–10</w:t>
            </w:r>
          </w:p>
        </w:tc>
      </w:tr>
      <w:tr>
        <w:tc>
          <w:tcPr>
            <w:tcW w:type="dxa" w:w="5100"/>
            <w:vAlign w:val="center"/>
          </w:tcPr>
          <w:p>
            <w:pPr>
              <w:bidi/>
              <w:jc w:val="right"/>
            </w:pPr>
            <w:r/>
            <w:r>
              <w:rPr>
                <w:rFonts w:ascii="Noto Sans Hebrew" w:hAnsi="Noto Sans Hebrew" w:eastAsia="Noto Sans Hebrew" w:cs="Noto Sans Hebrew"/>
                <w:b w:val="0"/>
                <w:sz w:val="19"/>
              </w:rPr>
              <w:t>‪FCF‬ חזק, יציב וקרוב לרווח הנקי</w:t>
            </w:r>
          </w:p>
        </w:tc>
        <w:tc>
          <w:tcPr>
            <w:tcW w:type="dxa" w:w="5100"/>
            <w:vAlign w:val="center"/>
          </w:tcPr>
          <w:p>
            <w:pPr>
              <w:jc w:val="left"/>
            </w:pPr>
            <w:r/>
            <w:r>
              <w:rPr>
                <w:rFonts w:ascii="Aptos" w:hAnsi="Aptos" w:eastAsia="Aptos" w:cs="Aptos"/>
                <w:b w:val="0"/>
                <w:sz w:val="19"/>
              </w:rPr>
              <w:t>11–15</w:t>
            </w:r>
          </w:p>
        </w:tc>
      </w:tr>
    </w:tbl>
    <w:p/>
    <w:p>
      <w:pPr>
        <w:pStyle w:val="Heading3"/>
        <w:bidi/>
        <w:spacing w:before="200" w:after="120"/>
        <w:jc w:val="right"/>
      </w:pPr>
      <w:r>
        <w:rPr>
          <w:rFonts w:ascii="Noto Sans Hebrew" w:hAnsi="Noto Sans Hebrew" w:eastAsia="Noto Sans Hebrew" w:cs="Noto Sans Hebrew"/>
          <w:b/>
          <w:color w:val="000000"/>
          <w:sz w:val="23"/>
        </w:rPr>
        <w:t>‪3.6‬ מאזן חזק וחוב סביר — עשר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החברה יכולה להתמודד עם תקופות קשות בלי להיקלע למצוקה פיננסית. חוב גבוה יכול להפוך גם חברה טובה להשקעה מסוכנת.</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מצב טוב</w:t>
            </w:r>
          </w:p>
        </w:tc>
      </w:tr>
      <w:tr>
        <w:tc>
          <w:tcPr>
            <w:tcW w:type="dxa" w:w="5100"/>
            <w:vAlign w:val="center"/>
          </w:tcPr>
          <w:p>
            <w:pPr>
              <w:jc w:val="left"/>
            </w:pPr>
            <w:r/>
            <w:r>
              <w:rPr>
                <w:rFonts w:ascii="Aptos" w:hAnsi="Aptos" w:eastAsia="Aptos" w:cs="Aptos"/>
                <w:b w:val="0"/>
                <w:sz w:val="19"/>
              </w:rPr>
              <w:t>Net Debt / EBITDA</w:t>
            </w:r>
          </w:p>
        </w:tc>
        <w:tc>
          <w:tcPr>
            <w:tcW w:type="dxa" w:w="5100"/>
            <w:vAlign w:val="center"/>
          </w:tcPr>
          <w:p>
            <w:pPr>
              <w:bidi/>
              <w:jc w:val="right"/>
            </w:pPr>
            <w:r/>
            <w:r>
              <w:rPr>
                <w:rFonts w:ascii="Noto Sans Hebrew" w:hAnsi="Noto Sans Hebrew" w:eastAsia="Noto Sans Hebrew" w:cs="Noto Sans Hebrew"/>
                <w:b w:val="0"/>
                <w:sz w:val="19"/>
              </w:rPr>
              <w:t>מתחת ‪2‬</w:t>
            </w:r>
          </w:p>
        </w:tc>
      </w:tr>
      <w:tr>
        <w:tc>
          <w:tcPr>
            <w:tcW w:type="dxa" w:w="5100"/>
            <w:vAlign w:val="center"/>
          </w:tcPr>
          <w:p>
            <w:pPr>
              <w:jc w:val="left"/>
            </w:pPr>
            <w:r/>
            <w:r>
              <w:rPr>
                <w:rFonts w:ascii="Aptos" w:hAnsi="Aptos" w:eastAsia="Aptos" w:cs="Aptos"/>
                <w:b w:val="0"/>
                <w:sz w:val="19"/>
              </w:rPr>
              <w:t>Interest Coverage</w:t>
            </w:r>
          </w:p>
        </w:tc>
        <w:tc>
          <w:tcPr>
            <w:tcW w:type="dxa" w:w="5100"/>
            <w:vAlign w:val="center"/>
          </w:tcPr>
          <w:p>
            <w:pPr>
              <w:bidi/>
              <w:jc w:val="right"/>
            </w:pPr>
            <w:r/>
            <w:r>
              <w:rPr>
                <w:rFonts w:ascii="Noto Sans Hebrew" w:hAnsi="Noto Sans Hebrew" w:eastAsia="Noto Sans Hebrew" w:cs="Noto Sans Hebrew"/>
                <w:b w:val="0"/>
                <w:sz w:val="19"/>
              </w:rPr>
              <w:t>מעל ‪5‬</w:t>
            </w:r>
          </w:p>
        </w:tc>
      </w:tr>
      <w:tr>
        <w:tc>
          <w:tcPr>
            <w:tcW w:type="dxa" w:w="5100"/>
            <w:vAlign w:val="center"/>
          </w:tcPr>
          <w:p>
            <w:pPr>
              <w:jc w:val="left"/>
            </w:pPr>
            <w:r/>
            <w:r>
              <w:rPr>
                <w:rFonts w:ascii="Aptos" w:hAnsi="Aptos" w:eastAsia="Aptos" w:cs="Aptos"/>
                <w:b w:val="0"/>
                <w:sz w:val="19"/>
              </w:rPr>
              <w:t>Current Ratio</w:t>
            </w:r>
          </w:p>
        </w:tc>
        <w:tc>
          <w:tcPr>
            <w:tcW w:type="dxa" w:w="5100"/>
            <w:vAlign w:val="center"/>
          </w:tcPr>
          <w:p>
            <w:pPr>
              <w:bidi/>
              <w:jc w:val="right"/>
            </w:pPr>
            <w:r/>
            <w:r>
              <w:rPr>
                <w:rFonts w:ascii="Noto Sans Hebrew" w:hAnsi="Noto Sans Hebrew" w:eastAsia="Noto Sans Hebrew" w:cs="Noto Sans Hebrew"/>
                <w:b w:val="0"/>
                <w:sz w:val="19"/>
              </w:rPr>
              <w:t>מעל ‪1.5‬, תלוי ענף</w:t>
            </w:r>
          </w:p>
        </w:tc>
      </w:tr>
    </w:tbl>
    <w:p/>
    <w:p>
      <w:pPr>
        <w:spacing w:before="40" w:after="160"/>
        <w:ind w:left="340"/>
        <w:jc w:val="left"/>
      </w:pPr>
      <w:r>
        <w:rPr>
          <w:rFonts w:ascii="DejaVu Sans Mono" w:hAnsi="DejaVu Sans Mono" w:eastAsia="DejaVu Sans Mono" w:cs="DejaVu Sans Mono"/>
          <w:b/>
          <w:sz w:val="20"/>
        </w:rPr>
        <w:t>Net Debt / EBITDA = (Total Debt − Cash) / EBITDA</w:t>
      </w:r>
    </w:p>
    <w:p>
      <w:pPr>
        <w:spacing w:before="40" w:after="160"/>
        <w:ind w:left="340"/>
        <w:jc w:val="left"/>
      </w:pPr>
      <w:r>
        <w:rPr>
          <w:rFonts w:ascii="DejaVu Sans Mono" w:hAnsi="DejaVu Sans Mono" w:eastAsia="DejaVu Sans Mono" w:cs="DejaVu Sans Mono"/>
          <w:b/>
          <w:sz w:val="20"/>
        </w:rPr>
        <w:t>Interest Coverage = EBIT / Interest Expense</w:t>
      </w:r>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חוב גבוה וכיסוי ריבית חלש</w:t>
            </w:r>
          </w:p>
        </w:tc>
        <w:tc>
          <w:tcPr>
            <w:tcW w:type="dxa" w:w="5100"/>
            <w:vAlign w:val="center"/>
          </w:tcPr>
          <w:p>
            <w:pPr>
              <w:jc w:val="left"/>
            </w:pPr>
            <w:r/>
            <w:r>
              <w:rPr>
                <w:rFonts w:ascii="Aptos" w:hAnsi="Aptos" w:eastAsia="Aptos" w:cs="Aptos"/>
                <w:b w:val="0"/>
                <w:sz w:val="19"/>
              </w:rPr>
              <w:t>0–3</w:t>
            </w:r>
          </w:p>
        </w:tc>
      </w:tr>
      <w:tr>
        <w:tc>
          <w:tcPr>
            <w:tcW w:type="dxa" w:w="5100"/>
            <w:vAlign w:val="center"/>
          </w:tcPr>
          <w:p>
            <w:pPr>
              <w:bidi/>
              <w:jc w:val="right"/>
            </w:pPr>
            <w:r/>
            <w:r>
              <w:rPr>
                <w:rFonts w:ascii="Noto Sans Hebrew" w:hAnsi="Noto Sans Hebrew" w:eastAsia="Noto Sans Hebrew" w:cs="Noto Sans Hebrew"/>
                <w:b w:val="0"/>
                <w:sz w:val="19"/>
              </w:rPr>
              <w:t>חוב סביר אך לא נמוך</w:t>
            </w:r>
          </w:p>
        </w:tc>
        <w:tc>
          <w:tcPr>
            <w:tcW w:type="dxa" w:w="5100"/>
            <w:vAlign w:val="center"/>
          </w:tcPr>
          <w:p>
            <w:pPr>
              <w:jc w:val="left"/>
            </w:pPr>
            <w:r/>
            <w:r>
              <w:rPr>
                <w:rFonts w:ascii="Aptos" w:hAnsi="Aptos" w:eastAsia="Aptos" w:cs="Aptos"/>
                <w:b w:val="0"/>
                <w:sz w:val="19"/>
              </w:rPr>
              <w:t>4–7</w:t>
            </w:r>
          </w:p>
        </w:tc>
      </w:tr>
      <w:tr>
        <w:tc>
          <w:tcPr>
            <w:tcW w:type="dxa" w:w="5100"/>
            <w:vAlign w:val="center"/>
          </w:tcPr>
          <w:p>
            <w:pPr>
              <w:bidi/>
              <w:jc w:val="right"/>
            </w:pPr>
            <w:r/>
            <w:r>
              <w:rPr>
                <w:rFonts w:ascii="Noto Sans Hebrew" w:hAnsi="Noto Sans Hebrew" w:eastAsia="Noto Sans Hebrew" w:cs="Noto Sans Hebrew"/>
                <w:b w:val="0"/>
                <w:sz w:val="19"/>
              </w:rPr>
              <w:t>חוב נמוך, מזומן גבוה וכיסוי ריבית חזק</w:t>
            </w:r>
          </w:p>
        </w:tc>
        <w:tc>
          <w:tcPr>
            <w:tcW w:type="dxa" w:w="5100"/>
            <w:vAlign w:val="center"/>
          </w:tcPr>
          <w:p>
            <w:pPr>
              <w:jc w:val="left"/>
            </w:pPr>
            <w:r/>
            <w:r>
              <w:rPr>
                <w:rFonts w:ascii="Aptos" w:hAnsi="Aptos" w:eastAsia="Aptos" w:cs="Aptos"/>
                <w:b w:val="0"/>
                <w:sz w:val="19"/>
              </w:rPr>
              <w:t>8–10</w:t>
            </w:r>
          </w:p>
        </w:tc>
      </w:tr>
    </w:tbl>
    <w:p/>
    <w:p>
      <w:pPr>
        <w:pStyle w:val="Heading3"/>
        <w:bidi/>
        <w:spacing w:before="200" w:after="120"/>
        <w:jc w:val="right"/>
      </w:pPr>
      <w:r>
        <w:rPr>
          <w:rFonts w:ascii="Noto Sans Hebrew" w:hAnsi="Noto Sans Hebrew" w:eastAsia="Noto Sans Hebrew" w:cs="Noto Sans Hebrew"/>
          <w:b/>
          <w:color w:val="000000"/>
          <w:sz w:val="23"/>
        </w:rPr>
        <w:t>‪3.7‬ הנהלה והקצאת הון — עשר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ההנהלה משתמשת בכסף של החברה בצורה שמייצרת ערך לבעלי המניות: השקעות, רכישות ומיזוגים, דיבידנדים, רכישות עצמיות, חוב ודילול.</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סימן</w:t>
            </w:r>
          </w:p>
        </w:tc>
        <w:tc>
          <w:tcPr>
            <w:tcW w:type="dxa" w:w="5100"/>
            <w:vAlign w:val="center"/>
            <w:shd w:fill="D9EAF7"/>
          </w:tcPr>
          <w:p>
            <w:pPr>
              <w:bidi/>
              <w:jc w:val="right"/>
            </w:pPr>
            <w:r/>
            <w:r>
              <w:rPr>
                <w:rFonts w:ascii="Noto Sans Hebrew" w:hAnsi="Noto Sans Hebrew" w:eastAsia="Noto Sans Hebrew" w:cs="Noto Sans Hebrew"/>
                <w:b/>
                <w:sz w:val="19"/>
              </w:rPr>
              <w:t>ניקוד מקסימלי</w:t>
            </w:r>
          </w:p>
        </w:tc>
      </w:tr>
      <w:tr>
        <w:tc>
          <w:tcPr>
            <w:tcW w:type="dxa" w:w="5100"/>
            <w:vAlign w:val="center"/>
          </w:tcPr>
          <w:p>
            <w:pPr>
              <w:bidi/>
              <w:jc w:val="right"/>
            </w:pPr>
            <w:r/>
            <w:r>
              <w:rPr>
                <w:rFonts w:ascii="Noto Sans Hebrew" w:hAnsi="Noto Sans Hebrew" w:eastAsia="Noto Sans Hebrew" w:cs="Noto Sans Hebrew"/>
                <w:b w:val="0"/>
                <w:sz w:val="19"/>
              </w:rPr>
              <w:t>רכישות עצמיות במחירים סבירים</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אין דילול משמעותי של בעלי מניות</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רכישות ומיזוגים יצרו ערך</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דיבידנד/‪Buybacks‬ תואמים את התזרים</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הנהלה שקופה, שמרנית ועקבית</w:t>
            </w:r>
          </w:p>
        </w:tc>
        <w:tc>
          <w:tcPr>
            <w:tcW w:type="dxa" w:w="5100"/>
            <w:vAlign w:val="center"/>
          </w:tcPr>
          <w:p>
            <w:pPr>
              <w:jc w:val="left"/>
            </w:pPr>
            <w:r/>
            <w:r>
              <w:rPr>
                <w:rFonts w:ascii="Aptos" w:hAnsi="Aptos" w:eastAsia="Aptos" w:cs="Aptos"/>
                <w:b w:val="0"/>
                <w:sz w:val="19"/>
              </w:rPr>
              <w:t>2</w:t>
            </w:r>
          </w:p>
        </w:tc>
      </w:tr>
    </w:tbl>
    <w:p/>
    <w:p>
      <w:pPr>
        <w:spacing w:before="40" w:after="160"/>
        <w:ind w:left="340"/>
        <w:jc w:val="left"/>
      </w:pPr>
      <w:r>
        <w:rPr>
          <w:rFonts w:ascii="DejaVu Sans Mono" w:hAnsi="DejaVu Sans Mono" w:eastAsia="DejaVu Sans Mono" w:cs="DejaVu Sans Mono"/>
          <w:b/>
          <w:sz w:val="20"/>
        </w:rPr>
        <w:t>Share Dilution = Shares This Year / Shares 5 Years Ago − 1</w:t>
      </w:r>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דילול גבוה, רכישות יקרות או הנהלה לא עקבית</w:t>
            </w:r>
          </w:p>
        </w:tc>
        <w:tc>
          <w:tcPr>
            <w:tcW w:type="dxa" w:w="5100"/>
            <w:vAlign w:val="center"/>
          </w:tcPr>
          <w:p>
            <w:pPr>
              <w:jc w:val="left"/>
            </w:pPr>
            <w:r/>
            <w:r>
              <w:rPr>
                <w:rFonts w:ascii="Aptos" w:hAnsi="Aptos" w:eastAsia="Aptos" w:cs="Aptos"/>
                <w:b w:val="0"/>
                <w:sz w:val="19"/>
              </w:rPr>
              <w:t>0–3</w:t>
            </w:r>
          </w:p>
        </w:tc>
      </w:tr>
      <w:tr>
        <w:tc>
          <w:tcPr>
            <w:tcW w:type="dxa" w:w="5100"/>
            <w:vAlign w:val="center"/>
          </w:tcPr>
          <w:p>
            <w:pPr>
              <w:bidi/>
              <w:jc w:val="right"/>
            </w:pPr>
            <w:r/>
            <w:r>
              <w:rPr>
                <w:rFonts w:ascii="Noto Sans Hebrew" w:hAnsi="Noto Sans Hebrew" w:eastAsia="Noto Sans Hebrew" w:cs="Noto Sans Hebrew"/>
                <w:b w:val="0"/>
                <w:sz w:val="19"/>
              </w:rPr>
              <w:t>הנהלה סבירה ללא סימנים חריגים</w:t>
            </w:r>
          </w:p>
        </w:tc>
        <w:tc>
          <w:tcPr>
            <w:tcW w:type="dxa" w:w="5100"/>
            <w:vAlign w:val="center"/>
          </w:tcPr>
          <w:p>
            <w:pPr>
              <w:jc w:val="left"/>
            </w:pPr>
            <w:r/>
            <w:r>
              <w:rPr>
                <w:rFonts w:ascii="Aptos" w:hAnsi="Aptos" w:eastAsia="Aptos" w:cs="Aptos"/>
                <w:b w:val="0"/>
                <w:sz w:val="19"/>
              </w:rPr>
              <w:t>4–7</w:t>
            </w:r>
          </w:p>
        </w:tc>
      </w:tr>
      <w:tr>
        <w:tc>
          <w:tcPr>
            <w:tcW w:type="dxa" w:w="5100"/>
            <w:vAlign w:val="center"/>
          </w:tcPr>
          <w:p>
            <w:pPr>
              <w:bidi/>
              <w:jc w:val="right"/>
            </w:pPr>
            <w:r/>
            <w:r>
              <w:rPr>
                <w:rFonts w:ascii="Noto Sans Hebrew" w:hAnsi="Noto Sans Hebrew" w:eastAsia="Noto Sans Hebrew" w:cs="Noto Sans Hebrew"/>
                <w:b w:val="0"/>
                <w:sz w:val="19"/>
              </w:rPr>
              <w:t>הנהלה איכותית ומקצה הון היטב</w:t>
            </w:r>
          </w:p>
        </w:tc>
        <w:tc>
          <w:tcPr>
            <w:tcW w:type="dxa" w:w="5100"/>
            <w:vAlign w:val="center"/>
          </w:tcPr>
          <w:p>
            <w:pPr>
              <w:jc w:val="left"/>
            </w:pPr>
            <w:r/>
            <w:r>
              <w:rPr>
                <w:rFonts w:ascii="Aptos" w:hAnsi="Aptos" w:eastAsia="Aptos" w:cs="Aptos"/>
                <w:b w:val="0"/>
                <w:sz w:val="19"/>
              </w:rPr>
              <w:t>8–10</w:t>
            </w:r>
          </w:p>
        </w:tc>
      </w:tr>
    </w:tbl>
    <w:p/>
    <w:p>
      <w:pPr>
        <w:pStyle w:val="Heading3"/>
        <w:bidi/>
        <w:spacing w:before="200" w:after="120"/>
        <w:jc w:val="right"/>
      </w:pPr>
      <w:r>
        <w:rPr>
          <w:rFonts w:ascii="Noto Sans Hebrew" w:hAnsi="Noto Sans Hebrew" w:eastAsia="Noto Sans Hebrew" w:cs="Noto Sans Hebrew"/>
          <w:b/>
          <w:color w:val="000000"/>
          <w:sz w:val="23"/>
        </w:rPr>
        <w:t>‪3.8‬ צמיחה איכותית וברת קיימא — חמש עשרה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החברה צומחת בצורה בריאה, רווחית וברת קיימא. צמיחה איכותית היא צמיחה שמגיעה יחד עם רווחיות, תזרים, שמירה על מרווחים וחוב סביר.</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ניקוד מקסימלי</w:t>
            </w:r>
          </w:p>
        </w:tc>
      </w:tr>
      <w:tr>
        <w:tc>
          <w:tcPr>
            <w:tcW w:type="dxa" w:w="5100"/>
            <w:vAlign w:val="center"/>
          </w:tcPr>
          <w:p>
            <w:pPr>
              <w:bidi/>
              <w:jc w:val="right"/>
            </w:pPr>
            <w:r/>
            <w:r>
              <w:rPr>
                <w:rFonts w:ascii="Noto Sans Hebrew" w:hAnsi="Noto Sans Hebrew" w:eastAsia="Noto Sans Hebrew" w:cs="Noto Sans Hebrew"/>
                <w:b w:val="0"/>
                <w:sz w:val="19"/>
              </w:rPr>
              <w:t>צמיחת הכנסות מתונה ועקבית</w:t>
            </w:r>
          </w:p>
        </w:tc>
        <w:tc>
          <w:tcPr>
            <w:tcW w:type="dxa" w:w="5100"/>
            <w:vAlign w:val="center"/>
          </w:tcPr>
          <w:p>
            <w:pPr>
              <w:jc w:val="left"/>
            </w:pPr>
            <w:r/>
            <w:r>
              <w:rPr>
                <w:rFonts w:ascii="Aptos" w:hAnsi="Aptos" w:eastAsia="Aptos" w:cs="Aptos"/>
                <w:b w:val="0"/>
                <w:sz w:val="19"/>
              </w:rPr>
              <w:t>3</w:t>
            </w:r>
          </w:p>
        </w:tc>
      </w:tr>
      <w:tr>
        <w:tc>
          <w:tcPr>
            <w:tcW w:type="dxa" w:w="5100"/>
            <w:vAlign w:val="center"/>
          </w:tcPr>
          <w:p>
            <w:pPr>
              <w:bidi/>
              <w:jc w:val="right"/>
            </w:pPr>
            <w:r/>
            <w:r>
              <w:rPr>
                <w:rFonts w:ascii="Noto Sans Hebrew" w:hAnsi="Noto Sans Hebrew" w:eastAsia="Noto Sans Hebrew" w:cs="Noto Sans Hebrew"/>
                <w:b w:val="0"/>
                <w:sz w:val="19"/>
              </w:rPr>
              <w:t>צמיחת ‪EPS‬ לאורך זמן</w:t>
            </w:r>
          </w:p>
        </w:tc>
        <w:tc>
          <w:tcPr>
            <w:tcW w:type="dxa" w:w="5100"/>
            <w:vAlign w:val="center"/>
          </w:tcPr>
          <w:p>
            <w:pPr>
              <w:jc w:val="left"/>
            </w:pPr>
            <w:r/>
            <w:r>
              <w:rPr>
                <w:rFonts w:ascii="Aptos" w:hAnsi="Aptos" w:eastAsia="Aptos" w:cs="Aptos"/>
                <w:b w:val="0"/>
                <w:sz w:val="19"/>
              </w:rPr>
              <w:t>3</w:t>
            </w:r>
          </w:p>
        </w:tc>
      </w:tr>
      <w:tr>
        <w:tc>
          <w:tcPr>
            <w:tcW w:type="dxa" w:w="5100"/>
            <w:vAlign w:val="center"/>
          </w:tcPr>
          <w:p>
            <w:pPr>
              <w:bidi/>
              <w:jc w:val="right"/>
            </w:pPr>
            <w:r/>
            <w:r>
              <w:rPr>
                <w:rFonts w:ascii="Noto Sans Hebrew" w:hAnsi="Noto Sans Hebrew" w:eastAsia="Noto Sans Hebrew" w:cs="Noto Sans Hebrew"/>
                <w:b w:val="0"/>
                <w:sz w:val="19"/>
              </w:rPr>
              <w:t>צמיחת ‪FCF‬ לאורך זמן</w:t>
            </w:r>
          </w:p>
        </w:tc>
        <w:tc>
          <w:tcPr>
            <w:tcW w:type="dxa" w:w="5100"/>
            <w:vAlign w:val="center"/>
          </w:tcPr>
          <w:p>
            <w:pPr>
              <w:jc w:val="left"/>
            </w:pPr>
            <w:r/>
            <w:r>
              <w:rPr>
                <w:rFonts w:ascii="Aptos" w:hAnsi="Aptos" w:eastAsia="Aptos" w:cs="Aptos"/>
                <w:b w:val="0"/>
                <w:sz w:val="19"/>
              </w:rPr>
              <w:t>3</w:t>
            </w:r>
          </w:p>
        </w:tc>
      </w:tr>
      <w:tr>
        <w:tc>
          <w:tcPr>
            <w:tcW w:type="dxa" w:w="5100"/>
            <w:vAlign w:val="center"/>
          </w:tcPr>
          <w:p>
            <w:pPr>
              <w:bidi/>
              <w:jc w:val="right"/>
            </w:pPr>
            <w:r/>
            <w:r>
              <w:rPr>
                <w:rFonts w:ascii="Noto Sans Hebrew" w:hAnsi="Noto Sans Hebrew" w:eastAsia="Noto Sans Hebrew" w:cs="Noto Sans Hebrew"/>
                <w:b w:val="0"/>
                <w:sz w:val="19"/>
              </w:rPr>
              <w:t>הצמיחה אינה דורשת חוב מוגזם</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שמירה על מרווחים תוך כדי צמיחה</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הצמיחה נראית ברת קיימא קדימה</w:t>
            </w:r>
          </w:p>
        </w:tc>
        <w:tc>
          <w:tcPr>
            <w:tcW w:type="dxa" w:w="5100"/>
            <w:vAlign w:val="center"/>
          </w:tcPr>
          <w:p>
            <w:pPr>
              <w:jc w:val="left"/>
            </w:pPr>
            <w:r/>
            <w:r>
              <w:rPr>
                <w:rFonts w:ascii="Aptos" w:hAnsi="Aptos" w:eastAsia="Aptos" w:cs="Aptos"/>
                <w:b w:val="0"/>
                <w:sz w:val="19"/>
              </w:rPr>
              <w:t>2</w:t>
            </w:r>
          </w:p>
        </w:tc>
      </w:tr>
    </w:tbl>
    <w:p/>
    <w:p>
      <w:pPr>
        <w:spacing w:before="40" w:after="160"/>
        <w:ind w:left="340"/>
        <w:jc w:val="left"/>
      </w:pPr>
      <w:r>
        <w:rPr>
          <w:rFonts w:ascii="DejaVu Sans Mono" w:hAnsi="DejaVu Sans Mono" w:eastAsia="DejaVu Sans Mono" w:cs="DejaVu Sans Mono"/>
          <w:b/>
          <w:sz w:val="20"/>
        </w:rPr>
        <w:t>CAGR = (Final Value / Initial Value)^(1/n) − 1</w:t>
      </w:r>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אין צמיחה או שהצמיחה פוגעת ברווחיות ותזרים</w:t>
            </w:r>
          </w:p>
        </w:tc>
        <w:tc>
          <w:tcPr>
            <w:tcW w:type="dxa" w:w="5100"/>
            <w:vAlign w:val="center"/>
          </w:tcPr>
          <w:p>
            <w:pPr>
              <w:jc w:val="left"/>
            </w:pPr>
            <w:r/>
            <w:r>
              <w:rPr>
                <w:rFonts w:ascii="Aptos" w:hAnsi="Aptos" w:eastAsia="Aptos" w:cs="Aptos"/>
                <w:b w:val="0"/>
                <w:sz w:val="19"/>
              </w:rPr>
              <w:t>0–5</w:t>
            </w:r>
          </w:p>
        </w:tc>
      </w:tr>
      <w:tr>
        <w:tc>
          <w:tcPr>
            <w:tcW w:type="dxa" w:w="5100"/>
            <w:vAlign w:val="center"/>
          </w:tcPr>
          <w:p>
            <w:pPr>
              <w:bidi/>
              <w:jc w:val="right"/>
            </w:pPr>
            <w:r/>
            <w:r>
              <w:rPr>
                <w:rFonts w:ascii="Noto Sans Hebrew" w:hAnsi="Noto Sans Hebrew" w:eastAsia="Noto Sans Hebrew" w:cs="Noto Sans Hebrew"/>
                <w:b w:val="0"/>
                <w:sz w:val="19"/>
              </w:rPr>
              <w:t>צמיחה קיימת אך תנודתית או ממונפת</w:t>
            </w:r>
          </w:p>
        </w:tc>
        <w:tc>
          <w:tcPr>
            <w:tcW w:type="dxa" w:w="5100"/>
            <w:vAlign w:val="center"/>
          </w:tcPr>
          <w:p>
            <w:pPr>
              <w:jc w:val="left"/>
            </w:pPr>
            <w:r/>
            <w:r>
              <w:rPr>
                <w:rFonts w:ascii="Aptos" w:hAnsi="Aptos" w:eastAsia="Aptos" w:cs="Aptos"/>
                <w:b w:val="0"/>
                <w:sz w:val="19"/>
              </w:rPr>
              <w:t>6–10</w:t>
            </w:r>
          </w:p>
        </w:tc>
      </w:tr>
      <w:tr>
        <w:tc>
          <w:tcPr>
            <w:tcW w:type="dxa" w:w="5100"/>
            <w:vAlign w:val="center"/>
          </w:tcPr>
          <w:p>
            <w:pPr>
              <w:bidi/>
              <w:jc w:val="right"/>
            </w:pPr>
            <w:r/>
            <w:r>
              <w:rPr>
                <w:rFonts w:ascii="Noto Sans Hebrew" w:hAnsi="Noto Sans Hebrew" w:eastAsia="Noto Sans Hebrew" w:cs="Noto Sans Hebrew"/>
                <w:b w:val="0"/>
                <w:sz w:val="19"/>
              </w:rPr>
              <w:t>צמיחה יציבה, רווחית וללא חוב מוגזם</w:t>
            </w:r>
          </w:p>
        </w:tc>
        <w:tc>
          <w:tcPr>
            <w:tcW w:type="dxa" w:w="5100"/>
            <w:vAlign w:val="center"/>
          </w:tcPr>
          <w:p>
            <w:pPr>
              <w:jc w:val="left"/>
            </w:pPr>
            <w:r/>
            <w:r>
              <w:rPr>
                <w:rFonts w:ascii="Aptos" w:hAnsi="Aptos" w:eastAsia="Aptos" w:cs="Aptos"/>
                <w:b w:val="0"/>
                <w:sz w:val="19"/>
              </w:rPr>
              <w:t>11–15</w:t>
            </w:r>
          </w:p>
        </w:tc>
      </w:tr>
    </w:tbl>
    <w:p/>
    <w:p>
      <w:pPr>
        <w:pStyle w:val="Heading2"/>
        <w:bidi/>
        <w:spacing w:before="200" w:after="120"/>
        <w:jc w:val="right"/>
      </w:pPr>
      <w:r>
        <w:rPr>
          <w:rFonts w:ascii="Noto Sans Hebrew" w:hAnsi="Noto Sans Hebrew" w:eastAsia="Noto Sans Hebrew" w:cs="Noto Sans Hebrew"/>
          <w:b/>
          <w:color w:val="1F4E79"/>
          <w:sz w:val="26"/>
        </w:rPr>
        <w:t>‪4.‬ סיכום מדד איכות עסקית</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ציון איכות</w:t>
            </w:r>
          </w:p>
        </w:tc>
        <w:tc>
          <w:tcPr>
            <w:tcW w:type="dxa" w:w="5100"/>
            <w:vAlign w:val="center"/>
            <w:shd w:fill="D9EAF7"/>
          </w:tcPr>
          <w:p>
            <w:pPr>
              <w:bidi/>
              <w:jc w:val="right"/>
            </w:pPr>
            <w:r/>
            <w:r>
              <w:rPr>
                <w:rFonts w:ascii="Noto Sans Hebrew" w:hAnsi="Noto Sans Hebrew" w:eastAsia="Noto Sans Hebrew" w:cs="Noto Sans Hebrew"/>
                <w:b/>
                <w:sz w:val="19"/>
              </w:rPr>
              <w:t>משמעות</w:t>
            </w:r>
          </w:p>
        </w:tc>
      </w:tr>
      <w:tr>
        <w:tc>
          <w:tcPr>
            <w:tcW w:type="dxa" w:w="5100"/>
            <w:vAlign w:val="center"/>
          </w:tcPr>
          <w:p>
            <w:pPr>
              <w:jc w:val="left"/>
            </w:pPr>
            <w:r/>
            <w:r>
              <w:rPr>
                <w:rFonts w:ascii="Aptos" w:hAnsi="Aptos" w:eastAsia="Aptos" w:cs="Aptos"/>
                <w:b w:val="0"/>
                <w:sz w:val="19"/>
              </w:rPr>
              <w:t>85–100</w:t>
            </w:r>
          </w:p>
        </w:tc>
        <w:tc>
          <w:tcPr>
            <w:tcW w:type="dxa" w:w="5100"/>
            <w:vAlign w:val="center"/>
          </w:tcPr>
          <w:p>
            <w:pPr>
              <w:bidi/>
              <w:jc w:val="right"/>
            </w:pPr>
            <w:r/>
            <w:r>
              <w:rPr>
                <w:rFonts w:ascii="Noto Sans Hebrew" w:hAnsi="Noto Sans Hebrew" w:eastAsia="Noto Sans Hebrew" w:cs="Noto Sans Hebrew"/>
                <w:b w:val="0"/>
                <w:sz w:val="19"/>
              </w:rPr>
              <w:t>חברה איכותית מאוד, מתאימה מאוד לגישת באפט</w:t>
            </w:r>
          </w:p>
        </w:tc>
      </w:tr>
      <w:tr>
        <w:tc>
          <w:tcPr>
            <w:tcW w:type="dxa" w:w="5100"/>
            <w:vAlign w:val="center"/>
          </w:tcPr>
          <w:p>
            <w:pPr>
              <w:jc w:val="left"/>
            </w:pPr>
            <w:r/>
            <w:r>
              <w:rPr>
                <w:rFonts w:ascii="Aptos" w:hAnsi="Aptos" w:eastAsia="Aptos" w:cs="Aptos"/>
                <w:b w:val="0"/>
                <w:sz w:val="19"/>
              </w:rPr>
              <w:t>70–84</w:t>
            </w:r>
          </w:p>
        </w:tc>
        <w:tc>
          <w:tcPr>
            <w:tcW w:type="dxa" w:w="5100"/>
            <w:vAlign w:val="center"/>
          </w:tcPr>
          <w:p>
            <w:pPr>
              <w:bidi/>
              <w:jc w:val="right"/>
            </w:pPr>
            <w:r/>
            <w:r>
              <w:rPr>
                <w:rFonts w:ascii="Noto Sans Hebrew" w:hAnsi="Noto Sans Hebrew" w:eastAsia="Noto Sans Hebrew" w:cs="Noto Sans Hebrew"/>
                <w:b w:val="0"/>
                <w:sz w:val="19"/>
              </w:rPr>
              <w:t>חברה טובה, אך יש לבדוק חולשות וסיכונים</w:t>
            </w:r>
          </w:p>
        </w:tc>
      </w:tr>
      <w:tr>
        <w:tc>
          <w:tcPr>
            <w:tcW w:type="dxa" w:w="5100"/>
            <w:vAlign w:val="center"/>
          </w:tcPr>
          <w:p>
            <w:pPr>
              <w:jc w:val="left"/>
            </w:pPr>
            <w:r/>
            <w:r>
              <w:rPr>
                <w:rFonts w:ascii="Aptos" w:hAnsi="Aptos" w:eastAsia="Aptos" w:cs="Aptos"/>
                <w:b w:val="0"/>
                <w:sz w:val="19"/>
              </w:rPr>
              <w:t>55–69</w:t>
            </w:r>
          </w:p>
        </w:tc>
        <w:tc>
          <w:tcPr>
            <w:tcW w:type="dxa" w:w="5100"/>
            <w:vAlign w:val="center"/>
          </w:tcPr>
          <w:p>
            <w:pPr>
              <w:bidi/>
              <w:jc w:val="right"/>
            </w:pPr>
            <w:r/>
            <w:r>
              <w:rPr>
                <w:rFonts w:ascii="Noto Sans Hebrew" w:hAnsi="Noto Sans Hebrew" w:eastAsia="Noto Sans Hebrew" w:cs="Noto Sans Hebrew"/>
                <w:b w:val="0"/>
                <w:sz w:val="19"/>
              </w:rPr>
              <w:t>חברה סבירה, לא מספיק חזקה בסגנון באפט</w:t>
            </w:r>
          </w:p>
        </w:tc>
      </w:tr>
      <w:tr>
        <w:tc>
          <w:tcPr>
            <w:tcW w:type="dxa" w:w="5100"/>
            <w:vAlign w:val="center"/>
          </w:tcPr>
          <w:p>
            <w:pPr>
              <w:bidi/>
              <w:jc w:val="right"/>
            </w:pPr>
            <w:r/>
            <w:r>
              <w:rPr>
                <w:rFonts w:ascii="Noto Sans Hebrew" w:hAnsi="Noto Sans Hebrew" w:eastAsia="Noto Sans Hebrew" w:cs="Noto Sans Hebrew"/>
                <w:b w:val="0"/>
                <w:sz w:val="19"/>
              </w:rPr>
              <w:t>מתחת לחמישים וחמש</w:t>
            </w:r>
          </w:p>
        </w:tc>
        <w:tc>
          <w:tcPr>
            <w:tcW w:type="dxa" w:w="5100"/>
            <w:vAlign w:val="center"/>
          </w:tcPr>
          <w:p>
            <w:pPr>
              <w:bidi/>
              <w:jc w:val="right"/>
            </w:pPr>
            <w:r/>
            <w:r>
              <w:rPr>
                <w:rFonts w:ascii="Noto Sans Hebrew" w:hAnsi="Noto Sans Hebrew" w:eastAsia="Noto Sans Hebrew" w:cs="Noto Sans Hebrew"/>
                <w:b w:val="0"/>
                <w:sz w:val="19"/>
              </w:rPr>
              <w:t>החברה כנראה לא מתאימה לגישת באפט</w:t>
            </w:r>
          </w:p>
        </w:tc>
      </w:tr>
    </w:tbl>
    <w:p/>
    <w:p>
      <w:pPr>
        <w:bidi/>
        <w:spacing w:after="120" w:line="259" w:lineRule="auto"/>
        <w:jc w:val="right"/>
      </w:pPr>
      <w:r>
        <w:rPr>
          <w:rFonts w:ascii="Noto Sans Hebrew" w:hAnsi="Noto Sans Hebrew" w:eastAsia="Noto Sans Hebrew" w:cs="Noto Sans Hebrew"/>
          <w:b w:val="0"/>
          <w:i w:val="0"/>
          <w:sz w:val="22"/>
        </w:rPr>
        <w:t>ציון איכות גבוה אומר שהחברה עצמה איכותית. הוא אינו אומר בהכרח שכדאי לקנות את המניה עכשיו. לצורך החלטת השקעה חייבים לבדוק גם את מחיר המניה ביחס לשווי הפנימי שלה.</w:t>
      </w:r>
    </w:p>
    <w:p>
      <w:pPr>
        <w:pStyle w:val="Heading2"/>
        <w:bidi/>
        <w:spacing w:before="200" w:after="120"/>
        <w:jc w:val="right"/>
      </w:pPr>
      <w:r>
        <w:rPr>
          <w:rFonts w:ascii="Noto Sans Hebrew" w:hAnsi="Noto Sans Hebrew" w:eastAsia="Noto Sans Hebrew" w:cs="Noto Sans Hebrew"/>
          <w:b/>
          <w:color w:val="1F4E79"/>
          <w:sz w:val="26"/>
        </w:rPr>
        <w:t>‪5.‬ הסבר מדד מחיר המניה ביחס לשווי שלה</w:t>
      </w:r>
    </w:p>
    <w:p>
      <w:pPr>
        <w:bidi/>
        <w:spacing w:after="120" w:line="259" w:lineRule="auto"/>
        <w:jc w:val="right"/>
      </w:pPr>
      <w:r>
        <w:rPr>
          <w:rFonts w:ascii="Noto Sans Hebrew" w:hAnsi="Noto Sans Hebrew" w:eastAsia="Noto Sans Hebrew" w:cs="Noto Sans Hebrew"/>
          <w:b w:val="0"/>
          <w:i w:val="0"/>
          <w:sz w:val="22"/>
        </w:rPr>
        <w:t>מדד המחיר בודק האם מחיר המניה הנוכחי נמוך, הוגן או גבוה ביחס לשווי הפנימי של החברה. המדד כולל הצגה באחוזים וניקוד מתוך עשר נקודות.</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נתון</w:t>
            </w:r>
          </w:p>
        </w:tc>
        <w:tc>
          <w:tcPr>
            <w:tcW w:type="dxa" w:w="5100"/>
            <w:vAlign w:val="center"/>
            <w:shd w:fill="D9EAF7"/>
          </w:tcPr>
          <w:p>
            <w:pPr>
              <w:bidi/>
              <w:jc w:val="right"/>
            </w:pPr>
            <w:r/>
            <w:r>
              <w:rPr>
                <w:rFonts w:ascii="Noto Sans Hebrew" w:hAnsi="Noto Sans Hebrew" w:eastAsia="Noto Sans Hebrew" w:cs="Noto Sans Hebrew"/>
                <w:b/>
                <w:sz w:val="19"/>
              </w:rPr>
              <w:t>הסבר</w:t>
            </w:r>
          </w:p>
        </w:tc>
      </w:tr>
      <w:tr>
        <w:tc>
          <w:tcPr>
            <w:tcW w:type="dxa" w:w="5100"/>
            <w:vAlign w:val="center"/>
          </w:tcPr>
          <w:p>
            <w:pPr>
              <w:jc w:val="left"/>
            </w:pPr>
            <w:r/>
            <w:r>
              <w:rPr>
                <w:rFonts w:ascii="Aptos" w:hAnsi="Aptos" w:eastAsia="Aptos" w:cs="Aptos"/>
                <w:b w:val="0"/>
                <w:sz w:val="19"/>
              </w:rPr>
              <w:t>Current Price</w:t>
            </w:r>
          </w:p>
        </w:tc>
        <w:tc>
          <w:tcPr>
            <w:tcW w:type="dxa" w:w="5100"/>
            <w:vAlign w:val="center"/>
          </w:tcPr>
          <w:p>
            <w:pPr>
              <w:bidi/>
              <w:jc w:val="right"/>
            </w:pPr>
            <w:r/>
            <w:r>
              <w:rPr>
                <w:rFonts w:ascii="Noto Sans Hebrew" w:hAnsi="Noto Sans Hebrew" w:eastAsia="Noto Sans Hebrew" w:cs="Noto Sans Hebrew"/>
                <w:b w:val="0"/>
                <w:sz w:val="19"/>
              </w:rPr>
              <w:t>מחיר המניה היום</w:t>
            </w:r>
          </w:p>
        </w:tc>
      </w:tr>
      <w:tr>
        <w:tc>
          <w:tcPr>
            <w:tcW w:type="dxa" w:w="5100"/>
            <w:vAlign w:val="center"/>
          </w:tcPr>
          <w:p>
            <w:pPr>
              <w:jc w:val="left"/>
            </w:pPr>
            <w:r/>
            <w:r>
              <w:rPr>
                <w:rFonts w:ascii="Aptos" w:hAnsi="Aptos" w:eastAsia="Aptos" w:cs="Aptos"/>
                <w:b w:val="0"/>
                <w:sz w:val="19"/>
              </w:rPr>
              <w:t>Fair Value</w:t>
            </w:r>
          </w:p>
        </w:tc>
        <w:tc>
          <w:tcPr>
            <w:tcW w:type="dxa" w:w="5100"/>
            <w:vAlign w:val="center"/>
          </w:tcPr>
          <w:p>
            <w:pPr>
              <w:bidi/>
              <w:jc w:val="right"/>
            </w:pPr>
            <w:r/>
            <w:r>
              <w:rPr>
                <w:rFonts w:ascii="Noto Sans Hebrew" w:hAnsi="Noto Sans Hebrew" w:eastAsia="Noto Sans Hebrew" w:cs="Noto Sans Hebrew"/>
                <w:b w:val="0"/>
                <w:sz w:val="19"/>
              </w:rPr>
              <w:t>השווי ההוגן שחושב למניה</w:t>
            </w:r>
          </w:p>
        </w:tc>
      </w:tr>
      <w:tr>
        <w:tc>
          <w:tcPr>
            <w:tcW w:type="dxa" w:w="5100"/>
            <w:vAlign w:val="center"/>
          </w:tcPr>
          <w:p>
            <w:pPr>
              <w:jc w:val="left"/>
            </w:pPr>
            <w:r/>
            <w:r>
              <w:rPr>
                <w:rFonts w:ascii="Aptos" w:hAnsi="Aptos" w:eastAsia="Aptos" w:cs="Aptos"/>
                <w:b w:val="0"/>
                <w:sz w:val="19"/>
              </w:rPr>
              <w:t>Margin of Safety</w:t>
            </w:r>
          </w:p>
        </w:tc>
        <w:tc>
          <w:tcPr>
            <w:tcW w:type="dxa" w:w="5100"/>
            <w:vAlign w:val="center"/>
          </w:tcPr>
          <w:p>
            <w:pPr>
              <w:bidi/>
              <w:jc w:val="right"/>
            </w:pPr>
            <w:r/>
            <w:r>
              <w:rPr>
                <w:rFonts w:ascii="Noto Sans Hebrew" w:hAnsi="Noto Sans Hebrew" w:eastAsia="Noto Sans Hebrew" w:cs="Noto Sans Hebrew"/>
                <w:b w:val="0"/>
                <w:sz w:val="19"/>
              </w:rPr>
              <w:t>שיעור ההנחה ביחס לשווי</w:t>
            </w:r>
          </w:p>
        </w:tc>
      </w:tr>
      <w:tr>
        <w:tc>
          <w:tcPr>
            <w:tcW w:type="dxa" w:w="5100"/>
            <w:vAlign w:val="center"/>
          </w:tcPr>
          <w:p>
            <w:pPr>
              <w:jc w:val="left"/>
            </w:pPr>
            <w:r/>
            <w:r>
              <w:rPr>
                <w:rFonts w:ascii="Aptos" w:hAnsi="Aptos" w:eastAsia="Aptos" w:cs="Aptos"/>
                <w:b w:val="0"/>
                <w:sz w:val="19"/>
              </w:rPr>
              <w:t>Upside / Downside</w:t>
            </w:r>
          </w:p>
        </w:tc>
        <w:tc>
          <w:tcPr>
            <w:tcW w:type="dxa" w:w="5100"/>
            <w:vAlign w:val="center"/>
          </w:tcPr>
          <w:p>
            <w:pPr>
              <w:bidi/>
              <w:jc w:val="right"/>
            </w:pPr>
            <w:r/>
            <w:r>
              <w:rPr>
                <w:rFonts w:ascii="Noto Sans Hebrew" w:hAnsi="Noto Sans Hebrew" w:eastAsia="Noto Sans Hebrew" w:cs="Noto Sans Hebrew"/>
                <w:b w:val="0"/>
                <w:sz w:val="19"/>
              </w:rPr>
              <w:t>פוטנציאל העלייה או הירידה למחיר ההוגן</w:t>
            </w:r>
          </w:p>
        </w:tc>
      </w:tr>
    </w:tbl>
    <w:p/>
    <w:p>
      <w:pPr>
        <w:pStyle w:val="Heading2"/>
        <w:bidi/>
        <w:spacing w:before="200" w:after="120"/>
        <w:jc w:val="right"/>
      </w:pPr>
      <w:r>
        <w:rPr>
          <w:rFonts w:ascii="Noto Sans Hebrew" w:hAnsi="Noto Sans Hebrew" w:eastAsia="Noto Sans Hebrew" w:cs="Noto Sans Hebrew"/>
          <w:b/>
          <w:color w:val="1F4E79"/>
          <w:sz w:val="26"/>
        </w:rPr>
        <w:t>‪6.‬ חישוב אם המניה זולה או יקרה</w:t>
      </w:r>
    </w:p>
    <w:p>
      <w:pPr>
        <w:bidi/>
        <w:spacing w:after="120" w:line="259" w:lineRule="auto"/>
        <w:jc w:val="right"/>
      </w:pPr>
      <w:r>
        <w:rPr>
          <w:rFonts w:ascii="Noto Sans Hebrew" w:hAnsi="Noto Sans Hebrew" w:eastAsia="Noto Sans Hebrew" w:cs="Noto Sans Hebrew"/>
          <w:b w:val="0"/>
          <w:i w:val="0"/>
          <w:sz w:val="22"/>
        </w:rPr>
        <w:t>בגישה בסגנון באפט, השווי הפנימי מבוסס על תזרימי המזומנים העתידיים של החברה.</w:t>
      </w:r>
    </w:p>
    <w:p>
      <w:pPr>
        <w:spacing w:before="40" w:after="160"/>
        <w:ind w:left="340"/>
        <w:jc w:val="left"/>
      </w:pPr>
      <w:r>
        <w:rPr>
          <w:rFonts w:ascii="DejaVu Sans Mono" w:hAnsi="DejaVu Sans Mono" w:eastAsia="DejaVu Sans Mono" w:cs="DejaVu Sans Mono"/>
          <w:b/>
          <w:sz w:val="20"/>
        </w:rPr>
        <w:t>Fair Value Per Share = (PV of Future Owner Earnings + Excess Cash − Debt) / Diluted Shares</w:t>
      </w:r>
    </w:p>
    <w:p>
      <w:pPr>
        <w:bidi/>
        <w:spacing w:after="120" w:line="259" w:lineRule="auto"/>
        <w:jc w:val="right"/>
      </w:pPr>
      <w:r>
        <w:rPr>
          <w:rFonts w:ascii="Noto Sans Hebrew" w:hAnsi="Noto Sans Hebrew" w:eastAsia="Noto Sans Hebrew" w:cs="Noto Sans Hebrew"/>
          <w:b w:val="0"/>
          <w:i w:val="0"/>
          <w:sz w:val="22"/>
        </w:rPr>
        <w:t>אם מחיר המניה נמוך מהשווי ההוגן:</w:t>
      </w:r>
    </w:p>
    <w:p>
      <w:pPr>
        <w:spacing w:before="40" w:after="160"/>
        <w:ind w:left="340"/>
        <w:jc w:val="left"/>
      </w:pPr>
      <w:r>
        <w:rPr>
          <w:rFonts w:ascii="DejaVu Sans Mono" w:hAnsi="DejaVu Sans Mono" w:eastAsia="DejaVu Sans Mono" w:cs="DejaVu Sans Mono"/>
          <w:b/>
          <w:sz w:val="20"/>
        </w:rPr>
        <w:t>Discount to Fair Value = (Fair Value − Current Price) / Fair Value</w:t>
      </w:r>
    </w:p>
    <w:p>
      <w:pPr>
        <w:bidi/>
        <w:spacing w:after="120" w:line="259" w:lineRule="auto"/>
        <w:jc w:val="right"/>
      </w:pPr>
      <w:r>
        <w:rPr>
          <w:rFonts w:ascii="Noto Sans Hebrew" w:hAnsi="Noto Sans Hebrew" w:eastAsia="Noto Sans Hebrew" w:cs="Noto Sans Hebrew"/>
          <w:b w:val="0"/>
          <w:i w:val="0"/>
          <w:sz w:val="22"/>
        </w:rPr>
        <w:t>אם מחיר המניה גבוה מהשווי ההוגן:</w:t>
      </w:r>
    </w:p>
    <w:p>
      <w:pPr>
        <w:spacing w:before="40" w:after="160"/>
        <w:ind w:left="340"/>
        <w:jc w:val="left"/>
      </w:pPr>
      <w:r>
        <w:rPr>
          <w:rFonts w:ascii="DejaVu Sans Mono" w:hAnsi="DejaVu Sans Mono" w:eastAsia="DejaVu Sans Mono" w:cs="DejaVu Sans Mono"/>
          <w:b/>
          <w:sz w:val="20"/>
        </w:rPr>
        <w:t>Premium to Fair Value = (Current Price − Fair Value) / Fair Value</w:t>
      </w:r>
    </w:p>
    <w:p>
      <w:pPr>
        <w:bidi/>
        <w:spacing w:after="120" w:line="259" w:lineRule="auto"/>
        <w:jc w:val="right"/>
      </w:pPr>
      <w:r>
        <w:rPr>
          <w:rFonts w:ascii="Noto Sans Hebrew" w:hAnsi="Noto Sans Hebrew" w:eastAsia="Noto Sans Hebrew" w:cs="Noto Sans Hebrew"/>
          <w:b w:val="0"/>
          <w:i w:val="0"/>
          <w:sz w:val="22"/>
        </w:rPr>
        <w:t>אפסייד מודד בכמה המניה צריכה לעלות כדי להגיע לשווי ההוגן:</w:t>
      </w:r>
    </w:p>
    <w:p>
      <w:pPr>
        <w:spacing w:before="40" w:after="160"/>
        <w:ind w:left="340"/>
        <w:jc w:val="left"/>
      </w:pPr>
      <w:r>
        <w:rPr>
          <w:rFonts w:ascii="DejaVu Sans Mono" w:hAnsi="DejaVu Sans Mono" w:eastAsia="DejaVu Sans Mono" w:cs="DejaVu Sans Mono"/>
          <w:b/>
          <w:sz w:val="20"/>
        </w:rPr>
        <w:t>Upside = (Fair Value − Current Price) / Current Price</w:t>
      </w:r>
    </w:p>
    <w:p>
      <w:pPr>
        <w:pStyle w:val="Heading2"/>
        <w:bidi/>
        <w:spacing w:before="200" w:after="120"/>
        <w:jc w:val="right"/>
      </w:pPr>
      <w:r>
        <w:rPr>
          <w:rFonts w:ascii="Noto Sans Hebrew" w:hAnsi="Noto Sans Hebrew" w:eastAsia="Noto Sans Hebrew" w:cs="Noto Sans Hebrew"/>
          <w:b/>
          <w:color w:val="1F4E79"/>
          <w:sz w:val="26"/>
        </w:rPr>
        <w:t>‪7.‬ ניקוד המחיר במדד באפט</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bidi/>
              <w:jc w:val="right"/>
            </w:pPr>
            <w:r/>
            <w:r>
              <w:rPr>
                <w:rFonts w:ascii="Noto Sans Hebrew" w:hAnsi="Noto Sans Hebrew" w:eastAsia="Noto Sans Hebrew" w:cs="Noto Sans Hebrew"/>
                <w:b/>
                <w:sz w:val="19"/>
              </w:rPr>
              <w:t>מצב המניה ביחס לשווי</w:t>
            </w:r>
          </w:p>
        </w:tc>
        <w:tc>
          <w:tcPr>
            <w:tcW w:type="dxa" w:w="3400"/>
            <w:vAlign w:val="center"/>
            <w:shd w:fill="D9EAF7"/>
          </w:tcPr>
          <w:p>
            <w:pPr>
              <w:bidi/>
              <w:jc w:val="right"/>
            </w:pPr>
            <w:r/>
            <w:r>
              <w:rPr>
                <w:rFonts w:ascii="Noto Sans Hebrew" w:hAnsi="Noto Sans Hebrew" w:eastAsia="Noto Sans Hebrew" w:cs="Noto Sans Hebrew"/>
                <w:b/>
                <w:sz w:val="19"/>
              </w:rPr>
              <w:t>מרווח ביטחון</w:t>
            </w:r>
          </w:p>
        </w:tc>
        <w:tc>
          <w:tcPr>
            <w:tcW w:type="dxa" w:w="3400"/>
            <w:vAlign w:val="center"/>
            <w:shd w:fill="D9EAF7"/>
          </w:tcPr>
          <w:p>
            <w:pPr>
              <w:bidi/>
              <w:jc w:val="right"/>
            </w:pPr>
            <w:r/>
            <w:r>
              <w:rPr>
                <w:rFonts w:ascii="Noto Sans Hebrew" w:hAnsi="Noto Sans Hebrew" w:eastAsia="Noto Sans Hebrew" w:cs="Noto Sans Hebrew"/>
                <w:b/>
                <w:sz w:val="19"/>
              </w:rPr>
              <w:t>ניקוד מחיר</w:t>
            </w:r>
          </w:p>
        </w:tc>
      </w:tr>
      <w:tr>
        <w:tc>
          <w:tcPr>
            <w:tcW w:type="dxa" w:w="3400"/>
            <w:vAlign w:val="center"/>
          </w:tcPr>
          <w:p>
            <w:pPr>
              <w:bidi/>
              <w:jc w:val="right"/>
            </w:pPr>
            <w:r/>
            <w:r>
              <w:rPr>
                <w:rFonts w:ascii="Noto Sans Hebrew" w:hAnsi="Noto Sans Hebrew" w:eastAsia="Noto Sans Hebrew" w:cs="Noto Sans Hebrew"/>
                <w:b w:val="0"/>
                <w:sz w:val="19"/>
              </w:rPr>
              <w:t>יקרה משמעותית</w:t>
            </w:r>
          </w:p>
        </w:tc>
        <w:tc>
          <w:tcPr>
            <w:tcW w:type="dxa" w:w="3400"/>
            <w:vAlign w:val="center"/>
          </w:tcPr>
          <w:p>
            <w:pPr>
              <w:bidi/>
              <w:jc w:val="right"/>
            </w:pPr>
            <w:r/>
            <w:r>
              <w:rPr>
                <w:rFonts w:ascii="Noto Sans Hebrew" w:hAnsi="Noto Sans Hebrew" w:eastAsia="Noto Sans Hebrew" w:cs="Noto Sans Hebrew"/>
                <w:b w:val="0"/>
                <w:sz w:val="19"/>
              </w:rPr>
              <w:t>יקרה ביותר מעשרים אחוז</w:t>
            </w:r>
          </w:p>
        </w:tc>
        <w:tc>
          <w:tcPr>
            <w:tcW w:type="dxa" w:w="3400"/>
            <w:vAlign w:val="center"/>
          </w:tcPr>
          <w:p>
            <w:pPr>
              <w:jc w:val="left"/>
            </w:pPr>
            <w:r/>
            <w:r>
              <w:rPr>
                <w:rFonts w:ascii="Aptos" w:hAnsi="Aptos" w:eastAsia="Aptos" w:cs="Aptos"/>
                <w:b w:val="0"/>
                <w:sz w:val="19"/>
              </w:rPr>
              <w:t>0</w:t>
            </w:r>
          </w:p>
        </w:tc>
      </w:tr>
      <w:tr>
        <w:tc>
          <w:tcPr>
            <w:tcW w:type="dxa" w:w="3400"/>
            <w:vAlign w:val="center"/>
          </w:tcPr>
          <w:p>
            <w:pPr>
              <w:bidi/>
              <w:jc w:val="right"/>
            </w:pPr>
            <w:r/>
            <w:r>
              <w:rPr>
                <w:rFonts w:ascii="Noto Sans Hebrew" w:hAnsi="Noto Sans Hebrew" w:eastAsia="Noto Sans Hebrew" w:cs="Noto Sans Hebrew"/>
                <w:b w:val="0"/>
                <w:sz w:val="19"/>
              </w:rPr>
              <w:t>יקרה</w:t>
            </w:r>
          </w:p>
        </w:tc>
        <w:tc>
          <w:tcPr>
            <w:tcW w:type="dxa" w:w="3400"/>
            <w:vAlign w:val="center"/>
          </w:tcPr>
          <w:p>
            <w:pPr>
              <w:bidi/>
              <w:jc w:val="right"/>
            </w:pPr>
            <w:r/>
            <w:r>
              <w:rPr>
                <w:rFonts w:ascii="Noto Sans Hebrew" w:hAnsi="Noto Sans Hebrew" w:eastAsia="Noto Sans Hebrew" w:cs="Noto Sans Hebrew"/>
                <w:b w:val="0"/>
                <w:sz w:val="19"/>
              </w:rPr>
              <w:t>יקרה באפס עד עשרים אחוז</w:t>
            </w:r>
          </w:p>
        </w:tc>
        <w:tc>
          <w:tcPr>
            <w:tcW w:type="dxa" w:w="3400"/>
            <w:vAlign w:val="center"/>
          </w:tcPr>
          <w:p>
            <w:pPr>
              <w:jc w:val="left"/>
            </w:pPr>
            <w:r/>
            <w:r>
              <w:rPr>
                <w:rFonts w:ascii="Aptos" w:hAnsi="Aptos" w:eastAsia="Aptos" w:cs="Aptos"/>
                <w:b w:val="0"/>
                <w:sz w:val="19"/>
              </w:rPr>
              <w:t>1–2</w:t>
            </w:r>
          </w:p>
        </w:tc>
      </w:tr>
      <w:tr>
        <w:tc>
          <w:tcPr>
            <w:tcW w:type="dxa" w:w="3400"/>
            <w:vAlign w:val="center"/>
          </w:tcPr>
          <w:p>
            <w:pPr>
              <w:bidi/>
              <w:jc w:val="right"/>
            </w:pPr>
            <w:r/>
            <w:r>
              <w:rPr>
                <w:rFonts w:ascii="Noto Sans Hebrew" w:hAnsi="Noto Sans Hebrew" w:eastAsia="Noto Sans Hebrew" w:cs="Noto Sans Hebrew"/>
                <w:b w:val="0"/>
                <w:sz w:val="19"/>
              </w:rPr>
              <w:t>קרובה לשווי ההוגן</w:t>
            </w:r>
          </w:p>
        </w:tc>
        <w:tc>
          <w:tcPr>
            <w:tcW w:type="dxa" w:w="3400"/>
            <w:vAlign w:val="center"/>
          </w:tcPr>
          <w:p>
            <w:pPr>
              <w:bidi/>
              <w:jc w:val="right"/>
            </w:pPr>
            <w:r/>
            <w:r>
              <w:rPr>
                <w:rFonts w:ascii="Noto Sans Hebrew" w:hAnsi="Noto Sans Hebrew" w:eastAsia="Noto Sans Hebrew" w:cs="Noto Sans Hebrew"/>
                <w:b w:val="0"/>
                <w:sz w:val="19"/>
              </w:rPr>
              <w:t>אפס עד עשר אחוז הנחה</w:t>
            </w:r>
          </w:p>
        </w:tc>
        <w:tc>
          <w:tcPr>
            <w:tcW w:type="dxa" w:w="3400"/>
            <w:vAlign w:val="center"/>
          </w:tcPr>
          <w:p>
            <w:pPr>
              <w:jc w:val="left"/>
            </w:pPr>
            <w:r/>
            <w:r>
              <w:rPr>
                <w:rFonts w:ascii="Aptos" w:hAnsi="Aptos" w:eastAsia="Aptos" w:cs="Aptos"/>
                <w:b w:val="0"/>
                <w:sz w:val="19"/>
              </w:rPr>
              <w:t>3–4</w:t>
            </w:r>
          </w:p>
        </w:tc>
      </w:tr>
      <w:tr>
        <w:tc>
          <w:tcPr>
            <w:tcW w:type="dxa" w:w="3400"/>
            <w:vAlign w:val="center"/>
          </w:tcPr>
          <w:p>
            <w:pPr>
              <w:bidi/>
              <w:jc w:val="right"/>
            </w:pPr>
            <w:r/>
            <w:r>
              <w:rPr>
                <w:rFonts w:ascii="Noto Sans Hebrew" w:hAnsi="Noto Sans Hebrew" w:eastAsia="Noto Sans Hebrew" w:cs="Noto Sans Hebrew"/>
                <w:b w:val="0"/>
                <w:sz w:val="19"/>
              </w:rPr>
              <w:t>זולה במידה סבירה</w:t>
            </w:r>
          </w:p>
        </w:tc>
        <w:tc>
          <w:tcPr>
            <w:tcW w:type="dxa" w:w="3400"/>
            <w:vAlign w:val="center"/>
          </w:tcPr>
          <w:p>
            <w:pPr>
              <w:bidi/>
              <w:jc w:val="right"/>
            </w:pPr>
            <w:r/>
            <w:r>
              <w:rPr>
                <w:rFonts w:ascii="Noto Sans Hebrew" w:hAnsi="Noto Sans Hebrew" w:eastAsia="Noto Sans Hebrew" w:cs="Noto Sans Hebrew"/>
                <w:b w:val="0"/>
                <w:sz w:val="19"/>
              </w:rPr>
              <w:t>עשר עד עשרים אחוז הנחה</w:t>
            </w:r>
          </w:p>
        </w:tc>
        <w:tc>
          <w:tcPr>
            <w:tcW w:type="dxa" w:w="3400"/>
            <w:vAlign w:val="center"/>
          </w:tcPr>
          <w:p>
            <w:pPr>
              <w:jc w:val="left"/>
            </w:pPr>
            <w:r/>
            <w:r>
              <w:rPr>
                <w:rFonts w:ascii="Aptos" w:hAnsi="Aptos" w:eastAsia="Aptos" w:cs="Aptos"/>
                <w:b w:val="0"/>
                <w:sz w:val="19"/>
              </w:rPr>
              <w:t>5–6</w:t>
            </w:r>
          </w:p>
        </w:tc>
      </w:tr>
      <w:tr>
        <w:tc>
          <w:tcPr>
            <w:tcW w:type="dxa" w:w="3400"/>
            <w:vAlign w:val="center"/>
          </w:tcPr>
          <w:p>
            <w:pPr>
              <w:bidi/>
              <w:jc w:val="right"/>
            </w:pPr>
            <w:r/>
            <w:r>
              <w:rPr>
                <w:rFonts w:ascii="Noto Sans Hebrew" w:hAnsi="Noto Sans Hebrew" w:eastAsia="Noto Sans Hebrew" w:cs="Noto Sans Hebrew"/>
                <w:b w:val="0"/>
                <w:sz w:val="19"/>
              </w:rPr>
              <w:t>זולה ואטרקטיבית</w:t>
            </w:r>
          </w:p>
        </w:tc>
        <w:tc>
          <w:tcPr>
            <w:tcW w:type="dxa" w:w="3400"/>
            <w:vAlign w:val="center"/>
          </w:tcPr>
          <w:p>
            <w:pPr>
              <w:bidi/>
              <w:jc w:val="right"/>
            </w:pPr>
            <w:r/>
            <w:r>
              <w:rPr>
                <w:rFonts w:ascii="Noto Sans Hebrew" w:hAnsi="Noto Sans Hebrew" w:eastAsia="Noto Sans Hebrew" w:cs="Noto Sans Hebrew"/>
                <w:b w:val="0"/>
                <w:sz w:val="19"/>
              </w:rPr>
              <w:t>עשרים עד שלושים אחוז הנחה</w:t>
            </w:r>
          </w:p>
        </w:tc>
        <w:tc>
          <w:tcPr>
            <w:tcW w:type="dxa" w:w="3400"/>
            <w:vAlign w:val="center"/>
          </w:tcPr>
          <w:p>
            <w:pPr>
              <w:jc w:val="left"/>
            </w:pPr>
            <w:r/>
            <w:r>
              <w:rPr>
                <w:rFonts w:ascii="Aptos" w:hAnsi="Aptos" w:eastAsia="Aptos" w:cs="Aptos"/>
                <w:b w:val="0"/>
                <w:sz w:val="19"/>
              </w:rPr>
              <w:t>7–8</w:t>
            </w:r>
          </w:p>
        </w:tc>
      </w:tr>
      <w:tr>
        <w:tc>
          <w:tcPr>
            <w:tcW w:type="dxa" w:w="3400"/>
            <w:vAlign w:val="center"/>
          </w:tcPr>
          <w:p>
            <w:pPr>
              <w:bidi/>
              <w:jc w:val="right"/>
            </w:pPr>
            <w:r/>
            <w:r>
              <w:rPr>
                <w:rFonts w:ascii="Noto Sans Hebrew" w:hAnsi="Noto Sans Hebrew" w:eastAsia="Noto Sans Hebrew" w:cs="Noto Sans Hebrew"/>
                <w:b w:val="0"/>
                <w:sz w:val="19"/>
              </w:rPr>
              <w:t>זולה מאוד</w:t>
            </w:r>
          </w:p>
        </w:tc>
        <w:tc>
          <w:tcPr>
            <w:tcW w:type="dxa" w:w="3400"/>
            <w:vAlign w:val="center"/>
          </w:tcPr>
          <w:p>
            <w:pPr>
              <w:bidi/>
              <w:jc w:val="right"/>
            </w:pPr>
            <w:r/>
            <w:r>
              <w:rPr>
                <w:rFonts w:ascii="Noto Sans Hebrew" w:hAnsi="Noto Sans Hebrew" w:eastAsia="Noto Sans Hebrew" w:cs="Noto Sans Hebrew"/>
                <w:b w:val="0"/>
                <w:sz w:val="19"/>
              </w:rPr>
              <w:t>מעל שלושים אחוז הנחה</w:t>
            </w:r>
          </w:p>
        </w:tc>
        <w:tc>
          <w:tcPr>
            <w:tcW w:type="dxa" w:w="3400"/>
            <w:vAlign w:val="center"/>
          </w:tcPr>
          <w:p>
            <w:pPr>
              <w:jc w:val="left"/>
            </w:pPr>
            <w:r/>
            <w:r>
              <w:rPr>
                <w:rFonts w:ascii="Aptos" w:hAnsi="Aptos" w:eastAsia="Aptos" w:cs="Aptos"/>
                <w:b w:val="0"/>
                <w:sz w:val="19"/>
              </w:rPr>
              <w:t>9–10</w:t>
            </w:r>
          </w:p>
        </w:tc>
      </w:tr>
    </w:tbl>
    <w:p/>
    <w:p>
      <w:pPr>
        <w:pStyle w:val="Heading2"/>
        <w:bidi/>
        <w:spacing w:before="200" w:after="120"/>
        <w:jc w:val="right"/>
      </w:pPr>
      <w:r>
        <w:rPr>
          <w:rFonts w:ascii="Noto Sans Hebrew" w:hAnsi="Noto Sans Hebrew" w:eastAsia="Noto Sans Hebrew" w:cs="Noto Sans Hebrew"/>
          <w:b/>
          <w:color w:val="1F4E79"/>
          <w:sz w:val="26"/>
        </w:rPr>
        <w:t>‪8.‬ קביעת מחיר קנייה רצוי</w:t>
      </w:r>
    </w:p>
    <w:p>
      <w:pPr>
        <w:bidi/>
        <w:spacing w:after="120" w:line="259" w:lineRule="auto"/>
        <w:jc w:val="right"/>
      </w:pPr>
      <w:r>
        <w:rPr>
          <w:rFonts w:ascii="Noto Sans Hebrew" w:hAnsi="Noto Sans Hebrew" w:eastAsia="Noto Sans Hebrew" w:cs="Noto Sans Hebrew"/>
          <w:b w:val="0"/>
          <w:i w:val="0"/>
          <w:sz w:val="22"/>
        </w:rPr>
        <w:t>מחיר קנייה רצוי נקבע לפי השווי ההוגן של המניה ולפי מרווח הביטחון הנדרש.</w:t>
      </w:r>
    </w:p>
    <w:p>
      <w:pPr>
        <w:spacing w:before="40" w:after="160"/>
        <w:ind w:left="340"/>
        <w:jc w:val="left"/>
      </w:pPr>
      <w:r>
        <w:rPr>
          <w:rFonts w:ascii="DejaVu Sans Mono" w:hAnsi="DejaVu Sans Mono" w:eastAsia="DejaVu Sans Mono" w:cs="DejaVu Sans Mono"/>
          <w:b/>
          <w:sz w:val="20"/>
        </w:rPr>
        <w:t>Buy Price = Fair Value × (1 − Required Margin of Safety)</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bidi/>
              <w:jc w:val="right"/>
            </w:pPr>
            <w:r/>
            <w:r>
              <w:rPr>
                <w:rFonts w:ascii="Noto Sans Hebrew" w:hAnsi="Noto Sans Hebrew" w:eastAsia="Noto Sans Hebrew" w:cs="Noto Sans Hebrew"/>
                <w:b/>
                <w:sz w:val="19"/>
              </w:rPr>
              <w:t>ציון איכות באפט</w:t>
            </w:r>
          </w:p>
        </w:tc>
        <w:tc>
          <w:tcPr>
            <w:tcW w:type="dxa" w:w="2550"/>
            <w:vAlign w:val="center"/>
            <w:shd w:fill="D9EAF7"/>
          </w:tcPr>
          <w:p>
            <w:pPr>
              <w:bidi/>
              <w:jc w:val="right"/>
            </w:pPr>
            <w:r/>
            <w:r>
              <w:rPr>
                <w:rFonts w:ascii="Noto Sans Hebrew" w:hAnsi="Noto Sans Hebrew" w:eastAsia="Noto Sans Hebrew" w:cs="Noto Sans Hebrew"/>
                <w:b/>
                <w:sz w:val="19"/>
              </w:rPr>
              <w:t>רמת איכות</w:t>
            </w:r>
          </w:p>
        </w:tc>
        <w:tc>
          <w:tcPr>
            <w:tcW w:type="dxa" w:w="2550"/>
            <w:vAlign w:val="center"/>
            <w:shd w:fill="D9EAF7"/>
          </w:tcPr>
          <w:p>
            <w:pPr>
              <w:bidi/>
              <w:jc w:val="right"/>
            </w:pPr>
            <w:r/>
            <w:r>
              <w:rPr>
                <w:rFonts w:ascii="Noto Sans Hebrew" w:hAnsi="Noto Sans Hebrew" w:eastAsia="Noto Sans Hebrew" w:cs="Noto Sans Hebrew"/>
                <w:b/>
                <w:sz w:val="19"/>
              </w:rPr>
              <w:t>מרווח ביטחון נדרש</w:t>
            </w:r>
          </w:p>
        </w:tc>
        <w:tc>
          <w:tcPr>
            <w:tcW w:type="dxa" w:w="2550"/>
            <w:vAlign w:val="center"/>
            <w:shd w:fill="D9EAF7"/>
          </w:tcPr>
          <w:p>
            <w:pPr>
              <w:bidi/>
              <w:jc w:val="right"/>
            </w:pPr>
            <w:r/>
            <w:r>
              <w:rPr>
                <w:rFonts w:ascii="Noto Sans Hebrew" w:hAnsi="Noto Sans Hebrew" w:eastAsia="Noto Sans Hebrew" w:cs="Noto Sans Hebrew"/>
                <w:b/>
                <w:sz w:val="19"/>
              </w:rPr>
              <w:t>מחיר קנייה רצוי</w:t>
            </w:r>
          </w:p>
        </w:tc>
      </w:tr>
      <w:tr>
        <w:tc>
          <w:tcPr>
            <w:tcW w:type="dxa" w:w="2550"/>
            <w:vAlign w:val="center"/>
          </w:tcPr>
          <w:p>
            <w:pPr>
              <w:jc w:val="left"/>
            </w:pPr>
            <w:r/>
            <w:r>
              <w:rPr>
                <w:rFonts w:ascii="Aptos" w:hAnsi="Aptos" w:eastAsia="Aptos" w:cs="Aptos"/>
                <w:b w:val="0"/>
                <w:sz w:val="19"/>
              </w:rPr>
              <w:t>85–100</w:t>
            </w:r>
          </w:p>
        </w:tc>
        <w:tc>
          <w:tcPr>
            <w:tcW w:type="dxa" w:w="2550"/>
            <w:vAlign w:val="center"/>
          </w:tcPr>
          <w:p>
            <w:pPr>
              <w:bidi/>
              <w:jc w:val="right"/>
            </w:pPr>
            <w:r/>
            <w:r>
              <w:rPr>
                <w:rFonts w:ascii="Noto Sans Hebrew" w:hAnsi="Noto Sans Hebrew" w:eastAsia="Noto Sans Hebrew" w:cs="Noto Sans Hebrew"/>
                <w:b w:val="0"/>
                <w:sz w:val="19"/>
              </w:rPr>
              <w:t>חברה מעולה</w:t>
            </w:r>
          </w:p>
        </w:tc>
        <w:tc>
          <w:tcPr>
            <w:tcW w:type="dxa" w:w="2550"/>
            <w:vAlign w:val="center"/>
          </w:tcPr>
          <w:p>
            <w:pPr>
              <w:jc w:val="left"/>
            </w:pPr>
            <w:r/>
            <w:r>
              <w:rPr>
                <w:rFonts w:ascii="Aptos" w:hAnsi="Aptos" w:eastAsia="Aptos" w:cs="Aptos"/>
                <w:b w:val="0"/>
                <w:sz w:val="19"/>
              </w:rPr>
              <w:t>15%–20%</w:t>
            </w:r>
          </w:p>
        </w:tc>
        <w:tc>
          <w:tcPr>
            <w:tcW w:type="dxa" w:w="2550"/>
            <w:vAlign w:val="center"/>
          </w:tcPr>
          <w:p>
            <w:pPr>
              <w:bidi/>
              <w:jc w:val="right"/>
            </w:pPr>
            <w:r/>
            <w:r>
              <w:rPr>
                <w:rFonts w:ascii="Noto Sans Hebrew" w:hAnsi="Noto Sans Hebrew" w:eastAsia="Noto Sans Hebrew" w:cs="Noto Sans Hebrew"/>
                <w:b w:val="0"/>
                <w:sz w:val="19"/>
              </w:rPr>
              <w:t>עד שמונים עד שמונים וחמש אחוז מהשווי</w:t>
            </w:r>
          </w:p>
        </w:tc>
      </w:tr>
      <w:tr>
        <w:tc>
          <w:tcPr>
            <w:tcW w:type="dxa" w:w="2550"/>
            <w:vAlign w:val="center"/>
          </w:tcPr>
          <w:p>
            <w:pPr>
              <w:jc w:val="left"/>
            </w:pPr>
            <w:r/>
            <w:r>
              <w:rPr>
                <w:rFonts w:ascii="Aptos" w:hAnsi="Aptos" w:eastAsia="Aptos" w:cs="Aptos"/>
                <w:b w:val="0"/>
                <w:sz w:val="19"/>
              </w:rPr>
              <w:t>70–84</w:t>
            </w:r>
          </w:p>
        </w:tc>
        <w:tc>
          <w:tcPr>
            <w:tcW w:type="dxa" w:w="2550"/>
            <w:vAlign w:val="center"/>
          </w:tcPr>
          <w:p>
            <w:pPr>
              <w:bidi/>
              <w:jc w:val="right"/>
            </w:pPr>
            <w:r/>
            <w:r>
              <w:rPr>
                <w:rFonts w:ascii="Noto Sans Hebrew" w:hAnsi="Noto Sans Hebrew" w:eastAsia="Noto Sans Hebrew" w:cs="Noto Sans Hebrew"/>
                <w:b w:val="0"/>
                <w:sz w:val="19"/>
              </w:rPr>
              <w:t>חברה טובה</w:t>
            </w:r>
          </w:p>
        </w:tc>
        <w:tc>
          <w:tcPr>
            <w:tcW w:type="dxa" w:w="2550"/>
            <w:vAlign w:val="center"/>
          </w:tcPr>
          <w:p>
            <w:pPr>
              <w:jc w:val="left"/>
            </w:pPr>
            <w:r/>
            <w:r>
              <w:rPr>
                <w:rFonts w:ascii="Aptos" w:hAnsi="Aptos" w:eastAsia="Aptos" w:cs="Aptos"/>
                <w:b w:val="0"/>
                <w:sz w:val="19"/>
              </w:rPr>
              <w:t>20%–30%</w:t>
            </w:r>
          </w:p>
        </w:tc>
        <w:tc>
          <w:tcPr>
            <w:tcW w:type="dxa" w:w="2550"/>
            <w:vAlign w:val="center"/>
          </w:tcPr>
          <w:p>
            <w:pPr>
              <w:bidi/>
              <w:jc w:val="right"/>
            </w:pPr>
            <w:r/>
            <w:r>
              <w:rPr>
                <w:rFonts w:ascii="Noto Sans Hebrew" w:hAnsi="Noto Sans Hebrew" w:eastAsia="Noto Sans Hebrew" w:cs="Noto Sans Hebrew"/>
                <w:b w:val="0"/>
                <w:sz w:val="19"/>
              </w:rPr>
              <w:t>עד שבעים עד שמונים אחוז מהשווי</w:t>
            </w:r>
          </w:p>
        </w:tc>
      </w:tr>
      <w:tr>
        <w:tc>
          <w:tcPr>
            <w:tcW w:type="dxa" w:w="2550"/>
            <w:vAlign w:val="center"/>
          </w:tcPr>
          <w:p>
            <w:pPr>
              <w:jc w:val="left"/>
            </w:pPr>
            <w:r/>
            <w:r>
              <w:rPr>
                <w:rFonts w:ascii="Aptos" w:hAnsi="Aptos" w:eastAsia="Aptos" w:cs="Aptos"/>
                <w:b w:val="0"/>
                <w:sz w:val="19"/>
              </w:rPr>
              <w:t>55–69</w:t>
            </w:r>
          </w:p>
        </w:tc>
        <w:tc>
          <w:tcPr>
            <w:tcW w:type="dxa" w:w="2550"/>
            <w:vAlign w:val="center"/>
          </w:tcPr>
          <w:p>
            <w:pPr>
              <w:bidi/>
              <w:jc w:val="right"/>
            </w:pPr>
            <w:r/>
            <w:r>
              <w:rPr>
                <w:rFonts w:ascii="Noto Sans Hebrew" w:hAnsi="Noto Sans Hebrew" w:eastAsia="Noto Sans Hebrew" w:cs="Noto Sans Hebrew"/>
                <w:b w:val="0"/>
                <w:sz w:val="19"/>
              </w:rPr>
              <w:t>חברה בינונית</w:t>
            </w:r>
          </w:p>
        </w:tc>
        <w:tc>
          <w:tcPr>
            <w:tcW w:type="dxa" w:w="2550"/>
            <w:vAlign w:val="center"/>
          </w:tcPr>
          <w:p>
            <w:pPr>
              <w:jc w:val="left"/>
            </w:pPr>
            <w:r/>
            <w:r>
              <w:rPr>
                <w:rFonts w:ascii="Aptos" w:hAnsi="Aptos" w:eastAsia="Aptos" w:cs="Aptos"/>
                <w:b w:val="0"/>
                <w:sz w:val="19"/>
              </w:rPr>
              <w:t>30%–40%</w:t>
            </w:r>
          </w:p>
        </w:tc>
        <w:tc>
          <w:tcPr>
            <w:tcW w:type="dxa" w:w="2550"/>
            <w:vAlign w:val="center"/>
          </w:tcPr>
          <w:p>
            <w:pPr>
              <w:bidi/>
              <w:jc w:val="right"/>
            </w:pPr>
            <w:r/>
            <w:r>
              <w:rPr>
                <w:rFonts w:ascii="Noto Sans Hebrew" w:hAnsi="Noto Sans Hebrew" w:eastAsia="Noto Sans Hebrew" w:cs="Noto Sans Hebrew"/>
                <w:b w:val="0"/>
                <w:sz w:val="19"/>
              </w:rPr>
              <w:t>עד שישים עד שבעים אחוז מהשווי</w:t>
            </w:r>
          </w:p>
        </w:tc>
      </w:tr>
      <w:tr>
        <w:tc>
          <w:tcPr>
            <w:tcW w:type="dxa" w:w="2550"/>
            <w:vAlign w:val="center"/>
          </w:tcPr>
          <w:p>
            <w:pPr>
              <w:bidi/>
              <w:jc w:val="right"/>
            </w:pPr>
            <w:r/>
            <w:r>
              <w:rPr>
                <w:rFonts w:ascii="Noto Sans Hebrew" w:hAnsi="Noto Sans Hebrew" w:eastAsia="Noto Sans Hebrew" w:cs="Noto Sans Hebrew"/>
                <w:b w:val="0"/>
                <w:sz w:val="19"/>
              </w:rPr>
              <w:t>מתחת לחמישים וחמש</w:t>
            </w:r>
          </w:p>
        </w:tc>
        <w:tc>
          <w:tcPr>
            <w:tcW w:type="dxa" w:w="2550"/>
            <w:vAlign w:val="center"/>
          </w:tcPr>
          <w:p>
            <w:pPr>
              <w:bidi/>
              <w:jc w:val="right"/>
            </w:pPr>
            <w:r/>
            <w:r>
              <w:rPr>
                <w:rFonts w:ascii="Noto Sans Hebrew" w:hAnsi="Noto Sans Hebrew" w:eastAsia="Noto Sans Hebrew" w:cs="Noto Sans Hebrew"/>
                <w:b w:val="0"/>
                <w:sz w:val="19"/>
              </w:rPr>
              <w:t>חברה חלשה</w:t>
            </w:r>
          </w:p>
        </w:tc>
        <w:tc>
          <w:tcPr>
            <w:tcW w:type="dxa" w:w="2550"/>
            <w:vAlign w:val="center"/>
          </w:tcPr>
          <w:p>
            <w:pPr>
              <w:bidi/>
              <w:jc w:val="right"/>
            </w:pPr>
            <w:r/>
            <w:r>
              <w:rPr>
                <w:rFonts w:ascii="Noto Sans Hebrew" w:hAnsi="Noto Sans Hebrew" w:eastAsia="Noto Sans Hebrew" w:cs="Noto Sans Hebrew"/>
                <w:b w:val="0"/>
                <w:sz w:val="19"/>
              </w:rPr>
              <w:t>לא לקנות</w:t>
            </w:r>
          </w:p>
        </w:tc>
        <w:tc>
          <w:tcPr>
            <w:tcW w:type="dxa" w:w="2550"/>
            <w:vAlign w:val="center"/>
          </w:tcPr>
          <w:p>
            <w:pPr>
              <w:bidi/>
              <w:jc w:val="right"/>
            </w:pPr>
            <w:r/>
            <w:r>
              <w:rPr>
                <w:rFonts w:ascii="Noto Sans Hebrew" w:hAnsi="Noto Sans Hebrew" w:eastAsia="Noto Sans Hebrew" w:cs="Noto Sans Hebrew"/>
                <w:b w:val="0"/>
                <w:sz w:val="19"/>
              </w:rPr>
              <w:t>גם מחיר נמוך לא מספיק</w:t>
            </w:r>
          </w:p>
        </w:tc>
      </w:tr>
    </w:tbl>
    <w:p/>
    <w:p>
      <w:pPr>
        <w:pStyle w:val="Heading2"/>
        <w:bidi/>
        <w:spacing w:before="200" w:after="120"/>
        <w:jc w:val="right"/>
      </w:pPr>
      <w:r>
        <w:rPr>
          <w:rFonts w:ascii="Noto Sans Hebrew" w:hAnsi="Noto Sans Hebrew" w:eastAsia="Noto Sans Hebrew" w:cs="Noto Sans Hebrew"/>
          <w:b/>
          <w:color w:val="1F4E79"/>
          <w:sz w:val="26"/>
        </w:rPr>
        <w:t>‪9.‬ איך יודעים שההשקעה הגיעה למימוש</w:t>
      </w:r>
    </w:p>
    <w:p>
      <w:pPr>
        <w:bidi/>
        <w:spacing w:after="120" w:line="259" w:lineRule="auto"/>
        <w:jc w:val="right"/>
      </w:pPr>
      <w:r>
        <w:rPr>
          <w:rFonts w:ascii="Noto Sans Hebrew" w:hAnsi="Noto Sans Hebrew" w:eastAsia="Noto Sans Hebrew" w:cs="Noto Sans Hebrew"/>
          <w:b w:val="0"/>
          <w:i w:val="0"/>
          <w:sz w:val="22"/>
        </w:rPr>
        <w:t>בגישת באפט לא מוכרים אוטומטית רק כי המניה עלתה. החלטת מימוש צריכה לשלב בין המחיר לבין איכות החברה.</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פירוש / פעולה אפשרית</w:t>
            </w:r>
          </w:p>
        </w:tc>
      </w:tr>
      <w:tr>
        <w:tc>
          <w:tcPr>
            <w:tcW w:type="dxa" w:w="5100"/>
            <w:vAlign w:val="center"/>
          </w:tcPr>
          <w:p>
            <w:pPr>
              <w:jc w:val="left"/>
            </w:pPr>
            <w:r/>
            <w:r>
              <w:rPr>
                <w:rFonts w:ascii="Aptos" w:hAnsi="Aptos" w:eastAsia="Aptos" w:cs="Aptos"/>
                <w:b w:val="0"/>
                <w:sz w:val="19"/>
              </w:rPr>
              <w:t>Current Price ≥ Fair Value</w:t>
            </w:r>
          </w:p>
        </w:tc>
        <w:tc>
          <w:tcPr>
            <w:tcW w:type="dxa" w:w="5100"/>
            <w:vAlign w:val="center"/>
          </w:tcPr>
          <w:p>
            <w:pPr>
              <w:bidi/>
              <w:jc w:val="right"/>
            </w:pPr>
            <w:r/>
            <w:r>
              <w:rPr>
                <w:rFonts w:ascii="Noto Sans Hebrew" w:hAnsi="Noto Sans Hebrew" w:eastAsia="Noto Sans Hebrew" w:cs="Noto Sans Hebrew"/>
                <w:b w:val="0"/>
                <w:sz w:val="19"/>
              </w:rPr>
              <w:t>מרווח הביטחון נסגר; לשקול החזקה או מימוש חלקי לפי איכות החברה</w:t>
            </w:r>
          </w:p>
        </w:tc>
      </w:tr>
      <w:tr>
        <w:tc>
          <w:tcPr>
            <w:tcW w:type="dxa" w:w="5100"/>
            <w:vAlign w:val="center"/>
          </w:tcPr>
          <w:p>
            <w:pPr>
              <w:jc w:val="left"/>
            </w:pPr>
            <w:r/>
            <w:r>
              <w:rPr>
                <w:rFonts w:ascii="Aptos" w:hAnsi="Aptos" w:eastAsia="Aptos" w:cs="Aptos"/>
                <w:b w:val="0"/>
                <w:sz w:val="19"/>
              </w:rPr>
              <w:t>Current Price ≥ Fair Value × 1.20</w:t>
            </w:r>
          </w:p>
        </w:tc>
        <w:tc>
          <w:tcPr>
            <w:tcW w:type="dxa" w:w="5100"/>
            <w:vAlign w:val="center"/>
          </w:tcPr>
          <w:p>
            <w:pPr>
              <w:bidi/>
              <w:jc w:val="right"/>
            </w:pPr>
            <w:r/>
            <w:r>
              <w:rPr>
                <w:rFonts w:ascii="Noto Sans Hebrew" w:hAnsi="Noto Sans Hebrew" w:eastAsia="Noto Sans Hebrew" w:cs="Noto Sans Hebrew"/>
                <w:b w:val="0"/>
                <w:sz w:val="19"/>
              </w:rPr>
              <w:t>המניה יקרה משמעותית; לשקול לא להוסיף או לממש חלקית</w:t>
            </w:r>
          </w:p>
        </w:tc>
      </w:tr>
      <w:tr>
        <w:tc>
          <w:tcPr>
            <w:tcW w:type="dxa" w:w="5100"/>
            <w:vAlign w:val="center"/>
          </w:tcPr>
          <w:p>
            <w:pPr>
              <w:bidi/>
              <w:jc w:val="right"/>
            </w:pPr>
            <w:r/>
            <w:r>
              <w:rPr>
                <w:rFonts w:ascii="Noto Sans Hebrew" w:hAnsi="Noto Sans Hebrew" w:eastAsia="Noto Sans Hebrew" w:cs="Noto Sans Hebrew"/>
                <w:b w:val="0"/>
                <w:sz w:val="19"/>
              </w:rPr>
              <w:t>איכות החברה נחלשת</w:t>
            </w:r>
          </w:p>
        </w:tc>
        <w:tc>
          <w:tcPr>
            <w:tcW w:type="dxa" w:w="5100"/>
            <w:vAlign w:val="center"/>
          </w:tcPr>
          <w:p>
            <w:pPr>
              <w:bidi/>
              <w:jc w:val="right"/>
            </w:pPr>
            <w:r/>
            <w:r>
              <w:rPr>
                <w:rFonts w:ascii="Noto Sans Hebrew" w:hAnsi="Noto Sans Hebrew" w:eastAsia="Noto Sans Hebrew" w:cs="Noto Sans Hebrew"/>
                <w:b w:val="0"/>
                <w:sz w:val="19"/>
              </w:rPr>
              <w:t>לבדוק אם התזה נשברה גם אם המחיר לא הגיע לשווי</w:t>
            </w:r>
          </w:p>
        </w:tc>
      </w:tr>
      <w:tr>
        <w:tc>
          <w:tcPr>
            <w:tcW w:type="dxa" w:w="5100"/>
            <w:vAlign w:val="center"/>
          </w:tcPr>
          <w:p>
            <w:pPr>
              <w:bidi/>
              <w:jc w:val="right"/>
            </w:pPr>
            <w:r/>
            <w:r>
              <w:rPr>
                <w:rFonts w:ascii="Noto Sans Hebrew" w:hAnsi="Noto Sans Hebrew" w:eastAsia="Noto Sans Hebrew" w:cs="Noto Sans Hebrew"/>
                <w:b w:val="0"/>
                <w:sz w:val="19"/>
              </w:rPr>
              <w:t>יש אלטרנטיבה טובה וזולה יותר</w:t>
            </w:r>
          </w:p>
        </w:tc>
        <w:tc>
          <w:tcPr>
            <w:tcW w:type="dxa" w:w="5100"/>
            <w:vAlign w:val="center"/>
          </w:tcPr>
          <w:p>
            <w:pPr>
              <w:bidi/>
              <w:jc w:val="right"/>
            </w:pPr>
            <w:r/>
            <w:r>
              <w:rPr>
                <w:rFonts w:ascii="Noto Sans Hebrew" w:hAnsi="Noto Sans Hebrew" w:eastAsia="Noto Sans Hebrew" w:cs="Noto Sans Hebrew"/>
                <w:b w:val="0"/>
                <w:sz w:val="19"/>
              </w:rPr>
              <w:t>לשקול מעבר השקעה</w:t>
            </w:r>
          </w:p>
        </w:tc>
      </w:tr>
    </w:tbl>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סימן להיחלשות איכותית</w:t>
            </w:r>
          </w:p>
        </w:tc>
        <w:tc>
          <w:tcPr>
            <w:tcW w:type="dxa" w:w="5100"/>
            <w:vAlign w:val="center"/>
            <w:shd w:fill="D9EAF7"/>
          </w:tcPr>
          <w:p>
            <w:pPr>
              <w:bidi/>
              <w:jc w:val="right"/>
            </w:pPr>
            <w:r/>
            <w:r>
              <w:rPr>
                <w:rFonts w:ascii="Noto Sans Hebrew" w:hAnsi="Noto Sans Hebrew" w:eastAsia="Noto Sans Hebrew" w:cs="Noto Sans Hebrew"/>
                <w:b/>
                <w:sz w:val="19"/>
              </w:rPr>
              <w:t>משמעות</w:t>
            </w:r>
          </w:p>
        </w:tc>
      </w:tr>
      <w:tr>
        <w:tc>
          <w:tcPr>
            <w:tcW w:type="dxa" w:w="5100"/>
            <w:vAlign w:val="center"/>
          </w:tcPr>
          <w:p>
            <w:pPr>
              <w:bidi/>
              <w:jc w:val="right"/>
            </w:pPr>
            <w:r/>
            <w:r>
              <w:rPr>
                <w:rFonts w:ascii="Noto Sans Hebrew" w:hAnsi="Noto Sans Hebrew" w:eastAsia="Noto Sans Hebrew" w:cs="Noto Sans Hebrew"/>
                <w:b w:val="0"/>
                <w:sz w:val="19"/>
              </w:rPr>
              <w:t>‪ROIC‬ יורד לאורך זמן</w:t>
            </w:r>
          </w:p>
        </w:tc>
        <w:tc>
          <w:tcPr>
            <w:tcW w:type="dxa" w:w="5100"/>
            <w:vAlign w:val="center"/>
          </w:tcPr>
          <w:p>
            <w:pPr>
              <w:bidi/>
              <w:jc w:val="right"/>
            </w:pPr>
            <w:r/>
            <w:r>
              <w:rPr>
                <w:rFonts w:ascii="Noto Sans Hebrew" w:hAnsi="Noto Sans Hebrew" w:eastAsia="Noto Sans Hebrew" w:cs="Noto Sans Hebrew"/>
                <w:b w:val="0"/>
                <w:sz w:val="19"/>
              </w:rPr>
              <w:t>היתרון התחרותי נשחק</w:t>
            </w:r>
          </w:p>
        </w:tc>
      </w:tr>
      <w:tr>
        <w:tc>
          <w:tcPr>
            <w:tcW w:type="dxa" w:w="5100"/>
            <w:vAlign w:val="center"/>
          </w:tcPr>
          <w:p>
            <w:pPr>
              <w:bidi/>
              <w:jc w:val="right"/>
            </w:pPr>
            <w:r/>
            <w:r>
              <w:rPr>
                <w:rFonts w:ascii="Noto Sans Hebrew" w:hAnsi="Noto Sans Hebrew" w:eastAsia="Noto Sans Hebrew" w:cs="Noto Sans Hebrew"/>
                <w:b w:val="0"/>
                <w:sz w:val="19"/>
              </w:rPr>
              <w:t>‪FCF‬ נחלש</w:t>
            </w:r>
          </w:p>
        </w:tc>
        <w:tc>
          <w:tcPr>
            <w:tcW w:type="dxa" w:w="5100"/>
            <w:vAlign w:val="center"/>
          </w:tcPr>
          <w:p>
            <w:pPr>
              <w:bidi/>
              <w:jc w:val="right"/>
            </w:pPr>
            <w:r/>
            <w:r>
              <w:rPr>
                <w:rFonts w:ascii="Noto Sans Hebrew" w:hAnsi="Noto Sans Hebrew" w:eastAsia="Noto Sans Hebrew" w:cs="Noto Sans Hebrew"/>
                <w:b w:val="0"/>
                <w:sz w:val="19"/>
              </w:rPr>
              <w:t>הרווח לא הופך למזומן</w:t>
            </w:r>
          </w:p>
        </w:tc>
      </w:tr>
      <w:tr>
        <w:tc>
          <w:tcPr>
            <w:tcW w:type="dxa" w:w="5100"/>
            <w:vAlign w:val="center"/>
          </w:tcPr>
          <w:p>
            <w:pPr>
              <w:bidi/>
              <w:jc w:val="right"/>
            </w:pPr>
            <w:r/>
            <w:r>
              <w:rPr>
                <w:rFonts w:ascii="Noto Sans Hebrew" w:hAnsi="Noto Sans Hebrew" w:eastAsia="Noto Sans Hebrew" w:cs="Noto Sans Hebrew"/>
                <w:b w:val="0"/>
                <w:sz w:val="19"/>
              </w:rPr>
              <w:t>החוב עולה מהר</w:t>
            </w:r>
          </w:p>
        </w:tc>
        <w:tc>
          <w:tcPr>
            <w:tcW w:type="dxa" w:w="5100"/>
            <w:vAlign w:val="center"/>
          </w:tcPr>
          <w:p>
            <w:pPr>
              <w:bidi/>
              <w:jc w:val="right"/>
            </w:pPr>
            <w:r/>
            <w:r>
              <w:rPr>
                <w:rFonts w:ascii="Noto Sans Hebrew" w:hAnsi="Noto Sans Hebrew" w:eastAsia="Noto Sans Hebrew" w:cs="Noto Sans Hebrew"/>
                <w:b w:val="0"/>
                <w:sz w:val="19"/>
              </w:rPr>
              <w:t>הסיכון הפיננסי גדל</w:t>
            </w:r>
          </w:p>
        </w:tc>
      </w:tr>
      <w:tr>
        <w:tc>
          <w:tcPr>
            <w:tcW w:type="dxa" w:w="5100"/>
            <w:vAlign w:val="center"/>
          </w:tcPr>
          <w:p>
            <w:pPr>
              <w:bidi/>
              <w:jc w:val="right"/>
            </w:pPr>
            <w:r/>
            <w:r>
              <w:rPr>
                <w:rFonts w:ascii="Noto Sans Hebrew" w:hAnsi="Noto Sans Hebrew" w:eastAsia="Noto Sans Hebrew" w:cs="Noto Sans Hebrew"/>
                <w:b w:val="0"/>
                <w:sz w:val="19"/>
              </w:rPr>
              <w:t>מרווחים נשחקים</w:t>
            </w:r>
          </w:p>
        </w:tc>
        <w:tc>
          <w:tcPr>
            <w:tcW w:type="dxa" w:w="5100"/>
            <w:vAlign w:val="center"/>
          </w:tcPr>
          <w:p>
            <w:pPr>
              <w:bidi/>
              <w:jc w:val="right"/>
            </w:pPr>
            <w:r/>
            <w:r>
              <w:rPr>
                <w:rFonts w:ascii="Noto Sans Hebrew" w:hAnsi="Noto Sans Hebrew" w:eastAsia="Noto Sans Hebrew" w:cs="Noto Sans Hebrew"/>
                <w:b w:val="0"/>
                <w:sz w:val="19"/>
              </w:rPr>
              <w:t>התחרות מתחזקת</w:t>
            </w:r>
          </w:p>
        </w:tc>
      </w:tr>
      <w:tr>
        <w:tc>
          <w:tcPr>
            <w:tcW w:type="dxa" w:w="5100"/>
            <w:vAlign w:val="center"/>
          </w:tcPr>
          <w:p>
            <w:pPr>
              <w:bidi/>
              <w:jc w:val="right"/>
            </w:pPr>
            <w:r/>
            <w:r>
              <w:rPr>
                <w:rFonts w:ascii="Noto Sans Hebrew" w:hAnsi="Noto Sans Hebrew" w:eastAsia="Noto Sans Hebrew" w:cs="Noto Sans Hebrew"/>
                <w:b w:val="0"/>
                <w:sz w:val="19"/>
              </w:rPr>
              <w:t>מספר המניות עולה</w:t>
            </w:r>
          </w:p>
        </w:tc>
        <w:tc>
          <w:tcPr>
            <w:tcW w:type="dxa" w:w="5100"/>
            <w:vAlign w:val="center"/>
          </w:tcPr>
          <w:p>
            <w:pPr>
              <w:bidi/>
              <w:jc w:val="right"/>
            </w:pPr>
            <w:r/>
            <w:r>
              <w:rPr>
                <w:rFonts w:ascii="Noto Sans Hebrew" w:hAnsi="Noto Sans Hebrew" w:eastAsia="Noto Sans Hebrew" w:cs="Noto Sans Hebrew"/>
                <w:b w:val="0"/>
                <w:sz w:val="19"/>
              </w:rPr>
              <w:t>בעלי המניות מדוללים</w:t>
            </w:r>
          </w:p>
        </w:tc>
      </w:tr>
      <w:tr>
        <w:tc>
          <w:tcPr>
            <w:tcW w:type="dxa" w:w="5100"/>
            <w:vAlign w:val="center"/>
          </w:tcPr>
          <w:p>
            <w:pPr>
              <w:bidi/>
              <w:jc w:val="right"/>
            </w:pPr>
            <w:r/>
            <w:r>
              <w:rPr>
                <w:rFonts w:ascii="Noto Sans Hebrew" w:hAnsi="Noto Sans Hebrew" w:eastAsia="Noto Sans Hebrew" w:cs="Noto Sans Hebrew"/>
                <w:b w:val="0"/>
                <w:sz w:val="19"/>
              </w:rPr>
              <w:t>רכישות יקרות</w:t>
            </w:r>
          </w:p>
        </w:tc>
        <w:tc>
          <w:tcPr>
            <w:tcW w:type="dxa" w:w="5100"/>
            <w:vAlign w:val="center"/>
          </w:tcPr>
          <w:p>
            <w:pPr>
              <w:bidi/>
              <w:jc w:val="right"/>
            </w:pPr>
            <w:r/>
            <w:r>
              <w:rPr>
                <w:rFonts w:ascii="Noto Sans Hebrew" w:hAnsi="Noto Sans Hebrew" w:eastAsia="Noto Sans Hebrew" w:cs="Noto Sans Hebrew"/>
                <w:b w:val="0"/>
                <w:sz w:val="19"/>
              </w:rPr>
              <w:t>הקצאת הון חלשה</w:t>
            </w:r>
          </w:p>
        </w:tc>
      </w:tr>
    </w:tbl>
    <w:p/>
    <w:p>
      <w:r>
        <w:br w:type="page"/>
      </w:r>
    </w:p>
    <w:p>
      <w:pPr>
        <w:pStyle w:val="Heading1"/>
        <w:bidi/>
        <w:spacing w:before="200" w:after="120"/>
        <w:jc w:val="right"/>
      </w:pPr>
      <w:r>
        <w:rPr>
          <w:rFonts w:ascii="Noto Sans Hebrew" w:hAnsi="Noto Sans Hebrew" w:eastAsia="Noto Sans Hebrew" w:cs="Noto Sans Hebrew"/>
          <w:b/>
          <w:color w:val="1F4E79"/>
          <w:sz w:val="32"/>
        </w:rPr>
        <w:t>חלק ב׳ — מדד גרהם לכדאיות השקעה</w:t>
      </w:r>
    </w:p>
    <w:p>
      <w:pPr>
        <w:pStyle w:val="Heading2"/>
        <w:bidi/>
        <w:spacing w:before="200" w:after="120"/>
        <w:jc w:val="right"/>
      </w:pPr>
      <w:r>
        <w:rPr>
          <w:rFonts w:ascii="Noto Sans Hebrew" w:hAnsi="Noto Sans Hebrew" w:eastAsia="Noto Sans Hebrew" w:cs="Noto Sans Hebrew"/>
          <w:b/>
          <w:color w:val="1F4E79"/>
          <w:sz w:val="26"/>
        </w:rPr>
        <w:t>‪1.‬ הסבר על המדד</w:t>
      </w:r>
    </w:p>
    <w:p>
      <w:pPr>
        <w:bidi/>
        <w:spacing w:after="120" w:line="259" w:lineRule="auto"/>
        <w:jc w:val="right"/>
      </w:pPr>
      <w:r>
        <w:rPr>
          <w:rFonts w:ascii="Noto Sans Hebrew" w:hAnsi="Noto Sans Hebrew" w:eastAsia="Noto Sans Hebrew" w:cs="Noto Sans Hebrew"/>
          <w:b w:val="0"/>
          <w:i w:val="0"/>
          <w:sz w:val="22"/>
        </w:rPr>
        <w:t>מדד גרהם נועד לבחון האם מניה מתאימה לגישת השקעות ערך בסגנון בנג’מין גרהם. בגישה זו הדגש המרכזי הוא על יציבות, שמרנות פיננסית ומרווח ביטחון משמעותי במחיר.</w:t>
      </w:r>
    </w:p>
    <w:p>
      <w:pPr>
        <w:bidi/>
        <w:spacing w:after="120" w:line="259" w:lineRule="auto"/>
        <w:jc w:val="right"/>
      </w:pPr>
      <w:r>
        <w:rPr>
          <w:rFonts w:ascii="Noto Sans Hebrew" w:hAnsi="Noto Sans Hebrew" w:eastAsia="Noto Sans Hebrew" w:cs="Noto Sans Hebrew"/>
          <w:b w:val="0"/>
          <w:i w:val="0"/>
          <w:sz w:val="22"/>
        </w:rPr>
        <w:t>המדד מחולק לשני חלקים: מדד איכות עסקית ופיננסית מתוך מאה נקודות, ומדד מחיר המניה ביחס לשווי השמרני שלה מתוך עשר נקודות ובאחוזים.</w:t>
      </w:r>
    </w:p>
    <w:p>
      <w:pPr>
        <w:bidi/>
        <w:spacing w:after="120" w:line="259" w:lineRule="auto"/>
        <w:jc w:val="right"/>
      </w:pPr>
      <w:r>
        <w:rPr>
          <w:rFonts w:ascii="Noto Sans Hebrew" w:hAnsi="Noto Sans Hebrew" w:eastAsia="Noto Sans Hebrew" w:cs="Noto Sans Hebrew"/>
          <w:b/>
          <w:i w:val="0"/>
          <w:sz w:val="22"/>
        </w:rPr>
        <w:t>העיקרון המרכזי: קודם בודקים שהחברה יציבה ובטוחה יחסית. לאחר מכן בודקים אם המניה זולה מספיק כדי לתת מרווח ביטחון.</w:t>
      </w:r>
    </w:p>
    <w:p>
      <w:pPr>
        <w:pStyle w:val="Heading2"/>
        <w:bidi/>
        <w:spacing w:before="200" w:after="120"/>
        <w:jc w:val="right"/>
      </w:pPr>
      <w:r>
        <w:rPr>
          <w:rFonts w:ascii="Noto Sans Hebrew" w:hAnsi="Noto Sans Hebrew" w:eastAsia="Noto Sans Hebrew" w:cs="Noto Sans Hebrew"/>
          <w:b/>
          <w:color w:val="1F4E79"/>
          <w:sz w:val="26"/>
        </w:rPr>
        <w:t>‪2.‬ מבנה מדד איכות עסקית ופיננסית</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קריטריון</w:t>
            </w:r>
          </w:p>
        </w:tc>
        <w:tc>
          <w:tcPr>
            <w:tcW w:type="dxa" w:w="5100"/>
            <w:vAlign w:val="center"/>
            <w:shd w:fill="D9EAF7"/>
          </w:tcPr>
          <w:p>
            <w:pPr>
              <w:bidi/>
              <w:jc w:val="right"/>
            </w:pPr>
            <w:r/>
            <w:r>
              <w:rPr>
                <w:rFonts w:ascii="Noto Sans Hebrew" w:hAnsi="Noto Sans Hebrew" w:eastAsia="Noto Sans Hebrew" w:cs="Noto Sans Hebrew"/>
                <w:b/>
                <w:sz w:val="19"/>
              </w:rPr>
              <w:t>משקל</w:t>
            </w:r>
          </w:p>
        </w:tc>
      </w:tr>
      <w:tr>
        <w:tc>
          <w:tcPr>
            <w:tcW w:type="dxa" w:w="5100"/>
            <w:vAlign w:val="center"/>
          </w:tcPr>
          <w:p>
            <w:pPr>
              <w:bidi/>
              <w:jc w:val="right"/>
            </w:pPr>
            <w:r/>
            <w:r>
              <w:rPr>
                <w:rFonts w:ascii="Noto Sans Hebrew" w:hAnsi="Noto Sans Hebrew" w:eastAsia="Noto Sans Hebrew" w:cs="Noto Sans Hebrew"/>
                <w:b w:val="0"/>
                <w:sz w:val="19"/>
              </w:rPr>
              <w:t>גודל חברה ויציבות עסקית</w:t>
            </w:r>
          </w:p>
        </w:tc>
        <w:tc>
          <w:tcPr>
            <w:tcW w:type="dxa" w:w="5100"/>
            <w:vAlign w:val="center"/>
          </w:tcPr>
          <w:p>
            <w:pPr>
              <w:jc w:val="left"/>
            </w:pPr>
            <w:r/>
            <w:r>
              <w:rPr>
                <w:rFonts w:ascii="Aptos" w:hAnsi="Aptos" w:eastAsia="Aptos" w:cs="Aptos"/>
                <w:b w:val="0"/>
                <w:sz w:val="19"/>
              </w:rPr>
              <w:t>10</w:t>
            </w:r>
          </w:p>
        </w:tc>
      </w:tr>
      <w:tr>
        <w:tc>
          <w:tcPr>
            <w:tcW w:type="dxa" w:w="5100"/>
            <w:vAlign w:val="center"/>
          </w:tcPr>
          <w:p>
            <w:pPr>
              <w:bidi/>
              <w:jc w:val="right"/>
            </w:pPr>
            <w:r/>
            <w:r>
              <w:rPr>
                <w:rFonts w:ascii="Noto Sans Hebrew" w:hAnsi="Noto Sans Hebrew" w:eastAsia="Noto Sans Hebrew" w:cs="Noto Sans Hebrew"/>
                <w:b w:val="0"/>
                <w:sz w:val="19"/>
              </w:rPr>
              <w:t>מצב פיננסי ונזילות</w:t>
            </w:r>
          </w:p>
        </w:tc>
        <w:tc>
          <w:tcPr>
            <w:tcW w:type="dxa" w:w="5100"/>
            <w:vAlign w:val="center"/>
          </w:tcPr>
          <w:p>
            <w:pPr>
              <w:jc w:val="left"/>
            </w:pPr>
            <w:r/>
            <w:r>
              <w:rPr>
                <w:rFonts w:ascii="Aptos" w:hAnsi="Aptos" w:eastAsia="Aptos" w:cs="Aptos"/>
                <w:b w:val="0"/>
                <w:sz w:val="19"/>
              </w:rPr>
              <w:t>15</w:t>
            </w:r>
          </w:p>
        </w:tc>
      </w:tr>
      <w:tr>
        <w:tc>
          <w:tcPr>
            <w:tcW w:type="dxa" w:w="5100"/>
            <w:vAlign w:val="center"/>
          </w:tcPr>
          <w:p>
            <w:pPr>
              <w:bidi/>
              <w:jc w:val="right"/>
            </w:pPr>
            <w:r/>
            <w:r>
              <w:rPr>
                <w:rFonts w:ascii="Noto Sans Hebrew" w:hAnsi="Noto Sans Hebrew" w:eastAsia="Noto Sans Hebrew" w:cs="Noto Sans Hebrew"/>
                <w:b w:val="0"/>
                <w:sz w:val="19"/>
              </w:rPr>
              <w:t>חוב נמוך ושמרנות מאזנית</w:t>
            </w:r>
          </w:p>
        </w:tc>
        <w:tc>
          <w:tcPr>
            <w:tcW w:type="dxa" w:w="5100"/>
            <w:vAlign w:val="center"/>
          </w:tcPr>
          <w:p>
            <w:pPr>
              <w:jc w:val="left"/>
            </w:pPr>
            <w:r/>
            <w:r>
              <w:rPr>
                <w:rFonts w:ascii="Aptos" w:hAnsi="Aptos" w:eastAsia="Aptos" w:cs="Aptos"/>
                <w:b w:val="0"/>
                <w:sz w:val="19"/>
              </w:rPr>
              <w:t>15</w:t>
            </w:r>
          </w:p>
        </w:tc>
      </w:tr>
      <w:tr>
        <w:tc>
          <w:tcPr>
            <w:tcW w:type="dxa" w:w="5100"/>
            <w:vAlign w:val="center"/>
          </w:tcPr>
          <w:p>
            <w:pPr>
              <w:bidi/>
              <w:jc w:val="right"/>
            </w:pPr>
            <w:r/>
            <w:r>
              <w:rPr>
                <w:rFonts w:ascii="Noto Sans Hebrew" w:hAnsi="Noto Sans Hebrew" w:eastAsia="Noto Sans Hebrew" w:cs="Noto Sans Hebrew"/>
                <w:b w:val="0"/>
                <w:sz w:val="19"/>
              </w:rPr>
              <w:t>יציבות רווחים</w:t>
            </w:r>
          </w:p>
        </w:tc>
        <w:tc>
          <w:tcPr>
            <w:tcW w:type="dxa" w:w="5100"/>
            <w:vAlign w:val="center"/>
          </w:tcPr>
          <w:p>
            <w:pPr>
              <w:jc w:val="left"/>
            </w:pPr>
            <w:r/>
            <w:r>
              <w:rPr>
                <w:rFonts w:ascii="Aptos" w:hAnsi="Aptos" w:eastAsia="Aptos" w:cs="Aptos"/>
                <w:b w:val="0"/>
                <w:sz w:val="19"/>
              </w:rPr>
              <w:t>15</w:t>
            </w:r>
          </w:p>
        </w:tc>
      </w:tr>
      <w:tr>
        <w:tc>
          <w:tcPr>
            <w:tcW w:type="dxa" w:w="5100"/>
            <w:vAlign w:val="center"/>
          </w:tcPr>
          <w:p>
            <w:pPr>
              <w:bidi/>
              <w:jc w:val="right"/>
            </w:pPr>
            <w:r/>
            <w:r>
              <w:rPr>
                <w:rFonts w:ascii="Noto Sans Hebrew" w:hAnsi="Noto Sans Hebrew" w:eastAsia="Noto Sans Hebrew" w:cs="Noto Sans Hebrew"/>
                <w:b w:val="0"/>
                <w:sz w:val="19"/>
              </w:rPr>
              <w:t>היסטוריית דיבידנדים</w:t>
            </w:r>
          </w:p>
        </w:tc>
        <w:tc>
          <w:tcPr>
            <w:tcW w:type="dxa" w:w="5100"/>
            <w:vAlign w:val="center"/>
          </w:tcPr>
          <w:p>
            <w:pPr>
              <w:jc w:val="left"/>
            </w:pPr>
            <w:r/>
            <w:r>
              <w:rPr>
                <w:rFonts w:ascii="Aptos" w:hAnsi="Aptos" w:eastAsia="Aptos" w:cs="Aptos"/>
                <w:b w:val="0"/>
                <w:sz w:val="19"/>
              </w:rPr>
              <w:t>10</w:t>
            </w:r>
          </w:p>
        </w:tc>
      </w:tr>
      <w:tr>
        <w:tc>
          <w:tcPr>
            <w:tcW w:type="dxa" w:w="5100"/>
            <w:vAlign w:val="center"/>
          </w:tcPr>
          <w:p>
            <w:pPr>
              <w:bidi/>
              <w:jc w:val="right"/>
            </w:pPr>
            <w:r/>
            <w:r>
              <w:rPr>
                <w:rFonts w:ascii="Noto Sans Hebrew" w:hAnsi="Noto Sans Hebrew" w:eastAsia="Noto Sans Hebrew" w:cs="Noto Sans Hebrew"/>
                <w:b w:val="0"/>
                <w:sz w:val="19"/>
              </w:rPr>
              <w:t>צמיחת רווחים מתונה</w:t>
            </w:r>
          </w:p>
        </w:tc>
        <w:tc>
          <w:tcPr>
            <w:tcW w:type="dxa" w:w="5100"/>
            <w:vAlign w:val="center"/>
          </w:tcPr>
          <w:p>
            <w:pPr>
              <w:jc w:val="left"/>
            </w:pPr>
            <w:r/>
            <w:r>
              <w:rPr>
                <w:rFonts w:ascii="Aptos" w:hAnsi="Aptos" w:eastAsia="Aptos" w:cs="Aptos"/>
                <w:b w:val="0"/>
                <w:sz w:val="19"/>
              </w:rPr>
              <w:t>15</w:t>
            </w:r>
          </w:p>
        </w:tc>
      </w:tr>
      <w:tr>
        <w:tc>
          <w:tcPr>
            <w:tcW w:type="dxa" w:w="5100"/>
            <w:vAlign w:val="center"/>
          </w:tcPr>
          <w:p>
            <w:pPr>
              <w:bidi/>
              <w:jc w:val="right"/>
            </w:pPr>
            <w:r/>
            <w:r>
              <w:rPr>
                <w:rFonts w:ascii="Noto Sans Hebrew" w:hAnsi="Noto Sans Hebrew" w:eastAsia="Noto Sans Hebrew" w:cs="Noto Sans Hebrew"/>
                <w:b w:val="0"/>
                <w:sz w:val="19"/>
              </w:rPr>
              <w:t>איכות ההון העצמי והנכסים</w:t>
            </w:r>
          </w:p>
        </w:tc>
        <w:tc>
          <w:tcPr>
            <w:tcW w:type="dxa" w:w="5100"/>
            <w:vAlign w:val="center"/>
          </w:tcPr>
          <w:p>
            <w:pPr>
              <w:jc w:val="left"/>
            </w:pPr>
            <w:r/>
            <w:r>
              <w:rPr>
                <w:rFonts w:ascii="Aptos" w:hAnsi="Aptos" w:eastAsia="Aptos" w:cs="Aptos"/>
                <w:b w:val="0"/>
                <w:sz w:val="19"/>
              </w:rPr>
              <w:t>10</w:t>
            </w:r>
          </w:p>
        </w:tc>
      </w:tr>
      <w:tr>
        <w:tc>
          <w:tcPr>
            <w:tcW w:type="dxa" w:w="5100"/>
            <w:vAlign w:val="center"/>
          </w:tcPr>
          <w:p>
            <w:pPr>
              <w:bidi/>
              <w:jc w:val="right"/>
            </w:pPr>
            <w:r/>
            <w:r>
              <w:rPr>
                <w:rFonts w:ascii="Noto Sans Hebrew" w:hAnsi="Noto Sans Hebrew" w:eastAsia="Noto Sans Hebrew" w:cs="Noto Sans Hebrew"/>
                <w:b w:val="0"/>
                <w:sz w:val="19"/>
              </w:rPr>
              <w:t>איכות רווחים ודילול מניות</w:t>
            </w:r>
          </w:p>
        </w:tc>
        <w:tc>
          <w:tcPr>
            <w:tcW w:type="dxa" w:w="5100"/>
            <w:vAlign w:val="center"/>
          </w:tcPr>
          <w:p>
            <w:pPr>
              <w:jc w:val="left"/>
            </w:pPr>
            <w:r/>
            <w:r>
              <w:rPr>
                <w:rFonts w:ascii="Aptos" w:hAnsi="Aptos" w:eastAsia="Aptos" w:cs="Aptos"/>
                <w:b w:val="0"/>
                <w:sz w:val="19"/>
              </w:rPr>
              <w:t>10</w:t>
            </w:r>
          </w:p>
        </w:tc>
      </w:tr>
      <w:tr>
        <w:tc>
          <w:tcPr>
            <w:tcW w:type="dxa" w:w="5100"/>
            <w:vAlign w:val="center"/>
          </w:tcPr>
          <w:p>
            <w:pPr>
              <w:bidi/>
              <w:jc w:val="right"/>
            </w:pPr>
            <w:r/>
            <w:r>
              <w:rPr>
                <w:rFonts w:ascii="Noto Sans Hebrew" w:hAnsi="Noto Sans Hebrew" w:eastAsia="Noto Sans Hebrew" w:cs="Noto Sans Hebrew"/>
                <w:b w:val="0"/>
                <w:sz w:val="19"/>
              </w:rPr>
              <w:t>סה״כ</w:t>
            </w:r>
          </w:p>
        </w:tc>
        <w:tc>
          <w:tcPr>
            <w:tcW w:type="dxa" w:w="5100"/>
            <w:vAlign w:val="center"/>
          </w:tcPr>
          <w:p>
            <w:pPr>
              <w:jc w:val="left"/>
            </w:pPr>
            <w:r/>
            <w:r>
              <w:rPr>
                <w:rFonts w:ascii="Aptos" w:hAnsi="Aptos" w:eastAsia="Aptos" w:cs="Aptos"/>
                <w:b w:val="0"/>
                <w:sz w:val="19"/>
              </w:rPr>
              <w:t>100</w:t>
            </w:r>
          </w:p>
        </w:tc>
      </w:tr>
    </w:tbl>
    <w:p/>
    <w:p>
      <w:pPr>
        <w:bidi/>
        <w:spacing w:after="120" w:line="259" w:lineRule="auto"/>
        <w:jc w:val="right"/>
      </w:pPr>
      <w:r>
        <w:rPr>
          <w:rFonts w:ascii="Noto Sans Hebrew" w:hAnsi="Noto Sans Hebrew" w:eastAsia="Noto Sans Hebrew" w:cs="Noto Sans Hebrew"/>
          <w:b w:val="0"/>
          <w:i w:val="0"/>
          <w:sz w:val="22"/>
        </w:rPr>
        <w:t>מדד זה בודק את איכות החברה והחוסן הפיננסי שלה בלבד, ללא קשר למחיר המניה כרגע.</w:t>
      </w:r>
    </w:p>
    <w:p>
      <w:pPr>
        <w:pStyle w:val="Heading2"/>
        <w:bidi/>
        <w:spacing w:before="200" w:after="120"/>
        <w:jc w:val="right"/>
      </w:pPr>
      <w:r>
        <w:rPr>
          <w:rFonts w:ascii="Noto Sans Hebrew" w:hAnsi="Noto Sans Hebrew" w:eastAsia="Noto Sans Hebrew" w:cs="Noto Sans Hebrew"/>
          <w:b/>
          <w:color w:val="1F4E79"/>
          <w:sz w:val="26"/>
        </w:rPr>
        <w:t>‪3.‬ הקריטריונים העסקיים במדד</w:t>
      </w:r>
    </w:p>
    <w:p>
      <w:pPr>
        <w:pStyle w:val="Heading3"/>
        <w:bidi/>
        <w:spacing w:before="200" w:after="120"/>
        <w:jc w:val="right"/>
      </w:pPr>
      <w:r>
        <w:rPr>
          <w:rFonts w:ascii="Noto Sans Hebrew" w:hAnsi="Noto Sans Hebrew" w:eastAsia="Noto Sans Hebrew" w:cs="Noto Sans Hebrew"/>
          <w:b/>
          <w:color w:val="000000"/>
          <w:sz w:val="23"/>
        </w:rPr>
        <w:t>‪3.1‬ גודל חברה ויציבות עסקית — עשר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מדובר בחברה בעלת פעילות מבוססת, מוכרת ויציבה יחסית. גרהם העדיף להימנע מחברות קטנות, צעירות או ספקולטיביות מדי.</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שאלה לבדיקה</w:t>
            </w:r>
          </w:p>
        </w:tc>
        <w:tc>
          <w:tcPr>
            <w:tcW w:type="dxa" w:w="5100"/>
            <w:vAlign w:val="center"/>
            <w:shd w:fill="D9EAF7"/>
          </w:tcPr>
          <w:p>
            <w:pPr>
              <w:bidi/>
              <w:jc w:val="right"/>
            </w:pPr>
            <w:r/>
            <w:r>
              <w:rPr>
                <w:rFonts w:ascii="Noto Sans Hebrew" w:hAnsi="Noto Sans Hebrew" w:eastAsia="Noto Sans Hebrew" w:cs="Noto Sans Hebrew"/>
                <w:b/>
                <w:sz w:val="19"/>
              </w:rPr>
              <w:t>תשובה רצויה</w:t>
            </w:r>
          </w:p>
        </w:tc>
      </w:tr>
      <w:tr>
        <w:tc>
          <w:tcPr>
            <w:tcW w:type="dxa" w:w="5100"/>
            <w:vAlign w:val="center"/>
          </w:tcPr>
          <w:p>
            <w:pPr>
              <w:bidi/>
              <w:jc w:val="right"/>
            </w:pPr>
            <w:r/>
            <w:r>
              <w:rPr>
                <w:rFonts w:ascii="Noto Sans Hebrew" w:hAnsi="Noto Sans Hebrew" w:eastAsia="Noto Sans Hebrew" w:cs="Noto Sans Hebrew"/>
                <w:b w:val="0"/>
                <w:sz w:val="19"/>
              </w:rPr>
              <w:t>האם החברה בינונית-גדולה או גדולה?</w:t>
            </w:r>
          </w:p>
        </w:tc>
        <w:tc>
          <w:tcPr>
            <w:tcW w:type="dxa" w:w="5100"/>
            <w:vAlign w:val="center"/>
          </w:tcPr>
          <w:p>
            <w:pPr>
              <w:bidi/>
              <w:jc w:val="right"/>
            </w:pPr>
            <w:r/>
            <w:r>
              <w:rPr>
                <w:rFonts w:ascii="Noto Sans Hebrew" w:hAnsi="Noto Sans Hebrew" w:eastAsia="Noto Sans Hebrew" w:cs="Noto Sans Hebrew"/>
                <w:b w:val="0"/>
                <w:sz w:val="19"/>
              </w:rPr>
              <w:t>כן</w:t>
            </w:r>
          </w:p>
        </w:tc>
      </w:tr>
      <w:tr>
        <w:tc>
          <w:tcPr>
            <w:tcW w:type="dxa" w:w="5100"/>
            <w:vAlign w:val="center"/>
          </w:tcPr>
          <w:p>
            <w:pPr>
              <w:bidi/>
              <w:jc w:val="right"/>
            </w:pPr>
            <w:r/>
            <w:r>
              <w:rPr>
                <w:rFonts w:ascii="Noto Sans Hebrew" w:hAnsi="Noto Sans Hebrew" w:eastAsia="Noto Sans Hebrew" w:cs="Noto Sans Hebrew"/>
                <w:b w:val="0"/>
                <w:sz w:val="19"/>
              </w:rPr>
              <w:t>האם יש פעילות מוכחת לאורך שנים?</w:t>
            </w:r>
          </w:p>
        </w:tc>
        <w:tc>
          <w:tcPr>
            <w:tcW w:type="dxa" w:w="5100"/>
            <w:vAlign w:val="center"/>
          </w:tcPr>
          <w:p>
            <w:pPr>
              <w:bidi/>
              <w:jc w:val="right"/>
            </w:pPr>
            <w:r/>
            <w:r>
              <w:rPr>
                <w:rFonts w:ascii="Noto Sans Hebrew" w:hAnsi="Noto Sans Hebrew" w:eastAsia="Noto Sans Hebrew" w:cs="Noto Sans Hebrew"/>
                <w:b w:val="0"/>
                <w:sz w:val="19"/>
              </w:rPr>
              <w:t>כן</w:t>
            </w:r>
          </w:p>
        </w:tc>
      </w:tr>
      <w:tr>
        <w:tc>
          <w:tcPr>
            <w:tcW w:type="dxa" w:w="5100"/>
            <w:vAlign w:val="center"/>
          </w:tcPr>
          <w:p>
            <w:pPr>
              <w:bidi/>
              <w:jc w:val="right"/>
            </w:pPr>
            <w:r/>
            <w:r>
              <w:rPr>
                <w:rFonts w:ascii="Noto Sans Hebrew" w:hAnsi="Noto Sans Hebrew" w:eastAsia="Noto Sans Hebrew" w:cs="Noto Sans Hebrew"/>
                <w:b w:val="0"/>
                <w:sz w:val="19"/>
              </w:rPr>
              <w:t>האם החברה אינה תלויה במוצר אחד בלבד?</w:t>
            </w:r>
          </w:p>
        </w:tc>
        <w:tc>
          <w:tcPr>
            <w:tcW w:type="dxa" w:w="5100"/>
            <w:vAlign w:val="center"/>
          </w:tcPr>
          <w:p>
            <w:pPr>
              <w:bidi/>
              <w:jc w:val="right"/>
            </w:pPr>
            <w:r/>
            <w:r>
              <w:rPr>
                <w:rFonts w:ascii="Noto Sans Hebrew" w:hAnsi="Noto Sans Hebrew" w:eastAsia="Noto Sans Hebrew" w:cs="Noto Sans Hebrew"/>
                <w:b w:val="0"/>
                <w:sz w:val="19"/>
              </w:rPr>
              <w:t>רצוי</w:t>
            </w:r>
          </w:p>
        </w:tc>
      </w:tr>
      <w:tr>
        <w:tc>
          <w:tcPr>
            <w:tcW w:type="dxa" w:w="5100"/>
            <w:vAlign w:val="center"/>
          </w:tcPr>
          <w:p>
            <w:pPr>
              <w:bidi/>
              <w:jc w:val="right"/>
            </w:pPr>
            <w:r/>
            <w:r>
              <w:rPr>
                <w:rFonts w:ascii="Noto Sans Hebrew" w:hAnsi="Noto Sans Hebrew" w:eastAsia="Noto Sans Hebrew" w:cs="Noto Sans Hebrew"/>
                <w:b w:val="0"/>
                <w:sz w:val="19"/>
              </w:rPr>
              <w:t>האם החברה מוכרת בענף שלה?</w:t>
            </w:r>
          </w:p>
        </w:tc>
        <w:tc>
          <w:tcPr>
            <w:tcW w:type="dxa" w:w="5100"/>
            <w:vAlign w:val="center"/>
          </w:tcPr>
          <w:p>
            <w:pPr>
              <w:bidi/>
              <w:jc w:val="right"/>
            </w:pPr>
            <w:r/>
            <w:r>
              <w:rPr>
                <w:rFonts w:ascii="Noto Sans Hebrew" w:hAnsi="Noto Sans Hebrew" w:eastAsia="Noto Sans Hebrew" w:cs="Noto Sans Hebrew"/>
                <w:b w:val="0"/>
                <w:sz w:val="19"/>
              </w:rPr>
              <w:t>כן</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חברה קטנה, צעירה או ספקולטיבית</w:t>
            </w:r>
          </w:p>
        </w:tc>
        <w:tc>
          <w:tcPr>
            <w:tcW w:type="dxa" w:w="5100"/>
            <w:vAlign w:val="center"/>
          </w:tcPr>
          <w:p>
            <w:pPr>
              <w:jc w:val="left"/>
            </w:pPr>
            <w:r/>
            <w:r>
              <w:rPr>
                <w:rFonts w:ascii="Aptos" w:hAnsi="Aptos" w:eastAsia="Aptos" w:cs="Aptos"/>
                <w:b w:val="0"/>
                <w:sz w:val="19"/>
              </w:rPr>
              <w:t>0–3</w:t>
            </w:r>
          </w:p>
        </w:tc>
      </w:tr>
      <w:tr>
        <w:tc>
          <w:tcPr>
            <w:tcW w:type="dxa" w:w="5100"/>
            <w:vAlign w:val="center"/>
          </w:tcPr>
          <w:p>
            <w:pPr>
              <w:bidi/>
              <w:jc w:val="right"/>
            </w:pPr>
            <w:r/>
            <w:r>
              <w:rPr>
                <w:rFonts w:ascii="Noto Sans Hebrew" w:hAnsi="Noto Sans Hebrew" w:eastAsia="Noto Sans Hebrew" w:cs="Noto Sans Hebrew"/>
                <w:b w:val="0"/>
                <w:sz w:val="19"/>
              </w:rPr>
              <w:t>חברה בינונית עם פעילות קיימת אך לא מאוד יציבה</w:t>
            </w:r>
          </w:p>
        </w:tc>
        <w:tc>
          <w:tcPr>
            <w:tcW w:type="dxa" w:w="5100"/>
            <w:vAlign w:val="center"/>
          </w:tcPr>
          <w:p>
            <w:pPr>
              <w:jc w:val="left"/>
            </w:pPr>
            <w:r/>
            <w:r>
              <w:rPr>
                <w:rFonts w:ascii="Aptos" w:hAnsi="Aptos" w:eastAsia="Aptos" w:cs="Aptos"/>
                <w:b w:val="0"/>
                <w:sz w:val="19"/>
              </w:rPr>
              <w:t>4–7</w:t>
            </w:r>
          </w:p>
        </w:tc>
      </w:tr>
      <w:tr>
        <w:tc>
          <w:tcPr>
            <w:tcW w:type="dxa" w:w="5100"/>
            <w:vAlign w:val="center"/>
          </w:tcPr>
          <w:p>
            <w:pPr>
              <w:bidi/>
              <w:jc w:val="right"/>
            </w:pPr>
            <w:r/>
            <w:r>
              <w:rPr>
                <w:rFonts w:ascii="Noto Sans Hebrew" w:hAnsi="Noto Sans Hebrew" w:eastAsia="Noto Sans Hebrew" w:cs="Noto Sans Hebrew"/>
                <w:b w:val="0"/>
                <w:sz w:val="19"/>
              </w:rPr>
              <w:t>חברה גדולה, מוכרת ויציבה</w:t>
            </w:r>
          </w:p>
        </w:tc>
        <w:tc>
          <w:tcPr>
            <w:tcW w:type="dxa" w:w="5100"/>
            <w:vAlign w:val="center"/>
          </w:tcPr>
          <w:p>
            <w:pPr>
              <w:jc w:val="left"/>
            </w:pPr>
            <w:r/>
            <w:r>
              <w:rPr>
                <w:rFonts w:ascii="Aptos" w:hAnsi="Aptos" w:eastAsia="Aptos" w:cs="Aptos"/>
                <w:b w:val="0"/>
                <w:sz w:val="19"/>
              </w:rPr>
              <w:t>8–10</w:t>
            </w:r>
          </w:p>
        </w:tc>
      </w:tr>
    </w:tbl>
    <w:p/>
    <w:p>
      <w:pPr>
        <w:pStyle w:val="Heading3"/>
        <w:bidi/>
        <w:spacing w:before="200" w:after="120"/>
        <w:jc w:val="right"/>
      </w:pPr>
      <w:r>
        <w:rPr>
          <w:rFonts w:ascii="Noto Sans Hebrew" w:hAnsi="Noto Sans Hebrew" w:eastAsia="Noto Sans Hebrew" w:cs="Noto Sans Hebrew"/>
          <w:b/>
          <w:color w:val="000000"/>
          <w:sz w:val="23"/>
        </w:rPr>
        <w:t>‪3.2‬ מצב פיננסי ונזילות — חמש עשרה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החברה מסוגלת לעמוד בהתחייבויות השוטפות שלה בלי להיכנס ללחץ פיננסי. נזילות חזקה היא שכבת הגנה בתקופות קשות.</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נוסחה</w:t>
            </w:r>
          </w:p>
        </w:tc>
      </w:tr>
      <w:tr>
        <w:tc>
          <w:tcPr>
            <w:tcW w:type="dxa" w:w="5100"/>
            <w:vAlign w:val="center"/>
          </w:tcPr>
          <w:p>
            <w:pPr>
              <w:jc w:val="left"/>
            </w:pPr>
            <w:r/>
            <w:r>
              <w:rPr>
                <w:rFonts w:ascii="Aptos" w:hAnsi="Aptos" w:eastAsia="Aptos" w:cs="Aptos"/>
                <w:b w:val="0"/>
                <w:sz w:val="19"/>
              </w:rPr>
              <w:t>Current Ratio</w:t>
            </w:r>
          </w:p>
        </w:tc>
        <w:tc>
          <w:tcPr>
            <w:tcW w:type="dxa" w:w="5100"/>
            <w:vAlign w:val="center"/>
          </w:tcPr>
          <w:p>
            <w:pPr>
              <w:jc w:val="left"/>
            </w:pPr>
            <w:r/>
            <w:r>
              <w:rPr>
                <w:rFonts w:ascii="Aptos" w:hAnsi="Aptos" w:eastAsia="Aptos" w:cs="Aptos"/>
                <w:b w:val="0"/>
                <w:sz w:val="19"/>
              </w:rPr>
              <w:t>Current Assets / Current Liabilities</w:t>
            </w:r>
          </w:p>
        </w:tc>
      </w:tr>
      <w:tr>
        <w:tc>
          <w:tcPr>
            <w:tcW w:type="dxa" w:w="5100"/>
            <w:vAlign w:val="center"/>
          </w:tcPr>
          <w:p>
            <w:pPr>
              <w:jc w:val="left"/>
            </w:pPr>
            <w:r/>
            <w:r>
              <w:rPr>
                <w:rFonts w:ascii="Aptos" w:hAnsi="Aptos" w:eastAsia="Aptos" w:cs="Aptos"/>
                <w:b w:val="0"/>
                <w:sz w:val="19"/>
              </w:rPr>
              <w:t>Quick Ratio</w:t>
            </w:r>
          </w:p>
        </w:tc>
        <w:tc>
          <w:tcPr>
            <w:tcW w:type="dxa" w:w="5100"/>
            <w:vAlign w:val="center"/>
          </w:tcPr>
          <w:p>
            <w:pPr>
              <w:jc w:val="left"/>
            </w:pPr>
            <w:r/>
            <w:r>
              <w:rPr>
                <w:rFonts w:ascii="Aptos" w:hAnsi="Aptos" w:eastAsia="Aptos" w:cs="Aptos"/>
                <w:b w:val="0"/>
                <w:sz w:val="19"/>
              </w:rPr>
              <w:t>(Cash + Short-Term Investments + Receivables) / Current Liabilities</w:t>
            </w:r>
          </w:p>
        </w:tc>
      </w:tr>
      <w:tr>
        <w:tc>
          <w:tcPr>
            <w:tcW w:type="dxa" w:w="5100"/>
            <w:vAlign w:val="center"/>
          </w:tcPr>
          <w:p>
            <w:pPr>
              <w:jc w:val="left"/>
            </w:pPr>
            <w:r/>
            <w:r>
              <w:rPr>
                <w:rFonts w:ascii="Aptos" w:hAnsi="Aptos" w:eastAsia="Aptos" w:cs="Aptos"/>
                <w:b w:val="0"/>
                <w:sz w:val="19"/>
              </w:rPr>
              <w:t>Working Capital</w:t>
            </w:r>
          </w:p>
        </w:tc>
        <w:tc>
          <w:tcPr>
            <w:tcW w:type="dxa" w:w="5100"/>
            <w:vAlign w:val="center"/>
          </w:tcPr>
          <w:p>
            <w:pPr>
              <w:jc w:val="left"/>
            </w:pPr>
            <w:r/>
            <w:r>
              <w:rPr>
                <w:rFonts w:ascii="Aptos" w:hAnsi="Aptos" w:eastAsia="Aptos" w:cs="Aptos"/>
                <w:b w:val="0"/>
                <w:sz w:val="19"/>
              </w:rPr>
              <w:t>Current Assets − Current Liabilities</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‪Current‬ ‪Ratio‬ מתחת ‪1‬ או הון חוזר שלילי</w:t>
            </w:r>
          </w:p>
        </w:tc>
        <w:tc>
          <w:tcPr>
            <w:tcW w:type="dxa" w:w="5100"/>
            <w:vAlign w:val="center"/>
          </w:tcPr>
          <w:p>
            <w:pPr>
              <w:jc w:val="left"/>
            </w:pPr>
            <w:r/>
            <w:r>
              <w:rPr>
                <w:rFonts w:ascii="Aptos" w:hAnsi="Aptos" w:eastAsia="Aptos" w:cs="Aptos"/>
                <w:b w:val="0"/>
                <w:sz w:val="19"/>
              </w:rPr>
              <w:t>0–4</w:t>
            </w:r>
          </w:p>
        </w:tc>
      </w:tr>
      <w:tr>
        <w:tc>
          <w:tcPr>
            <w:tcW w:type="dxa" w:w="5100"/>
            <w:vAlign w:val="center"/>
          </w:tcPr>
          <w:p>
            <w:pPr>
              <w:bidi/>
              <w:jc w:val="right"/>
            </w:pPr>
            <w:r/>
            <w:r>
              <w:rPr>
                <w:rFonts w:ascii="Noto Sans Hebrew" w:hAnsi="Noto Sans Hebrew" w:eastAsia="Noto Sans Hebrew" w:cs="Noto Sans Hebrew"/>
                <w:b w:val="0"/>
                <w:sz w:val="19"/>
              </w:rPr>
              <w:t>‪Current‬ ‪Ratio‬ בין ‪1‬ ל־‪1.5‬</w:t>
            </w:r>
          </w:p>
        </w:tc>
        <w:tc>
          <w:tcPr>
            <w:tcW w:type="dxa" w:w="5100"/>
            <w:vAlign w:val="center"/>
          </w:tcPr>
          <w:p>
            <w:pPr>
              <w:jc w:val="left"/>
            </w:pPr>
            <w:r/>
            <w:r>
              <w:rPr>
                <w:rFonts w:ascii="Aptos" w:hAnsi="Aptos" w:eastAsia="Aptos" w:cs="Aptos"/>
                <w:b w:val="0"/>
                <w:sz w:val="19"/>
              </w:rPr>
              <w:t>5–8</w:t>
            </w:r>
          </w:p>
        </w:tc>
      </w:tr>
      <w:tr>
        <w:tc>
          <w:tcPr>
            <w:tcW w:type="dxa" w:w="5100"/>
            <w:vAlign w:val="center"/>
          </w:tcPr>
          <w:p>
            <w:pPr>
              <w:bidi/>
              <w:jc w:val="right"/>
            </w:pPr>
            <w:r/>
            <w:r>
              <w:rPr>
                <w:rFonts w:ascii="Noto Sans Hebrew" w:hAnsi="Noto Sans Hebrew" w:eastAsia="Noto Sans Hebrew" w:cs="Noto Sans Hebrew"/>
                <w:b w:val="0"/>
                <w:sz w:val="19"/>
              </w:rPr>
              <w:t>‪Current‬ ‪Ratio‬ בין ‪1.5‬ ל־‪2‬</w:t>
            </w:r>
          </w:p>
        </w:tc>
        <w:tc>
          <w:tcPr>
            <w:tcW w:type="dxa" w:w="5100"/>
            <w:vAlign w:val="center"/>
          </w:tcPr>
          <w:p>
            <w:pPr>
              <w:jc w:val="left"/>
            </w:pPr>
            <w:r/>
            <w:r>
              <w:rPr>
                <w:rFonts w:ascii="Aptos" w:hAnsi="Aptos" w:eastAsia="Aptos" w:cs="Aptos"/>
                <w:b w:val="0"/>
                <w:sz w:val="19"/>
              </w:rPr>
              <w:t>9–12</w:t>
            </w:r>
          </w:p>
        </w:tc>
      </w:tr>
      <w:tr>
        <w:tc>
          <w:tcPr>
            <w:tcW w:type="dxa" w:w="5100"/>
            <w:vAlign w:val="center"/>
          </w:tcPr>
          <w:p>
            <w:pPr>
              <w:bidi/>
              <w:jc w:val="right"/>
            </w:pPr>
            <w:r/>
            <w:r>
              <w:rPr>
                <w:rFonts w:ascii="Noto Sans Hebrew" w:hAnsi="Noto Sans Hebrew" w:eastAsia="Noto Sans Hebrew" w:cs="Noto Sans Hebrew"/>
                <w:b w:val="0"/>
                <w:sz w:val="19"/>
              </w:rPr>
              <w:t>‪Current‬ ‪Ratio‬ מעל ‪2‬ והון חוזר חיובי חזק</w:t>
            </w:r>
          </w:p>
        </w:tc>
        <w:tc>
          <w:tcPr>
            <w:tcW w:type="dxa" w:w="5100"/>
            <w:vAlign w:val="center"/>
          </w:tcPr>
          <w:p>
            <w:pPr>
              <w:jc w:val="left"/>
            </w:pPr>
            <w:r/>
            <w:r>
              <w:rPr>
                <w:rFonts w:ascii="Aptos" w:hAnsi="Aptos" w:eastAsia="Aptos" w:cs="Aptos"/>
                <w:b w:val="0"/>
                <w:sz w:val="19"/>
              </w:rPr>
              <w:t>13–15</w:t>
            </w:r>
          </w:p>
        </w:tc>
      </w:tr>
    </w:tbl>
    <w:p/>
    <w:p>
      <w:pPr>
        <w:pStyle w:val="Heading3"/>
        <w:bidi/>
        <w:spacing w:before="200" w:after="120"/>
        <w:jc w:val="right"/>
      </w:pPr>
      <w:r>
        <w:rPr>
          <w:rFonts w:ascii="Noto Sans Hebrew" w:hAnsi="Noto Sans Hebrew" w:eastAsia="Noto Sans Hebrew" w:cs="Noto Sans Hebrew"/>
          <w:b/>
          <w:color w:val="000000"/>
          <w:sz w:val="23"/>
        </w:rPr>
        <w:t>‪3.3‬ חוב נמוך ושמרנות מאזנית — חמש עשרה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החברה ממונפת בצורה סבירה ושמרנית. חברה עם חוב גבוה יכולה להיראות זולה אך להיות מסוכנת מאוד.</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נוסחה / מצב טוב</w:t>
            </w:r>
          </w:p>
        </w:tc>
      </w:tr>
      <w:tr>
        <w:tc>
          <w:tcPr>
            <w:tcW w:type="dxa" w:w="5100"/>
            <w:vAlign w:val="center"/>
          </w:tcPr>
          <w:p>
            <w:pPr>
              <w:jc w:val="left"/>
            </w:pPr>
            <w:r/>
            <w:r>
              <w:rPr>
                <w:rFonts w:ascii="Aptos" w:hAnsi="Aptos" w:eastAsia="Aptos" w:cs="Aptos"/>
                <w:b w:val="0"/>
                <w:sz w:val="19"/>
              </w:rPr>
              <w:t>Debt to Equity</w:t>
            </w:r>
          </w:p>
        </w:tc>
        <w:tc>
          <w:tcPr>
            <w:tcW w:type="dxa" w:w="5100"/>
            <w:vAlign w:val="center"/>
          </w:tcPr>
          <w:p>
            <w:pPr>
              <w:bidi/>
              <w:jc w:val="right"/>
            </w:pPr>
            <w:r/>
            <w:r>
              <w:rPr>
                <w:rFonts w:ascii="Noto Sans Hebrew" w:hAnsi="Noto Sans Hebrew" w:eastAsia="Noto Sans Hebrew" w:cs="Noto Sans Hebrew"/>
                <w:b w:val="0"/>
                <w:sz w:val="19"/>
              </w:rPr>
              <w:t>‪Total‬ ‪Debt‬ / ‪Shareholders’‬ ‪Equity‬; רצוי מתחת ‪0.5–1‬</w:t>
            </w:r>
          </w:p>
        </w:tc>
      </w:tr>
      <w:tr>
        <w:tc>
          <w:tcPr>
            <w:tcW w:type="dxa" w:w="5100"/>
            <w:vAlign w:val="center"/>
          </w:tcPr>
          <w:p>
            <w:pPr>
              <w:jc w:val="left"/>
            </w:pPr>
            <w:r/>
            <w:r>
              <w:rPr>
                <w:rFonts w:ascii="Aptos" w:hAnsi="Aptos" w:eastAsia="Aptos" w:cs="Aptos"/>
                <w:b w:val="0"/>
                <w:sz w:val="19"/>
              </w:rPr>
              <w:t>Long-Term Debt to Working Capital</w:t>
            </w:r>
          </w:p>
        </w:tc>
        <w:tc>
          <w:tcPr>
            <w:tcW w:type="dxa" w:w="5100"/>
            <w:vAlign w:val="center"/>
          </w:tcPr>
          <w:p>
            <w:pPr>
              <w:bidi/>
              <w:jc w:val="right"/>
            </w:pPr>
            <w:r/>
            <w:r>
              <w:rPr>
                <w:rFonts w:ascii="Noto Sans Hebrew" w:hAnsi="Noto Sans Hebrew" w:eastAsia="Noto Sans Hebrew" w:cs="Noto Sans Hebrew"/>
                <w:b w:val="0"/>
                <w:sz w:val="19"/>
              </w:rPr>
              <w:t>‪Long-Term‬ ‪Debt‬ / ‪Working‬ ‪Capital‬; רצוי מתחת ‪1‬</w:t>
            </w:r>
          </w:p>
        </w:tc>
      </w:tr>
      <w:tr>
        <w:tc>
          <w:tcPr>
            <w:tcW w:type="dxa" w:w="5100"/>
            <w:vAlign w:val="center"/>
          </w:tcPr>
          <w:p>
            <w:pPr>
              <w:jc w:val="left"/>
            </w:pPr>
            <w:r/>
            <w:r>
              <w:rPr>
                <w:rFonts w:ascii="Aptos" w:hAnsi="Aptos" w:eastAsia="Aptos" w:cs="Aptos"/>
                <w:b w:val="0"/>
                <w:sz w:val="19"/>
              </w:rPr>
              <w:t>Interest Coverage</w:t>
            </w:r>
          </w:p>
        </w:tc>
        <w:tc>
          <w:tcPr>
            <w:tcW w:type="dxa" w:w="5100"/>
            <w:vAlign w:val="center"/>
          </w:tcPr>
          <w:p>
            <w:pPr>
              <w:bidi/>
              <w:jc w:val="right"/>
            </w:pPr>
            <w:r/>
            <w:r>
              <w:rPr>
                <w:rFonts w:ascii="Noto Sans Hebrew" w:hAnsi="Noto Sans Hebrew" w:eastAsia="Noto Sans Hebrew" w:cs="Noto Sans Hebrew"/>
                <w:b w:val="0"/>
                <w:sz w:val="19"/>
              </w:rPr>
              <w:t>‪EBIT‬ / ‪Interest‬ ‪Expense‬; רצוי מעל ‪5‬</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חוב גבוה או כיסוי ריבית חלש</w:t>
            </w:r>
          </w:p>
        </w:tc>
        <w:tc>
          <w:tcPr>
            <w:tcW w:type="dxa" w:w="5100"/>
            <w:vAlign w:val="center"/>
          </w:tcPr>
          <w:p>
            <w:pPr>
              <w:jc w:val="left"/>
            </w:pPr>
            <w:r/>
            <w:r>
              <w:rPr>
                <w:rFonts w:ascii="Aptos" w:hAnsi="Aptos" w:eastAsia="Aptos" w:cs="Aptos"/>
                <w:b w:val="0"/>
                <w:sz w:val="19"/>
              </w:rPr>
              <w:t>0–4</w:t>
            </w:r>
          </w:p>
        </w:tc>
      </w:tr>
      <w:tr>
        <w:tc>
          <w:tcPr>
            <w:tcW w:type="dxa" w:w="5100"/>
            <w:vAlign w:val="center"/>
          </w:tcPr>
          <w:p>
            <w:pPr>
              <w:bidi/>
              <w:jc w:val="right"/>
            </w:pPr>
            <w:r/>
            <w:r>
              <w:rPr>
                <w:rFonts w:ascii="Noto Sans Hebrew" w:hAnsi="Noto Sans Hebrew" w:eastAsia="Noto Sans Hebrew" w:cs="Noto Sans Hebrew"/>
                <w:b w:val="0"/>
                <w:sz w:val="19"/>
              </w:rPr>
              <w:t>חוב בינוני, שירות חוב סביר אך לא נוח</w:t>
            </w:r>
          </w:p>
        </w:tc>
        <w:tc>
          <w:tcPr>
            <w:tcW w:type="dxa" w:w="5100"/>
            <w:vAlign w:val="center"/>
          </w:tcPr>
          <w:p>
            <w:pPr>
              <w:jc w:val="left"/>
            </w:pPr>
            <w:r/>
            <w:r>
              <w:rPr>
                <w:rFonts w:ascii="Aptos" w:hAnsi="Aptos" w:eastAsia="Aptos" w:cs="Aptos"/>
                <w:b w:val="0"/>
                <w:sz w:val="19"/>
              </w:rPr>
              <w:t>5–9</w:t>
            </w:r>
          </w:p>
        </w:tc>
      </w:tr>
      <w:tr>
        <w:tc>
          <w:tcPr>
            <w:tcW w:type="dxa" w:w="5100"/>
            <w:vAlign w:val="center"/>
          </w:tcPr>
          <w:p>
            <w:pPr>
              <w:bidi/>
              <w:jc w:val="right"/>
            </w:pPr>
            <w:r/>
            <w:r>
              <w:rPr>
                <w:rFonts w:ascii="Noto Sans Hebrew" w:hAnsi="Noto Sans Hebrew" w:eastAsia="Noto Sans Hebrew" w:cs="Noto Sans Hebrew"/>
                <w:b w:val="0"/>
                <w:sz w:val="19"/>
              </w:rPr>
              <w:t>חוב נמוך יחסית וכיסוי ריבית טוב</w:t>
            </w:r>
          </w:p>
        </w:tc>
        <w:tc>
          <w:tcPr>
            <w:tcW w:type="dxa" w:w="5100"/>
            <w:vAlign w:val="center"/>
          </w:tcPr>
          <w:p>
            <w:pPr>
              <w:jc w:val="left"/>
            </w:pPr>
            <w:r/>
            <w:r>
              <w:rPr>
                <w:rFonts w:ascii="Aptos" w:hAnsi="Aptos" w:eastAsia="Aptos" w:cs="Aptos"/>
                <w:b w:val="0"/>
                <w:sz w:val="19"/>
              </w:rPr>
              <w:t>10–12</w:t>
            </w:r>
          </w:p>
        </w:tc>
      </w:tr>
      <w:tr>
        <w:tc>
          <w:tcPr>
            <w:tcW w:type="dxa" w:w="5100"/>
            <w:vAlign w:val="center"/>
          </w:tcPr>
          <w:p>
            <w:pPr>
              <w:bidi/>
              <w:jc w:val="right"/>
            </w:pPr>
            <w:r/>
            <w:r>
              <w:rPr>
                <w:rFonts w:ascii="Noto Sans Hebrew" w:hAnsi="Noto Sans Hebrew" w:eastAsia="Noto Sans Hebrew" w:cs="Noto Sans Hebrew"/>
                <w:b w:val="0"/>
                <w:sz w:val="19"/>
              </w:rPr>
              <w:t>מאזן שמרני במיוחד</w:t>
            </w:r>
          </w:p>
        </w:tc>
        <w:tc>
          <w:tcPr>
            <w:tcW w:type="dxa" w:w="5100"/>
            <w:vAlign w:val="center"/>
          </w:tcPr>
          <w:p>
            <w:pPr>
              <w:jc w:val="left"/>
            </w:pPr>
            <w:r/>
            <w:r>
              <w:rPr>
                <w:rFonts w:ascii="Aptos" w:hAnsi="Aptos" w:eastAsia="Aptos" w:cs="Aptos"/>
                <w:b w:val="0"/>
                <w:sz w:val="19"/>
              </w:rPr>
              <w:t>13–15</w:t>
            </w:r>
          </w:p>
        </w:tc>
      </w:tr>
    </w:tbl>
    <w:p/>
    <w:p>
      <w:pPr>
        <w:pStyle w:val="Heading3"/>
        <w:bidi/>
        <w:spacing w:before="200" w:after="120"/>
        <w:jc w:val="right"/>
      </w:pPr>
      <w:r>
        <w:rPr>
          <w:rFonts w:ascii="Noto Sans Hebrew" w:hAnsi="Noto Sans Hebrew" w:eastAsia="Noto Sans Hebrew" w:cs="Noto Sans Hebrew"/>
          <w:b/>
          <w:color w:val="000000"/>
          <w:sz w:val="23"/>
        </w:rPr>
        <w:t>‪3.4‬ יציבות רווחים — חמש עשרה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החברה מרוויחה באופן עקבי לאורך שנים. יציבות רווחים מקטינה את הסיכון שהמניה נראית זולה רק בגלל שנה זמנית חזקה.</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נוסחה</w:t>
            </w:r>
          </w:p>
        </w:tc>
      </w:tr>
      <w:tr>
        <w:tc>
          <w:tcPr>
            <w:tcW w:type="dxa" w:w="5100"/>
            <w:vAlign w:val="center"/>
          </w:tcPr>
          <w:p>
            <w:pPr>
              <w:jc w:val="left"/>
            </w:pPr>
            <w:r/>
            <w:r>
              <w:rPr>
                <w:rFonts w:ascii="Aptos" w:hAnsi="Aptos" w:eastAsia="Aptos" w:cs="Aptos"/>
                <w:b w:val="0"/>
                <w:sz w:val="19"/>
              </w:rPr>
              <w:t>EPS</w:t>
            </w:r>
          </w:p>
        </w:tc>
        <w:tc>
          <w:tcPr>
            <w:tcW w:type="dxa" w:w="5100"/>
            <w:vAlign w:val="center"/>
          </w:tcPr>
          <w:p>
            <w:pPr>
              <w:jc w:val="left"/>
            </w:pPr>
            <w:r/>
            <w:r>
              <w:rPr>
                <w:rFonts w:ascii="Aptos" w:hAnsi="Aptos" w:eastAsia="Aptos" w:cs="Aptos"/>
                <w:b w:val="0"/>
                <w:sz w:val="19"/>
              </w:rPr>
              <w:t>Net Income / Diluted Shares</w:t>
            </w:r>
          </w:p>
        </w:tc>
      </w:tr>
      <w:tr>
        <w:tc>
          <w:tcPr>
            <w:tcW w:type="dxa" w:w="5100"/>
            <w:vAlign w:val="center"/>
          </w:tcPr>
          <w:p>
            <w:pPr>
              <w:jc w:val="left"/>
            </w:pPr>
            <w:r/>
            <w:r>
              <w:rPr>
                <w:rFonts w:ascii="Aptos" w:hAnsi="Aptos" w:eastAsia="Aptos" w:cs="Aptos"/>
                <w:b w:val="0"/>
                <w:sz w:val="19"/>
              </w:rPr>
              <w:t>Average EPS</w:t>
            </w:r>
          </w:p>
        </w:tc>
        <w:tc>
          <w:tcPr>
            <w:tcW w:type="dxa" w:w="5100"/>
            <w:vAlign w:val="center"/>
          </w:tcPr>
          <w:p>
            <w:pPr>
              <w:jc w:val="left"/>
            </w:pPr>
            <w:r/>
            <w:r>
              <w:rPr>
                <w:rFonts w:ascii="Aptos" w:hAnsi="Aptos" w:eastAsia="Aptos" w:cs="Aptos"/>
                <w:b w:val="0"/>
                <w:sz w:val="19"/>
              </w:rPr>
              <w:t>Sum of EPS over period / Number of years</w:t>
            </w:r>
          </w:p>
        </w:tc>
      </w:tr>
      <w:tr>
        <w:tc>
          <w:tcPr>
            <w:tcW w:type="dxa" w:w="5100"/>
            <w:vAlign w:val="center"/>
          </w:tcPr>
          <w:p>
            <w:pPr>
              <w:bidi/>
              <w:jc w:val="right"/>
            </w:pPr>
            <w:r/>
            <w:r>
              <w:rPr>
                <w:rFonts w:ascii="Noto Sans Hebrew" w:hAnsi="Noto Sans Hebrew" w:eastAsia="Noto Sans Hebrew" w:cs="Noto Sans Hebrew"/>
                <w:b w:val="0"/>
                <w:sz w:val="19"/>
              </w:rPr>
              <w:t>מספר שנים רווחיות</w:t>
            </w:r>
          </w:p>
        </w:tc>
        <w:tc>
          <w:tcPr>
            <w:tcW w:type="dxa" w:w="5100"/>
            <w:vAlign w:val="center"/>
          </w:tcPr>
          <w:p>
            <w:pPr>
              <w:bidi/>
              <w:jc w:val="right"/>
            </w:pPr>
            <w:r/>
            <w:r>
              <w:rPr>
                <w:rFonts w:ascii="Noto Sans Hebrew" w:hAnsi="Noto Sans Hebrew" w:eastAsia="Noto Sans Hebrew" w:cs="Noto Sans Hebrew"/>
                <w:b w:val="0"/>
                <w:sz w:val="19"/>
              </w:rPr>
              <w:t>שנים עם רווח נקי חיובי מתוך ‪10‬</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הפסדים חוזרים או רווחיות תנודתית מאוד</w:t>
            </w:r>
          </w:p>
        </w:tc>
        <w:tc>
          <w:tcPr>
            <w:tcW w:type="dxa" w:w="5100"/>
            <w:vAlign w:val="center"/>
          </w:tcPr>
          <w:p>
            <w:pPr>
              <w:jc w:val="left"/>
            </w:pPr>
            <w:r/>
            <w:r>
              <w:rPr>
                <w:rFonts w:ascii="Aptos" w:hAnsi="Aptos" w:eastAsia="Aptos" w:cs="Aptos"/>
                <w:b w:val="0"/>
                <w:sz w:val="19"/>
              </w:rPr>
              <w:t>0–4</w:t>
            </w:r>
          </w:p>
        </w:tc>
      </w:tr>
      <w:tr>
        <w:tc>
          <w:tcPr>
            <w:tcW w:type="dxa" w:w="5100"/>
            <w:vAlign w:val="center"/>
          </w:tcPr>
          <w:p>
            <w:pPr>
              <w:bidi/>
              <w:jc w:val="right"/>
            </w:pPr>
            <w:r/>
            <w:r>
              <w:rPr>
                <w:rFonts w:ascii="Noto Sans Hebrew" w:hAnsi="Noto Sans Hebrew" w:eastAsia="Noto Sans Hebrew" w:cs="Noto Sans Hebrew"/>
                <w:b w:val="0"/>
                <w:sz w:val="19"/>
              </w:rPr>
              <w:t>רווח חיובי ברוב השנים עם שנים חלשות</w:t>
            </w:r>
          </w:p>
        </w:tc>
        <w:tc>
          <w:tcPr>
            <w:tcW w:type="dxa" w:w="5100"/>
            <w:vAlign w:val="center"/>
          </w:tcPr>
          <w:p>
            <w:pPr>
              <w:jc w:val="left"/>
            </w:pPr>
            <w:r/>
            <w:r>
              <w:rPr>
                <w:rFonts w:ascii="Aptos" w:hAnsi="Aptos" w:eastAsia="Aptos" w:cs="Aptos"/>
                <w:b w:val="0"/>
                <w:sz w:val="19"/>
              </w:rPr>
              <w:t>5–9</w:t>
            </w:r>
          </w:p>
        </w:tc>
      </w:tr>
      <w:tr>
        <w:tc>
          <w:tcPr>
            <w:tcW w:type="dxa" w:w="5100"/>
            <w:vAlign w:val="center"/>
          </w:tcPr>
          <w:p>
            <w:pPr>
              <w:bidi/>
              <w:jc w:val="right"/>
            </w:pPr>
            <w:r/>
            <w:r>
              <w:rPr>
                <w:rFonts w:ascii="Noto Sans Hebrew" w:hAnsi="Noto Sans Hebrew" w:eastAsia="Noto Sans Hebrew" w:cs="Noto Sans Hebrew"/>
                <w:b w:val="0"/>
                <w:sz w:val="19"/>
              </w:rPr>
              <w:t>רווח חיובי כמעט בכל השנים</w:t>
            </w:r>
          </w:p>
        </w:tc>
        <w:tc>
          <w:tcPr>
            <w:tcW w:type="dxa" w:w="5100"/>
            <w:vAlign w:val="center"/>
          </w:tcPr>
          <w:p>
            <w:pPr>
              <w:jc w:val="left"/>
            </w:pPr>
            <w:r/>
            <w:r>
              <w:rPr>
                <w:rFonts w:ascii="Aptos" w:hAnsi="Aptos" w:eastAsia="Aptos" w:cs="Aptos"/>
                <w:b w:val="0"/>
                <w:sz w:val="19"/>
              </w:rPr>
              <w:t>10–12</w:t>
            </w:r>
          </w:p>
        </w:tc>
      </w:tr>
      <w:tr>
        <w:tc>
          <w:tcPr>
            <w:tcW w:type="dxa" w:w="5100"/>
            <w:vAlign w:val="center"/>
          </w:tcPr>
          <w:p>
            <w:pPr>
              <w:bidi/>
              <w:jc w:val="right"/>
            </w:pPr>
            <w:r/>
            <w:r>
              <w:rPr>
                <w:rFonts w:ascii="Noto Sans Hebrew" w:hAnsi="Noto Sans Hebrew" w:eastAsia="Noto Sans Hebrew" w:cs="Noto Sans Hebrew"/>
                <w:b w:val="0"/>
                <w:sz w:val="19"/>
              </w:rPr>
              <w:t>רווח חיובי בכל ‪10‬ השנים האחרונות ויציבות גבוהה</w:t>
            </w:r>
          </w:p>
        </w:tc>
        <w:tc>
          <w:tcPr>
            <w:tcW w:type="dxa" w:w="5100"/>
            <w:vAlign w:val="center"/>
          </w:tcPr>
          <w:p>
            <w:pPr>
              <w:jc w:val="left"/>
            </w:pPr>
            <w:r/>
            <w:r>
              <w:rPr>
                <w:rFonts w:ascii="Aptos" w:hAnsi="Aptos" w:eastAsia="Aptos" w:cs="Aptos"/>
                <w:b w:val="0"/>
                <w:sz w:val="19"/>
              </w:rPr>
              <w:t>13–15</w:t>
            </w:r>
          </w:p>
        </w:tc>
      </w:tr>
    </w:tbl>
    <w:p/>
    <w:p>
      <w:pPr>
        <w:pStyle w:val="Heading3"/>
        <w:bidi/>
        <w:spacing w:before="200" w:after="120"/>
        <w:jc w:val="right"/>
      </w:pPr>
      <w:r>
        <w:rPr>
          <w:rFonts w:ascii="Noto Sans Hebrew" w:hAnsi="Noto Sans Hebrew" w:eastAsia="Noto Sans Hebrew" w:cs="Noto Sans Hebrew"/>
          <w:b/>
          <w:color w:val="000000"/>
          <w:sz w:val="23"/>
        </w:rPr>
        <w:t>‪3.5‬ היסטוריית דיבידנדים — עשר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החברה מחלקת דיבידנד באופן עקבי והאם הדיבידנד נתמך ברווחים ובתזרים. בגישת גרהם זה סימן לשמרנות ולמשמעת פיננסית.</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נוסחה</w:t>
            </w:r>
          </w:p>
        </w:tc>
      </w:tr>
      <w:tr>
        <w:tc>
          <w:tcPr>
            <w:tcW w:type="dxa" w:w="5100"/>
            <w:vAlign w:val="center"/>
          </w:tcPr>
          <w:p>
            <w:pPr>
              <w:jc w:val="left"/>
            </w:pPr>
            <w:r/>
            <w:r>
              <w:rPr>
                <w:rFonts w:ascii="Aptos" w:hAnsi="Aptos" w:eastAsia="Aptos" w:cs="Aptos"/>
                <w:b w:val="0"/>
                <w:sz w:val="19"/>
              </w:rPr>
              <w:t>Dividend Payout Ratio</w:t>
            </w:r>
          </w:p>
        </w:tc>
        <w:tc>
          <w:tcPr>
            <w:tcW w:type="dxa" w:w="5100"/>
            <w:vAlign w:val="center"/>
          </w:tcPr>
          <w:p>
            <w:pPr>
              <w:jc w:val="left"/>
            </w:pPr>
            <w:r/>
            <w:r>
              <w:rPr>
                <w:rFonts w:ascii="Aptos" w:hAnsi="Aptos" w:eastAsia="Aptos" w:cs="Aptos"/>
                <w:b w:val="0"/>
                <w:sz w:val="19"/>
              </w:rPr>
              <w:t>Dividends Paid / Net Income</w:t>
            </w:r>
          </w:p>
        </w:tc>
      </w:tr>
      <w:tr>
        <w:tc>
          <w:tcPr>
            <w:tcW w:type="dxa" w:w="5100"/>
            <w:vAlign w:val="center"/>
          </w:tcPr>
          <w:p>
            <w:pPr>
              <w:jc w:val="left"/>
            </w:pPr>
            <w:r/>
            <w:r>
              <w:rPr>
                <w:rFonts w:ascii="Aptos" w:hAnsi="Aptos" w:eastAsia="Aptos" w:cs="Aptos"/>
                <w:b w:val="0"/>
                <w:sz w:val="19"/>
              </w:rPr>
              <w:t>FCF Payout Ratio</w:t>
            </w:r>
          </w:p>
        </w:tc>
        <w:tc>
          <w:tcPr>
            <w:tcW w:type="dxa" w:w="5100"/>
            <w:vAlign w:val="center"/>
          </w:tcPr>
          <w:p>
            <w:pPr>
              <w:jc w:val="left"/>
            </w:pPr>
            <w:r/>
            <w:r>
              <w:rPr>
                <w:rFonts w:ascii="Aptos" w:hAnsi="Aptos" w:eastAsia="Aptos" w:cs="Aptos"/>
                <w:b w:val="0"/>
                <w:sz w:val="19"/>
              </w:rPr>
              <w:t>Dividends Paid / Free Cash Flow</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אין דיבידנד או הפסקה ללא סיבה טובה</w:t>
            </w:r>
          </w:p>
        </w:tc>
        <w:tc>
          <w:tcPr>
            <w:tcW w:type="dxa" w:w="5100"/>
            <w:vAlign w:val="center"/>
          </w:tcPr>
          <w:p>
            <w:pPr>
              <w:jc w:val="left"/>
            </w:pPr>
            <w:r/>
            <w:r>
              <w:rPr>
                <w:rFonts w:ascii="Aptos" w:hAnsi="Aptos" w:eastAsia="Aptos" w:cs="Aptos"/>
                <w:b w:val="0"/>
                <w:sz w:val="19"/>
              </w:rPr>
              <w:t>0–2</w:t>
            </w:r>
          </w:p>
        </w:tc>
      </w:tr>
      <w:tr>
        <w:tc>
          <w:tcPr>
            <w:tcW w:type="dxa" w:w="5100"/>
            <w:vAlign w:val="center"/>
          </w:tcPr>
          <w:p>
            <w:pPr>
              <w:bidi/>
              <w:jc w:val="right"/>
            </w:pPr>
            <w:r/>
            <w:r>
              <w:rPr>
                <w:rFonts w:ascii="Noto Sans Hebrew" w:hAnsi="Noto Sans Hebrew" w:eastAsia="Noto Sans Hebrew" w:cs="Noto Sans Hebrew"/>
                <w:b w:val="0"/>
                <w:sz w:val="19"/>
              </w:rPr>
              <w:t>דיבידנד קיים אך קצר או לא יציב</w:t>
            </w:r>
          </w:p>
        </w:tc>
        <w:tc>
          <w:tcPr>
            <w:tcW w:type="dxa" w:w="5100"/>
            <w:vAlign w:val="center"/>
          </w:tcPr>
          <w:p>
            <w:pPr>
              <w:jc w:val="left"/>
            </w:pPr>
            <w:r/>
            <w:r>
              <w:rPr>
                <w:rFonts w:ascii="Aptos" w:hAnsi="Aptos" w:eastAsia="Aptos" w:cs="Aptos"/>
                <w:b w:val="0"/>
                <w:sz w:val="19"/>
              </w:rPr>
              <w:t>3–5</w:t>
            </w:r>
          </w:p>
        </w:tc>
      </w:tr>
      <w:tr>
        <w:tc>
          <w:tcPr>
            <w:tcW w:type="dxa" w:w="5100"/>
            <w:vAlign w:val="center"/>
          </w:tcPr>
          <w:p>
            <w:pPr>
              <w:bidi/>
              <w:jc w:val="right"/>
            </w:pPr>
            <w:r/>
            <w:r>
              <w:rPr>
                <w:rFonts w:ascii="Noto Sans Hebrew" w:hAnsi="Noto Sans Hebrew" w:eastAsia="Noto Sans Hebrew" w:cs="Noto Sans Hebrew"/>
                <w:b w:val="0"/>
                <w:sz w:val="19"/>
              </w:rPr>
              <w:t>דיבידנד רציף אך תנודתי</w:t>
            </w:r>
          </w:p>
        </w:tc>
        <w:tc>
          <w:tcPr>
            <w:tcW w:type="dxa" w:w="5100"/>
            <w:vAlign w:val="center"/>
          </w:tcPr>
          <w:p>
            <w:pPr>
              <w:jc w:val="left"/>
            </w:pPr>
            <w:r/>
            <w:r>
              <w:rPr>
                <w:rFonts w:ascii="Aptos" w:hAnsi="Aptos" w:eastAsia="Aptos" w:cs="Aptos"/>
                <w:b w:val="0"/>
                <w:sz w:val="19"/>
              </w:rPr>
              <w:t>6–8</w:t>
            </w:r>
          </w:p>
        </w:tc>
      </w:tr>
      <w:tr>
        <w:tc>
          <w:tcPr>
            <w:tcW w:type="dxa" w:w="5100"/>
            <w:vAlign w:val="center"/>
          </w:tcPr>
          <w:p>
            <w:pPr>
              <w:bidi/>
              <w:jc w:val="right"/>
            </w:pPr>
            <w:r/>
            <w:r>
              <w:rPr>
                <w:rFonts w:ascii="Noto Sans Hebrew" w:hAnsi="Noto Sans Hebrew" w:eastAsia="Noto Sans Hebrew" w:cs="Noto Sans Hebrew"/>
                <w:b w:val="0"/>
                <w:sz w:val="19"/>
              </w:rPr>
              <w:t>דיבידנד רציף, שמרני ומכוסה היטב</w:t>
            </w:r>
          </w:p>
        </w:tc>
        <w:tc>
          <w:tcPr>
            <w:tcW w:type="dxa" w:w="5100"/>
            <w:vAlign w:val="center"/>
          </w:tcPr>
          <w:p>
            <w:pPr>
              <w:jc w:val="left"/>
            </w:pPr>
            <w:r/>
            <w:r>
              <w:rPr>
                <w:rFonts w:ascii="Aptos" w:hAnsi="Aptos" w:eastAsia="Aptos" w:cs="Aptos"/>
                <w:b w:val="0"/>
                <w:sz w:val="19"/>
              </w:rPr>
              <w:t>9–10</w:t>
            </w:r>
          </w:p>
        </w:tc>
      </w:tr>
    </w:tbl>
    <w:p/>
    <w:p>
      <w:pPr>
        <w:pStyle w:val="Heading3"/>
        <w:bidi/>
        <w:spacing w:before="200" w:after="120"/>
        <w:jc w:val="right"/>
      </w:pPr>
      <w:r>
        <w:rPr>
          <w:rFonts w:ascii="Noto Sans Hebrew" w:hAnsi="Noto Sans Hebrew" w:eastAsia="Noto Sans Hebrew" w:cs="Noto Sans Hebrew"/>
          <w:b/>
          <w:color w:val="000000"/>
          <w:sz w:val="23"/>
        </w:rPr>
        <w:t>‪3.6‬ צמיחת רווחים מתונה — חמש עשרה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כוח הרווח של החברה משתפר לאורך זמן. גרהם לא חיפש בהכרח צמיחה מהירה, אלא שיפור מתון ויציב ברווחים.</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נוסחה</w:t>
            </w:r>
          </w:p>
        </w:tc>
      </w:tr>
      <w:tr>
        <w:tc>
          <w:tcPr>
            <w:tcW w:type="dxa" w:w="5100"/>
            <w:vAlign w:val="center"/>
          </w:tcPr>
          <w:p>
            <w:pPr>
              <w:jc w:val="left"/>
            </w:pPr>
            <w:r/>
            <w:r>
              <w:rPr>
                <w:rFonts w:ascii="Aptos" w:hAnsi="Aptos" w:eastAsia="Aptos" w:cs="Aptos"/>
                <w:b w:val="0"/>
                <w:sz w:val="19"/>
              </w:rPr>
              <w:t>EPS Growth</w:t>
            </w:r>
          </w:p>
        </w:tc>
        <w:tc>
          <w:tcPr>
            <w:tcW w:type="dxa" w:w="5100"/>
            <w:vAlign w:val="center"/>
          </w:tcPr>
          <w:p>
            <w:pPr>
              <w:jc w:val="left"/>
            </w:pPr>
            <w:r/>
            <w:r>
              <w:rPr>
                <w:rFonts w:ascii="Aptos" w:hAnsi="Aptos" w:eastAsia="Aptos" w:cs="Aptos"/>
                <w:b w:val="0"/>
                <w:sz w:val="19"/>
              </w:rPr>
              <w:t>EPS Final Period / EPS Initial Period − 1</w:t>
            </w:r>
          </w:p>
        </w:tc>
      </w:tr>
      <w:tr>
        <w:tc>
          <w:tcPr>
            <w:tcW w:type="dxa" w:w="5100"/>
            <w:vAlign w:val="center"/>
          </w:tcPr>
          <w:p>
            <w:pPr>
              <w:jc w:val="left"/>
            </w:pPr>
            <w:r/>
            <w:r>
              <w:rPr>
                <w:rFonts w:ascii="Aptos" w:hAnsi="Aptos" w:eastAsia="Aptos" w:cs="Aptos"/>
                <w:b w:val="0"/>
                <w:sz w:val="19"/>
              </w:rPr>
              <w:t>EPS Growth Based on 3-Year Averages</w:t>
            </w:r>
          </w:p>
        </w:tc>
        <w:tc>
          <w:tcPr>
            <w:tcW w:type="dxa" w:w="5100"/>
            <w:vAlign w:val="center"/>
          </w:tcPr>
          <w:p>
            <w:pPr>
              <w:jc w:val="left"/>
            </w:pPr>
            <w:r/>
            <w:r>
              <w:rPr>
                <w:rFonts w:ascii="Aptos" w:hAnsi="Aptos" w:eastAsia="Aptos" w:cs="Aptos"/>
                <w:b w:val="0"/>
                <w:sz w:val="19"/>
              </w:rPr>
              <w:t>Average EPS Last 3 Years / Average EPS First 3 Years − 1</w:t>
            </w:r>
          </w:p>
        </w:tc>
      </w:tr>
      <w:tr>
        <w:tc>
          <w:tcPr>
            <w:tcW w:type="dxa" w:w="5100"/>
            <w:vAlign w:val="center"/>
          </w:tcPr>
          <w:p>
            <w:pPr>
              <w:jc w:val="left"/>
            </w:pPr>
            <w:r/>
            <w:r>
              <w:rPr>
                <w:rFonts w:ascii="Aptos" w:hAnsi="Aptos" w:eastAsia="Aptos" w:cs="Aptos"/>
                <w:b w:val="0"/>
                <w:sz w:val="19"/>
              </w:rPr>
              <w:t>EPS CAGR</w:t>
            </w:r>
          </w:p>
        </w:tc>
        <w:tc>
          <w:tcPr>
            <w:tcW w:type="dxa" w:w="5100"/>
            <w:vAlign w:val="center"/>
          </w:tcPr>
          <w:p>
            <w:pPr>
              <w:jc w:val="left"/>
            </w:pPr>
            <w:r/>
            <w:r>
              <w:rPr>
                <w:rFonts w:ascii="Aptos" w:hAnsi="Aptos" w:eastAsia="Aptos" w:cs="Aptos"/>
                <w:b w:val="0"/>
                <w:sz w:val="19"/>
              </w:rPr>
              <w:t>(EPS Final / EPS Initial)^(1/n) − 1</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אין צמיחת רווחים או ירידה ברווח למניה</w:t>
            </w:r>
          </w:p>
        </w:tc>
        <w:tc>
          <w:tcPr>
            <w:tcW w:type="dxa" w:w="5100"/>
            <w:vAlign w:val="center"/>
          </w:tcPr>
          <w:p>
            <w:pPr>
              <w:jc w:val="left"/>
            </w:pPr>
            <w:r/>
            <w:r>
              <w:rPr>
                <w:rFonts w:ascii="Aptos" w:hAnsi="Aptos" w:eastAsia="Aptos" w:cs="Aptos"/>
                <w:b w:val="0"/>
                <w:sz w:val="19"/>
              </w:rPr>
              <w:t>0–4</w:t>
            </w:r>
          </w:p>
        </w:tc>
      </w:tr>
      <w:tr>
        <w:tc>
          <w:tcPr>
            <w:tcW w:type="dxa" w:w="5100"/>
            <w:vAlign w:val="center"/>
          </w:tcPr>
          <w:p>
            <w:pPr>
              <w:bidi/>
              <w:jc w:val="right"/>
            </w:pPr>
            <w:r/>
            <w:r>
              <w:rPr>
                <w:rFonts w:ascii="Noto Sans Hebrew" w:hAnsi="Noto Sans Hebrew" w:eastAsia="Noto Sans Hebrew" w:cs="Noto Sans Hebrew"/>
                <w:b w:val="0"/>
                <w:sz w:val="19"/>
              </w:rPr>
              <w:t>צמיחה חלשה מאוד או תנודתית</w:t>
            </w:r>
          </w:p>
        </w:tc>
        <w:tc>
          <w:tcPr>
            <w:tcW w:type="dxa" w:w="5100"/>
            <w:vAlign w:val="center"/>
          </w:tcPr>
          <w:p>
            <w:pPr>
              <w:jc w:val="left"/>
            </w:pPr>
            <w:r/>
            <w:r>
              <w:rPr>
                <w:rFonts w:ascii="Aptos" w:hAnsi="Aptos" w:eastAsia="Aptos" w:cs="Aptos"/>
                <w:b w:val="0"/>
                <w:sz w:val="19"/>
              </w:rPr>
              <w:t>5–8</w:t>
            </w:r>
          </w:p>
        </w:tc>
      </w:tr>
      <w:tr>
        <w:tc>
          <w:tcPr>
            <w:tcW w:type="dxa" w:w="5100"/>
            <w:vAlign w:val="center"/>
          </w:tcPr>
          <w:p>
            <w:pPr>
              <w:bidi/>
              <w:jc w:val="right"/>
            </w:pPr>
            <w:r/>
            <w:r>
              <w:rPr>
                <w:rFonts w:ascii="Noto Sans Hebrew" w:hAnsi="Noto Sans Hebrew" w:eastAsia="Noto Sans Hebrew" w:cs="Noto Sans Hebrew"/>
                <w:b w:val="0"/>
                <w:sz w:val="19"/>
              </w:rPr>
              <w:t>צמיחה מתונה, חיובית וברורה</w:t>
            </w:r>
          </w:p>
        </w:tc>
        <w:tc>
          <w:tcPr>
            <w:tcW w:type="dxa" w:w="5100"/>
            <w:vAlign w:val="center"/>
          </w:tcPr>
          <w:p>
            <w:pPr>
              <w:jc w:val="left"/>
            </w:pPr>
            <w:r/>
            <w:r>
              <w:rPr>
                <w:rFonts w:ascii="Aptos" w:hAnsi="Aptos" w:eastAsia="Aptos" w:cs="Aptos"/>
                <w:b w:val="0"/>
                <w:sz w:val="19"/>
              </w:rPr>
              <w:t>9–12</w:t>
            </w:r>
          </w:p>
        </w:tc>
      </w:tr>
      <w:tr>
        <w:tc>
          <w:tcPr>
            <w:tcW w:type="dxa" w:w="5100"/>
            <w:vAlign w:val="center"/>
          </w:tcPr>
          <w:p>
            <w:pPr>
              <w:bidi/>
              <w:jc w:val="right"/>
            </w:pPr>
            <w:r/>
            <w:r>
              <w:rPr>
                <w:rFonts w:ascii="Noto Sans Hebrew" w:hAnsi="Noto Sans Hebrew" w:eastAsia="Noto Sans Hebrew" w:cs="Noto Sans Hebrew"/>
                <w:b w:val="0"/>
                <w:sz w:val="19"/>
              </w:rPr>
              <w:t>צמיחה חזקה יחסית, יציבה ולא ספקולטיבית</w:t>
            </w:r>
          </w:p>
        </w:tc>
        <w:tc>
          <w:tcPr>
            <w:tcW w:type="dxa" w:w="5100"/>
            <w:vAlign w:val="center"/>
          </w:tcPr>
          <w:p>
            <w:pPr>
              <w:jc w:val="left"/>
            </w:pPr>
            <w:r/>
            <w:r>
              <w:rPr>
                <w:rFonts w:ascii="Aptos" w:hAnsi="Aptos" w:eastAsia="Aptos" w:cs="Aptos"/>
                <w:b w:val="0"/>
                <w:sz w:val="19"/>
              </w:rPr>
              <w:t>13–15</w:t>
            </w:r>
          </w:p>
        </w:tc>
      </w:tr>
    </w:tbl>
    <w:p/>
    <w:p>
      <w:pPr>
        <w:pStyle w:val="Heading3"/>
        <w:bidi/>
        <w:spacing w:before="200" w:after="120"/>
        <w:jc w:val="right"/>
      </w:pPr>
      <w:r>
        <w:rPr>
          <w:rFonts w:ascii="Noto Sans Hebrew" w:hAnsi="Noto Sans Hebrew" w:eastAsia="Noto Sans Hebrew" w:cs="Noto Sans Hebrew"/>
          <w:b/>
          <w:color w:val="000000"/>
          <w:sz w:val="23"/>
        </w:rPr>
        <w:t>‪3.7‬ איכות ההון העצמי והנכסים — עשר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ההון העצמי של החברה איכותי, יציב ומבוסס על נכסים בעלי ערך ממשי. זה חשוב כי הערכת גרהם נשענת גם על ‪Book‬ ‪Value‬.</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נוסחה</w:t>
            </w:r>
          </w:p>
        </w:tc>
      </w:tr>
      <w:tr>
        <w:tc>
          <w:tcPr>
            <w:tcW w:type="dxa" w:w="5100"/>
            <w:vAlign w:val="center"/>
          </w:tcPr>
          <w:p>
            <w:pPr>
              <w:jc w:val="left"/>
            </w:pPr>
            <w:r/>
            <w:r>
              <w:rPr>
                <w:rFonts w:ascii="Aptos" w:hAnsi="Aptos" w:eastAsia="Aptos" w:cs="Aptos"/>
                <w:b w:val="0"/>
                <w:sz w:val="19"/>
              </w:rPr>
              <w:t>Book Value Per Share</w:t>
            </w:r>
          </w:p>
        </w:tc>
        <w:tc>
          <w:tcPr>
            <w:tcW w:type="dxa" w:w="5100"/>
            <w:vAlign w:val="center"/>
          </w:tcPr>
          <w:p>
            <w:pPr>
              <w:jc w:val="left"/>
            </w:pPr>
            <w:r/>
            <w:r>
              <w:rPr>
                <w:rFonts w:ascii="Aptos" w:hAnsi="Aptos" w:eastAsia="Aptos" w:cs="Aptos"/>
                <w:b w:val="0"/>
                <w:sz w:val="19"/>
              </w:rPr>
              <w:t>Shareholders’ Equity / Diluted Shares</w:t>
            </w:r>
          </w:p>
        </w:tc>
      </w:tr>
      <w:tr>
        <w:tc>
          <w:tcPr>
            <w:tcW w:type="dxa" w:w="5100"/>
            <w:vAlign w:val="center"/>
          </w:tcPr>
          <w:p>
            <w:pPr>
              <w:jc w:val="left"/>
            </w:pPr>
            <w:r/>
            <w:r>
              <w:rPr>
                <w:rFonts w:ascii="Aptos" w:hAnsi="Aptos" w:eastAsia="Aptos" w:cs="Aptos"/>
                <w:b w:val="0"/>
                <w:sz w:val="19"/>
              </w:rPr>
              <w:t>Tangible Book Value</w:t>
            </w:r>
          </w:p>
        </w:tc>
        <w:tc>
          <w:tcPr>
            <w:tcW w:type="dxa" w:w="5100"/>
            <w:vAlign w:val="center"/>
          </w:tcPr>
          <w:p>
            <w:pPr>
              <w:jc w:val="left"/>
            </w:pPr>
            <w:r/>
            <w:r>
              <w:rPr>
                <w:rFonts w:ascii="Aptos" w:hAnsi="Aptos" w:eastAsia="Aptos" w:cs="Aptos"/>
                <w:b w:val="0"/>
                <w:sz w:val="19"/>
              </w:rPr>
              <w:t>Shareholders’ Equity − Goodwill − Intangible Assets</w:t>
            </w:r>
          </w:p>
        </w:tc>
      </w:tr>
      <w:tr>
        <w:tc>
          <w:tcPr>
            <w:tcW w:type="dxa" w:w="5100"/>
            <w:vAlign w:val="center"/>
          </w:tcPr>
          <w:p>
            <w:pPr>
              <w:jc w:val="left"/>
            </w:pPr>
            <w:r/>
            <w:r>
              <w:rPr>
                <w:rFonts w:ascii="Aptos" w:hAnsi="Aptos" w:eastAsia="Aptos" w:cs="Aptos"/>
                <w:b w:val="0"/>
                <w:sz w:val="19"/>
              </w:rPr>
              <w:t>Tangible BVPS</w:t>
            </w:r>
          </w:p>
        </w:tc>
        <w:tc>
          <w:tcPr>
            <w:tcW w:type="dxa" w:w="5100"/>
            <w:vAlign w:val="center"/>
          </w:tcPr>
          <w:p>
            <w:pPr>
              <w:jc w:val="left"/>
            </w:pPr>
            <w:r/>
            <w:r>
              <w:rPr>
                <w:rFonts w:ascii="Aptos" w:hAnsi="Aptos" w:eastAsia="Aptos" w:cs="Aptos"/>
                <w:b w:val="0"/>
                <w:sz w:val="19"/>
              </w:rPr>
              <w:t>Tangible Book Value / Diluted Shares</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הון עצמי שלילי או תלות גבוהה בנכסים בלתי מוחשיים</w:t>
            </w:r>
          </w:p>
        </w:tc>
        <w:tc>
          <w:tcPr>
            <w:tcW w:type="dxa" w:w="5100"/>
            <w:vAlign w:val="center"/>
          </w:tcPr>
          <w:p>
            <w:pPr>
              <w:jc w:val="left"/>
            </w:pPr>
            <w:r/>
            <w:r>
              <w:rPr>
                <w:rFonts w:ascii="Aptos" w:hAnsi="Aptos" w:eastAsia="Aptos" w:cs="Aptos"/>
                <w:b w:val="0"/>
                <w:sz w:val="19"/>
              </w:rPr>
              <w:t>0–3</w:t>
            </w:r>
          </w:p>
        </w:tc>
      </w:tr>
      <w:tr>
        <w:tc>
          <w:tcPr>
            <w:tcW w:type="dxa" w:w="5100"/>
            <w:vAlign w:val="center"/>
          </w:tcPr>
          <w:p>
            <w:pPr>
              <w:bidi/>
              <w:jc w:val="right"/>
            </w:pPr>
            <w:r/>
            <w:r>
              <w:rPr>
                <w:rFonts w:ascii="Noto Sans Hebrew" w:hAnsi="Noto Sans Hebrew" w:eastAsia="Noto Sans Hebrew" w:cs="Noto Sans Hebrew"/>
                <w:b w:val="0"/>
                <w:sz w:val="19"/>
              </w:rPr>
              <w:t>הון עצמי חיובי אך חלק גדול ממנו בלתי מוחשי</w:t>
            </w:r>
          </w:p>
        </w:tc>
        <w:tc>
          <w:tcPr>
            <w:tcW w:type="dxa" w:w="5100"/>
            <w:vAlign w:val="center"/>
          </w:tcPr>
          <w:p>
            <w:pPr>
              <w:jc w:val="left"/>
            </w:pPr>
            <w:r/>
            <w:r>
              <w:rPr>
                <w:rFonts w:ascii="Aptos" w:hAnsi="Aptos" w:eastAsia="Aptos" w:cs="Aptos"/>
                <w:b w:val="0"/>
                <w:sz w:val="19"/>
              </w:rPr>
              <w:t>4–6</w:t>
            </w:r>
          </w:p>
        </w:tc>
      </w:tr>
      <w:tr>
        <w:tc>
          <w:tcPr>
            <w:tcW w:type="dxa" w:w="5100"/>
            <w:vAlign w:val="center"/>
          </w:tcPr>
          <w:p>
            <w:pPr>
              <w:bidi/>
              <w:jc w:val="right"/>
            </w:pPr>
            <w:r/>
            <w:r>
              <w:rPr>
                <w:rFonts w:ascii="Noto Sans Hebrew" w:hAnsi="Noto Sans Hebrew" w:eastAsia="Noto Sans Hebrew" w:cs="Noto Sans Hebrew"/>
                <w:b w:val="0"/>
                <w:sz w:val="19"/>
              </w:rPr>
              <w:t>הון עצמי חיובי ויציב</w:t>
            </w:r>
          </w:p>
        </w:tc>
        <w:tc>
          <w:tcPr>
            <w:tcW w:type="dxa" w:w="5100"/>
            <w:vAlign w:val="center"/>
          </w:tcPr>
          <w:p>
            <w:pPr>
              <w:jc w:val="left"/>
            </w:pPr>
            <w:r/>
            <w:r>
              <w:rPr>
                <w:rFonts w:ascii="Aptos" w:hAnsi="Aptos" w:eastAsia="Aptos" w:cs="Aptos"/>
                <w:b w:val="0"/>
                <w:sz w:val="19"/>
              </w:rPr>
              <w:t>7–8</w:t>
            </w:r>
          </w:p>
        </w:tc>
      </w:tr>
      <w:tr>
        <w:tc>
          <w:tcPr>
            <w:tcW w:type="dxa" w:w="5100"/>
            <w:vAlign w:val="center"/>
          </w:tcPr>
          <w:p>
            <w:pPr>
              <w:bidi/>
              <w:jc w:val="right"/>
            </w:pPr>
            <w:r/>
            <w:r>
              <w:rPr>
                <w:rFonts w:ascii="Noto Sans Hebrew" w:hAnsi="Noto Sans Hebrew" w:eastAsia="Noto Sans Hebrew" w:cs="Noto Sans Hebrew"/>
                <w:b w:val="0"/>
                <w:sz w:val="19"/>
              </w:rPr>
              <w:t>הון עצמי חזק, מוחשי יחסית ושמרני</w:t>
            </w:r>
          </w:p>
        </w:tc>
        <w:tc>
          <w:tcPr>
            <w:tcW w:type="dxa" w:w="5100"/>
            <w:vAlign w:val="center"/>
          </w:tcPr>
          <w:p>
            <w:pPr>
              <w:jc w:val="left"/>
            </w:pPr>
            <w:r/>
            <w:r>
              <w:rPr>
                <w:rFonts w:ascii="Aptos" w:hAnsi="Aptos" w:eastAsia="Aptos" w:cs="Aptos"/>
                <w:b w:val="0"/>
                <w:sz w:val="19"/>
              </w:rPr>
              <w:t>9–10</w:t>
            </w:r>
          </w:p>
        </w:tc>
      </w:tr>
    </w:tbl>
    <w:p/>
    <w:p>
      <w:pPr>
        <w:pStyle w:val="Heading3"/>
        <w:bidi/>
        <w:spacing w:before="200" w:after="120"/>
        <w:jc w:val="right"/>
      </w:pPr>
      <w:r>
        <w:rPr>
          <w:rFonts w:ascii="Noto Sans Hebrew" w:hAnsi="Noto Sans Hebrew" w:eastAsia="Noto Sans Hebrew" w:cs="Noto Sans Hebrew"/>
          <w:b/>
          <w:color w:val="000000"/>
          <w:sz w:val="23"/>
        </w:rPr>
        <w:t>‪3.8‬ איכות רווחים ודילול מניות — עשר נקודות</w:t>
      </w:r>
    </w:p>
    <w:p>
      <w:pPr>
        <w:bidi/>
        <w:spacing w:after="120" w:line="259" w:lineRule="auto"/>
        <w:jc w:val="right"/>
      </w:pPr>
      <w:r>
        <w:rPr>
          <w:rFonts w:ascii="Noto Sans Hebrew" w:hAnsi="Noto Sans Hebrew" w:eastAsia="Noto Sans Hebrew" w:cs="Noto Sans Hebrew"/>
          <w:b w:val="0"/>
          <w:i w:val="0"/>
          <w:sz w:val="22"/>
        </w:rPr>
        <w:t>הסבר: הקריטריון בודק האם הרווחים אמיתיים, חוזרים ובריאים, והאם בעלי המניות אינם מדוללים לאורך זמן.</w:t>
      </w:r>
    </w:p>
    <w:p>
      <w:pPr>
        <w:bidi/>
        <w:spacing w:after="120" w:line="259" w:lineRule="auto"/>
        <w:jc w:val="right"/>
      </w:pPr>
      <w:r>
        <w:rPr>
          <w:rFonts w:ascii="Noto Sans Hebrew" w:hAnsi="Noto Sans Hebrew" w:eastAsia="Noto Sans Hebrew" w:cs="Noto Sans Hebrew"/>
          <w:b/>
          <w:i w:val="0"/>
          <w:sz w:val="22"/>
        </w:rPr>
        <w:t>שיטת חישוב הקריטריון:</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מדד</w:t>
            </w:r>
          </w:p>
        </w:tc>
        <w:tc>
          <w:tcPr>
            <w:tcW w:type="dxa" w:w="5100"/>
            <w:vAlign w:val="center"/>
            <w:shd w:fill="D9EAF7"/>
          </w:tcPr>
          <w:p>
            <w:pPr>
              <w:bidi/>
              <w:jc w:val="right"/>
            </w:pPr>
            <w:r/>
            <w:r>
              <w:rPr>
                <w:rFonts w:ascii="Noto Sans Hebrew" w:hAnsi="Noto Sans Hebrew" w:eastAsia="Noto Sans Hebrew" w:cs="Noto Sans Hebrew"/>
                <w:b/>
                <w:sz w:val="19"/>
              </w:rPr>
              <w:t>ניקוד מקסימלי</w:t>
            </w:r>
          </w:p>
        </w:tc>
      </w:tr>
      <w:tr>
        <w:tc>
          <w:tcPr>
            <w:tcW w:type="dxa" w:w="5100"/>
            <w:vAlign w:val="center"/>
          </w:tcPr>
          <w:p>
            <w:pPr>
              <w:bidi/>
              <w:jc w:val="right"/>
            </w:pPr>
            <w:r/>
            <w:r>
              <w:rPr>
                <w:rFonts w:ascii="Noto Sans Hebrew" w:hAnsi="Noto Sans Hebrew" w:eastAsia="Noto Sans Hebrew" w:cs="Noto Sans Hebrew"/>
                <w:b w:val="0"/>
                <w:sz w:val="19"/>
              </w:rPr>
              <w:t>‪FCF‬ תומך ברווח הנקי לאורך זמן</w:t>
            </w:r>
          </w:p>
        </w:tc>
        <w:tc>
          <w:tcPr>
            <w:tcW w:type="dxa" w:w="5100"/>
            <w:vAlign w:val="center"/>
          </w:tcPr>
          <w:p>
            <w:pPr>
              <w:jc w:val="left"/>
            </w:pPr>
            <w:r/>
            <w:r>
              <w:rPr>
                <w:rFonts w:ascii="Aptos" w:hAnsi="Aptos" w:eastAsia="Aptos" w:cs="Aptos"/>
                <w:b w:val="0"/>
                <w:sz w:val="19"/>
              </w:rPr>
              <w:t>3</w:t>
            </w:r>
          </w:p>
        </w:tc>
      </w:tr>
      <w:tr>
        <w:tc>
          <w:tcPr>
            <w:tcW w:type="dxa" w:w="5100"/>
            <w:vAlign w:val="center"/>
          </w:tcPr>
          <w:p>
            <w:pPr>
              <w:bidi/>
              <w:jc w:val="right"/>
            </w:pPr>
            <w:r/>
            <w:r>
              <w:rPr>
                <w:rFonts w:ascii="Noto Sans Hebrew" w:hAnsi="Noto Sans Hebrew" w:eastAsia="Noto Sans Hebrew" w:cs="Noto Sans Hebrew"/>
                <w:b w:val="0"/>
                <w:sz w:val="19"/>
              </w:rPr>
              <w:t>אין דילול משמעותי של בעלי מניות</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אין תלות גבוהה בפריטים חד-פעמיים</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‪EPS‬ יציב ולא מנופח</w:t>
            </w:r>
          </w:p>
        </w:tc>
        <w:tc>
          <w:tcPr>
            <w:tcW w:type="dxa" w:w="5100"/>
            <w:vAlign w:val="center"/>
          </w:tcPr>
          <w:p>
            <w:pPr>
              <w:jc w:val="left"/>
            </w:pPr>
            <w:r/>
            <w:r>
              <w:rPr>
                <w:rFonts w:ascii="Aptos" w:hAnsi="Aptos" w:eastAsia="Aptos" w:cs="Aptos"/>
                <w:b w:val="0"/>
                <w:sz w:val="19"/>
              </w:rPr>
              <w:t>2</w:t>
            </w:r>
          </w:p>
        </w:tc>
      </w:tr>
      <w:tr>
        <w:tc>
          <w:tcPr>
            <w:tcW w:type="dxa" w:w="5100"/>
            <w:vAlign w:val="center"/>
          </w:tcPr>
          <w:p>
            <w:pPr>
              <w:bidi/>
              <w:jc w:val="right"/>
            </w:pPr>
            <w:r/>
            <w:r>
              <w:rPr>
                <w:rFonts w:ascii="Noto Sans Hebrew" w:hAnsi="Noto Sans Hebrew" w:eastAsia="Noto Sans Hebrew" w:cs="Noto Sans Hebrew"/>
                <w:b w:val="0"/>
                <w:sz w:val="19"/>
              </w:rPr>
              <w:t>פער סביר בין רווח נקי לתזרים</w:t>
            </w:r>
          </w:p>
        </w:tc>
        <w:tc>
          <w:tcPr>
            <w:tcW w:type="dxa" w:w="5100"/>
            <w:vAlign w:val="center"/>
          </w:tcPr>
          <w:p>
            <w:pPr>
              <w:jc w:val="left"/>
            </w:pPr>
            <w:r/>
            <w:r>
              <w:rPr>
                <w:rFonts w:ascii="Aptos" w:hAnsi="Aptos" w:eastAsia="Aptos" w:cs="Aptos"/>
                <w:b w:val="0"/>
                <w:sz w:val="19"/>
              </w:rPr>
              <w:t>1</w:t>
            </w:r>
          </w:p>
        </w:tc>
      </w:tr>
    </w:tbl>
    <w:p/>
    <w:p>
      <w:pPr>
        <w:bidi/>
        <w:spacing w:after="120" w:line="259" w:lineRule="auto"/>
        <w:jc w:val="right"/>
      </w:pPr>
      <w:r>
        <w:rPr>
          <w:rFonts w:ascii="Noto Sans Hebrew" w:hAnsi="Noto Sans Hebrew" w:eastAsia="Noto Sans Hebrew" w:cs="Noto Sans Hebrew"/>
          <w:b/>
          <w:i w:val="0"/>
          <w:sz w:val="22"/>
        </w:rPr>
        <w:t>שיטת מתן הניקוד:</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ניקוד</w:t>
            </w:r>
          </w:p>
        </w:tc>
      </w:tr>
      <w:tr>
        <w:tc>
          <w:tcPr>
            <w:tcW w:type="dxa" w:w="5100"/>
            <w:vAlign w:val="center"/>
          </w:tcPr>
          <w:p>
            <w:pPr>
              <w:bidi/>
              <w:jc w:val="right"/>
            </w:pPr>
            <w:r/>
            <w:r>
              <w:rPr>
                <w:rFonts w:ascii="Noto Sans Hebrew" w:hAnsi="Noto Sans Hebrew" w:eastAsia="Noto Sans Hebrew" w:cs="Noto Sans Hebrew"/>
                <w:b w:val="0"/>
                <w:sz w:val="19"/>
              </w:rPr>
              <w:t>רווחים חלשים, דילול משמעותי או הרבה חד-פעמיים</w:t>
            </w:r>
          </w:p>
        </w:tc>
        <w:tc>
          <w:tcPr>
            <w:tcW w:type="dxa" w:w="5100"/>
            <w:vAlign w:val="center"/>
          </w:tcPr>
          <w:p>
            <w:pPr>
              <w:jc w:val="left"/>
            </w:pPr>
            <w:r/>
            <w:r>
              <w:rPr>
                <w:rFonts w:ascii="Aptos" w:hAnsi="Aptos" w:eastAsia="Aptos" w:cs="Aptos"/>
                <w:b w:val="0"/>
                <w:sz w:val="19"/>
              </w:rPr>
              <w:t>0–3</w:t>
            </w:r>
          </w:p>
        </w:tc>
      </w:tr>
      <w:tr>
        <w:tc>
          <w:tcPr>
            <w:tcW w:type="dxa" w:w="5100"/>
            <w:vAlign w:val="center"/>
          </w:tcPr>
          <w:p>
            <w:pPr>
              <w:bidi/>
              <w:jc w:val="right"/>
            </w:pPr>
            <w:r/>
            <w:r>
              <w:rPr>
                <w:rFonts w:ascii="Noto Sans Hebrew" w:hAnsi="Noto Sans Hebrew" w:eastAsia="Noto Sans Hebrew" w:cs="Noto Sans Hebrew"/>
                <w:b w:val="0"/>
                <w:sz w:val="19"/>
              </w:rPr>
              <w:t>איכות רווחים סבירה אך לא מושלמת</w:t>
            </w:r>
          </w:p>
        </w:tc>
        <w:tc>
          <w:tcPr>
            <w:tcW w:type="dxa" w:w="5100"/>
            <w:vAlign w:val="center"/>
          </w:tcPr>
          <w:p>
            <w:pPr>
              <w:jc w:val="left"/>
            </w:pPr>
            <w:r/>
            <w:r>
              <w:rPr>
                <w:rFonts w:ascii="Aptos" w:hAnsi="Aptos" w:eastAsia="Aptos" w:cs="Aptos"/>
                <w:b w:val="0"/>
                <w:sz w:val="19"/>
              </w:rPr>
              <w:t>4–7</w:t>
            </w:r>
          </w:p>
        </w:tc>
      </w:tr>
      <w:tr>
        <w:tc>
          <w:tcPr>
            <w:tcW w:type="dxa" w:w="5100"/>
            <w:vAlign w:val="center"/>
          </w:tcPr>
          <w:p>
            <w:pPr>
              <w:bidi/>
              <w:jc w:val="right"/>
            </w:pPr>
            <w:r/>
            <w:r>
              <w:rPr>
                <w:rFonts w:ascii="Noto Sans Hebrew" w:hAnsi="Noto Sans Hebrew" w:eastAsia="Noto Sans Hebrew" w:cs="Noto Sans Hebrew"/>
                <w:b w:val="0"/>
                <w:sz w:val="19"/>
              </w:rPr>
              <w:t>רווחים איכותיים, תזרים תומך ואין דילול משמעותי</w:t>
            </w:r>
          </w:p>
        </w:tc>
        <w:tc>
          <w:tcPr>
            <w:tcW w:type="dxa" w:w="5100"/>
            <w:vAlign w:val="center"/>
          </w:tcPr>
          <w:p>
            <w:pPr>
              <w:jc w:val="left"/>
            </w:pPr>
            <w:r/>
            <w:r>
              <w:rPr>
                <w:rFonts w:ascii="Aptos" w:hAnsi="Aptos" w:eastAsia="Aptos" w:cs="Aptos"/>
                <w:b w:val="0"/>
                <w:sz w:val="19"/>
              </w:rPr>
              <w:t>8–10</w:t>
            </w:r>
          </w:p>
        </w:tc>
      </w:tr>
    </w:tbl>
    <w:p/>
    <w:p>
      <w:pPr>
        <w:pStyle w:val="Heading2"/>
        <w:bidi/>
        <w:spacing w:before="200" w:after="120"/>
        <w:jc w:val="right"/>
      </w:pPr>
      <w:r>
        <w:rPr>
          <w:rFonts w:ascii="Noto Sans Hebrew" w:hAnsi="Noto Sans Hebrew" w:eastAsia="Noto Sans Hebrew" w:cs="Noto Sans Hebrew"/>
          <w:b/>
          <w:color w:val="1F4E79"/>
          <w:sz w:val="26"/>
        </w:rPr>
        <w:t>‪4.‬ סיכום מדד איכות עסקית</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ציון איכות</w:t>
            </w:r>
          </w:p>
        </w:tc>
        <w:tc>
          <w:tcPr>
            <w:tcW w:type="dxa" w:w="5100"/>
            <w:vAlign w:val="center"/>
            <w:shd w:fill="D9EAF7"/>
          </w:tcPr>
          <w:p>
            <w:pPr>
              <w:bidi/>
              <w:jc w:val="right"/>
            </w:pPr>
            <w:r/>
            <w:r>
              <w:rPr>
                <w:rFonts w:ascii="Noto Sans Hebrew" w:hAnsi="Noto Sans Hebrew" w:eastAsia="Noto Sans Hebrew" w:cs="Noto Sans Hebrew"/>
                <w:b/>
                <w:sz w:val="19"/>
              </w:rPr>
              <w:t>משמעות</w:t>
            </w:r>
          </w:p>
        </w:tc>
      </w:tr>
      <w:tr>
        <w:tc>
          <w:tcPr>
            <w:tcW w:type="dxa" w:w="5100"/>
            <w:vAlign w:val="center"/>
          </w:tcPr>
          <w:p>
            <w:pPr>
              <w:jc w:val="left"/>
            </w:pPr>
            <w:r/>
            <w:r>
              <w:rPr>
                <w:rFonts w:ascii="Aptos" w:hAnsi="Aptos" w:eastAsia="Aptos" w:cs="Aptos"/>
                <w:b w:val="0"/>
                <w:sz w:val="19"/>
              </w:rPr>
              <w:t>85–100</w:t>
            </w:r>
          </w:p>
        </w:tc>
        <w:tc>
          <w:tcPr>
            <w:tcW w:type="dxa" w:w="5100"/>
            <w:vAlign w:val="center"/>
          </w:tcPr>
          <w:p>
            <w:pPr>
              <w:bidi/>
              <w:jc w:val="right"/>
            </w:pPr>
            <w:r/>
            <w:r>
              <w:rPr>
                <w:rFonts w:ascii="Noto Sans Hebrew" w:hAnsi="Noto Sans Hebrew" w:eastAsia="Noto Sans Hebrew" w:cs="Noto Sans Hebrew"/>
                <w:b w:val="0"/>
                <w:sz w:val="19"/>
              </w:rPr>
              <w:t>חברה שמרנית, יציבה וחזקה מאוד לפי גישת גרהם</w:t>
            </w:r>
          </w:p>
        </w:tc>
      </w:tr>
      <w:tr>
        <w:tc>
          <w:tcPr>
            <w:tcW w:type="dxa" w:w="5100"/>
            <w:vAlign w:val="center"/>
          </w:tcPr>
          <w:p>
            <w:pPr>
              <w:jc w:val="left"/>
            </w:pPr>
            <w:r/>
            <w:r>
              <w:rPr>
                <w:rFonts w:ascii="Aptos" w:hAnsi="Aptos" w:eastAsia="Aptos" w:cs="Aptos"/>
                <w:b w:val="0"/>
                <w:sz w:val="19"/>
              </w:rPr>
              <w:t>70–84</w:t>
            </w:r>
          </w:p>
        </w:tc>
        <w:tc>
          <w:tcPr>
            <w:tcW w:type="dxa" w:w="5100"/>
            <w:vAlign w:val="center"/>
          </w:tcPr>
          <w:p>
            <w:pPr>
              <w:bidi/>
              <w:jc w:val="right"/>
            </w:pPr>
            <w:r/>
            <w:r>
              <w:rPr>
                <w:rFonts w:ascii="Noto Sans Hebrew" w:hAnsi="Noto Sans Hebrew" w:eastAsia="Noto Sans Hebrew" w:cs="Noto Sans Hebrew"/>
                <w:b w:val="0"/>
                <w:sz w:val="19"/>
              </w:rPr>
              <w:t>חברה טובה ויציבה, אך יש לבדוק חולשות נקודתיות</w:t>
            </w:r>
          </w:p>
        </w:tc>
      </w:tr>
      <w:tr>
        <w:tc>
          <w:tcPr>
            <w:tcW w:type="dxa" w:w="5100"/>
            <w:vAlign w:val="center"/>
          </w:tcPr>
          <w:p>
            <w:pPr>
              <w:jc w:val="left"/>
            </w:pPr>
            <w:r/>
            <w:r>
              <w:rPr>
                <w:rFonts w:ascii="Aptos" w:hAnsi="Aptos" w:eastAsia="Aptos" w:cs="Aptos"/>
                <w:b w:val="0"/>
                <w:sz w:val="19"/>
              </w:rPr>
              <w:t>55–69</w:t>
            </w:r>
          </w:p>
        </w:tc>
        <w:tc>
          <w:tcPr>
            <w:tcW w:type="dxa" w:w="5100"/>
            <w:vAlign w:val="center"/>
          </w:tcPr>
          <w:p>
            <w:pPr>
              <w:bidi/>
              <w:jc w:val="right"/>
            </w:pPr>
            <w:r/>
            <w:r>
              <w:rPr>
                <w:rFonts w:ascii="Noto Sans Hebrew" w:hAnsi="Noto Sans Hebrew" w:eastAsia="Noto Sans Hebrew" w:cs="Noto Sans Hebrew"/>
                <w:b w:val="0"/>
                <w:sz w:val="19"/>
              </w:rPr>
              <w:t>חברה גבולית; ייתכן שתתאים רק במחיר זול מאוד</w:t>
            </w:r>
          </w:p>
        </w:tc>
      </w:tr>
      <w:tr>
        <w:tc>
          <w:tcPr>
            <w:tcW w:type="dxa" w:w="5100"/>
            <w:vAlign w:val="center"/>
          </w:tcPr>
          <w:p>
            <w:pPr>
              <w:bidi/>
              <w:jc w:val="right"/>
            </w:pPr>
            <w:r/>
            <w:r>
              <w:rPr>
                <w:rFonts w:ascii="Noto Sans Hebrew" w:hAnsi="Noto Sans Hebrew" w:eastAsia="Noto Sans Hebrew" w:cs="Noto Sans Hebrew"/>
                <w:b w:val="0"/>
                <w:sz w:val="19"/>
              </w:rPr>
              <w:t>מתחת לחמישים וחמש</w:t>
            </w:r>
          </w:p>
        </w:tc>
        <w:tc>
          <w:tcPr>
            <w:tcW w:type="dxa" w:w="5100"/>
            <w:vAlign w:val="center"/>
          </w:tcPr>
          <w:p>
            <w:pPr>
              <w:bidi/>
              <w:jc w:val="right"/>
            </w:pPr>
            <w:r/>
            <w:r>
              <w:rPr>
                <w:rFonts w:ascii="Noto Sans Hebrew" w:hAnsi="Noto Sans Hebrew" w:eastAsia="Noto Sans Hebrew" w:cs="Noto Sans Hebrew"/>
                <w:b w:val="0"/>
                <w:sz w:val="19"/>
              </w:rPr>
              <w:t>החברה כנראה לא מתאימה לגישת גרהם הדפנסיבית</w:t>
            </w:r>
          </w:p>
        </w:tc>
      </w:tr>
    </w:tbl>
    <w:p/>
    <w:p>
      <w:pPr>
        <w:bidi/>
        <w:spacing w:after="120" w:line="259" w:lineRule="auto"/>
        <w:jc w:val="right"/>
      </w:pPr>
      <w:r>
        <w:rPr>
          <w:rFonts w:ascii="Noto Sans Hebrew" w:hAnsi="Noto Sans Hebrew" w:eastAsia="Noto Sans Hebrew" w:cs="Noto Sans Hebrew"/>
          <w:b w:val="0"/>
          <w:i w:val="0"/>
          <w:sz w:val="22"/>
        </w:rPr>
        <w:t>ציון איכות גבוה אומר שהחברה מספיק יציבה ושמרנית כדי להמשיך לשלב בדיקת המחיר. אצל גרהם קנייה טובה נוצרת רק כאשר יש גם חברה מספיק בטוחה וגם מחיר נמוך משמעותית מהשווי השמרני.</w:t>
      </w:r>
    </w:p>
    <w:p>
      <w:pPr>
        <w:pStyle w:val="Heading2"/>
        <w:bidi/>
        <w:spacing w:before="200" w:after="120"/>
        <w:jc w:val="right"/>
      </w:pPr>
      <w:r>
        <w:rPr>
          <w:rFonts w:ascii="Noto Sans Hebrew" w:hAnsi="Noto Sans Hebrew" w:eastAsia="Noto Sans Hebrew" w:cs="Noto Sans Hebrew"/>
          <w:b/>
          <w:color w:val="1F4E79"/>
          <w:sz w:val="26"/>
        </w:rPr>
        <w:t>‪5.‬ הסבר מדד מחיר המניה ביחס לשווי שלה</w:t>
      </w:r>
    </w:p>
    <w:p>
      <w:pPr>
        <w:bidi/>
        <w:spacing w:after="120" w:line="259" w:lineRule="auto"/>
        <w:jc w:val="right"/>
      </w:pPr>
      <w:r>
        <w:rPr>
          <w:rFonts w:ascii="Noto Sans Hebrew" w:hAnsi="Noto Sans Hebrew" w:eastAsia="Noto Sans Hebrew" w:cs="Noto Sans Hebrew"/>
          <w:b w:val="0"/>
          <w:i w:val="0"/>
          <w:sz w:val="22"/>
        </w:rPr>
        <w:t>מדד המחיר של גרהם בודק האם המניה נסחרת במחיר נמוך מספיק ביחס לערך השמרני שלה. בגישת גרהם המחיר הוא חלק מרכזי מההשקעה.</w:t>
      </w:r>
    </w:p>
    <w:p>
      <w:pPr>
        <w:pStyle w:val="Heading2"/>
        <w:bidi/>
        <w:spacing w:before="200" w:after="120"/>
        <w:jc w:val="right"/>
      </w:pPr>
      <w:r>
        <w:rPr>
          <w:rFonts w:ascii="Noto Sans Hebrew" w:hAnsi="Noto Sans Hebrew" w:eastAsia="Noto Sans Hebrew" w:cs="Noto Sans Hebrew"/>
          <w:b/>
          <w:color w:val="1F4E79"/>
          <w:sz w:val="26"/>
        </w:rPr>
        <w:t>‪6.‬ חישוב אם המניה זולה או יקרה</w:t>
      </w:r>
    </w:p>
    <w:p>
      <w:pPr>
        <w:bidi/>
        <w:spacing w:after="120" w:line="259" w:lineRule="auto"/>
        <w:jc w:val="right"/>
      </w:pPr>
      <w:r>
        <w:rPr>
          <w:rFonts w:ascii="Noto Sans Hebrew" w:hAnsi="Noto Sans Hebrew" w:eastAsia="Noto Sans Hebrew" w:cs="Noto Sans Hebrew"/>
          <w:b w:val="0"/>
          <w:i w:val="0"/>
          <w:sz w:val="22"/>
        </w:rPr>
        <w:t>השיטה המרכזית היא מספר גרהם, המבוסס על רווח למניה והון עצמי למניה.</w:t>
      </w:r>
    </w:p>
    <w:p>
      <w:pPr>
        <w:spacing w:before="40" w:after="160"/>
        <w:ind w:left="340"/>
        <w:jc w:val="left"/>
      </w:pPr>
      <w:r>
        <w:rPr>
          <w:rFonts w:ascii="DejaVu Sans Mono" w:hAnsi="DejaVu Sans Mono" w:eastAsia="DejaVu Sans Mono" w:cs="DejaVu Sans Mono"/>
          <w:b/>
          <w:sz w:val="20"/>
        </w:rPr>
        <w:t>Graham Number = √(22.5 × EPS × Book Value Per Share)</w:t>
      </w:r>
    </w:p>
    <w:p>
      <w:pPr>
        <w:bidi/>
        <w:spacing w:after="120" w:line="259" w:lineRule="auto"/>
        <w:jc w:val="right"/>
      </w:pPr>
      <w:r>
        <w:rPr>
          <w:rFonts w:ascii="Noto Sans Hebrew" w:hAnsi="Noto Sans Hebrew" w:eastAsia="Noto Sans Hebrew" w:cs="Noto Sans Hebrew"/>
          <w:b w:val="0"/>
          <w:i w:val="0"/>
          <w:sz w:val="22"/>
        </w:rPr>
        <w:t>המספר ‪22.5‬ מגיע מהשילוב בין ‪P/E‬ עד חמש עשרה לבין ‪P/B‬ עד ‪1.5.‬</w:t>
      </w:r>
    </w:p>
    <w:p>
      <w:pPr>
        <w:spacing w:before="40" w:after="160"/>
        <w:ind w:left="340"/>
        <w:jc w:val="left"/>
      </w:pPr>
      <w:r>
        <w:rPr>
          <w:rFonts w:ascii="DejaVu Sans Mono" w:hAnsi="DejaVu Sans Mono" w:eastAsia="DejaVu Sans Mono" w:cs="DejaVu Sans Mono"/>
          <w:b/>
          <w:sz w:val="20"/>
        </w:rPr>
        <w:t>15 × 1.5 = 22.5</w:t>
      </w:r>
    </w:p>
    <w:p>
      <w:pPr>
        <w:bidi/>
        <w:spacing w:after="120" w:line="259" w:lineRule="auto"/>
        <w:jc w:val="right"/>
      </w:pPr>
      <w:r>
        <w:rPr>
          <w:rFonts w:ascii="Noto Sans Hebrew" w:hAnsi="Noto Sans Hebrew" w:eastAsia="Noto Sans Hebrew" w:cs="Noto Sans Hebrew"/>
          <w:b w:val="0"/>
          <w:i w:val="0"/>
          <w:sz w:val="22"/>
        </w:rPr>
        <w:t>אפשר להשתמש בשווי גרהם רגיל או בגישה שמרנית יותר:</w:t>
      </w:r>
    </w:p>
    <w:p>
      <w:pPr>
        <w:spacing w:before="40" w:after="160"/>
        <w:ind w:left="340"/>
        <w:jc w:val="left"/>
      </w:pPr>
      <w:r>
        <w:rPr>
          <w:rFonts w:ascii="DejaVu Sans Mono" w:hAnsi="DejaVu Sans Mono" w:eastAsia="DejaVu Sans Mono" w:cs="DejaVu Sans Mono"/>
          <w:b/>
          <w:sz w:val="20"/>
        </w:rPr>
        <w:t>Graham Fair Value = Graham Number</w:t>
      </w:r>
    </w:p>
    <w:p>
      <w:pPr>
        <w:spacing w:before="40" w:after="160"/>
        <w:ind w:left="340"/>
        <w:jc w:val="left"/>
      </w:pPr>
      <w:r>
        <w:rPr>
          <w:rFonts w:ascii="DejaVu Sans Mono" w:hAnsi="DejaVu Sans Mono" w:eastAsia="DejaVu Sans Mono" w:cs="DejaVu Sans Mono"/>
          <w:b/>
          <w:sz w:val="20"/>
        </w:rPr>
        <w:t>Graham Fair Value = Min(Graham Number, Normalized EPS × 15, BVPS × 1.5)</w:t>
      </w:r>
    </w:p>
    <w:p>
      <w:pPr>
        <w:bidi/>
        <w:spacing w:after="120" w:line="259" w:lineRule="auto"/>
        <w:jc w:val="right"/>
      </w:pPr>
      <w:r>
        <w:rPr>
          <w:rFonts w:ascii="Noto Sans Hebrew" w:hAnsi="Noto Sans Hebrew" w:eastAsia="Noto Sans Hebrew" w:cs="Noto Sans Hebrew"/>
          <w:b w:val="0"/>
          <w:i w:val="0"/>
          <w:sz w:val="22"/>
        </w:rPr>
        <w:t>אם מחיר המניה נמוך משווי גרהם:</w:t>
      </w:r>
    </w:p>
    <w:p>
      <w:pPr>
        <w:spacing w:before="40" w:after="160"/>
        <w:ind w:left="340"/>
        <w:jc w:val="left"/>
      </w:pPr>
      <w:r>
        <w:rPr>
          <w:rFonts w:ascii="DejaVu Sans Mono" w:hAnsi="DejaVu Sans Mono" w:eastAsia="DejaVu Sans Mono" w:cs="DejaVu Sans Mono"/>
          <w:b/>
          <w:sz w:val="20"/>
        </w:rPr>
        <w:t>Discount to Graham Value = (Graham Fair Value − Current Price) / Graham Fair Value</w:t>
      </w:r>
    </w:p>
    <w:p>
      <w:pPr>
        <w:bidi/>
        <w:spacing w:after="120" w:line="259" w:lineRule="auto"/>
        <w:jc w:val="right"/>
      </w:pPr>
      <w:r>
        <w:rPr>
          <w:rFonts w:ascii="Noto Sans Hebrew" w:hAnsi="Noto Sans Hebrew" w:eastAsia="Noto Sans Hebrew" w:cs="Noto Sans Hebrew"/>
          <w:b w:val="0"/>
          <w:i w:val="0"/>
          <w:sz w:val="22"/>
        </w:rPr>
        <w:t>אם מחיר המניה גבוה משווי גרהם:</w:t>
      </w:r>
    </w:p>
    <w:p>
      <w:pPr>
        <w:spacing w:before="40" w:after="160"/>
        <w:ind w:left="340"/>
        <w:jc w:val="left"/>
      </w:pPr>
      <w:r>
        <w:rPr>
          <w:rFonts w:ascii="DejaVu Sans Mono" w:hAnsi="DejaVu Sans Mono" w:eastAsia="DejaVu Sans Mono" w:cs="DejaVu Sans Mono"/>
          <w:b/>
          <w:sz w:val="20"/>
        </w:rPr>
        <w:t>Premium to Graham Value = (Current Price − Graham Fair Value) / Graham Fair Value</w:t>
      </w:r>
    </w:p>
    <w:p>
      <w:pPr>
        <w:bidi/>
        <w:spacing w:after="120" w:line="259" w:lineRule="auto"/>
        <w:jc w:val="right"/>
      </w:pPr>
      <w:r>
        <w:rPr>
          <w:rFonts w:ascii="Noto Sans Hebrew" w:hAnsi="Noto Sans Hebrew" w:eastAsia="Noto Sans Hebrew" w:cs="Noto Sans Hebrew"/>
          <w:b w:val="0"/>
          <w:i w:val="0"/>
          <w:sz w:val="22"/>
        </w:rPr>
        <w:t>אפסייד:</w:t>
      </w:r>
    </w:p>
    <w:p>
      <w:pPr>
        <w:spacing w:before="40" w:after="160"/>
        <w:ind w:left="340"/>
        <w:jc w:val="left"/>
      </w:pPr>
      <w:r>
        <w:rPr>
          <w:rFonts w:ascii="DejaVu Sans Mono" w:hAnsi="DejaVu Sans Mono" w:eastAsia="DejaVu Sans Mono" w:cs="DejaVu Sans Mono"/>
          <w:b/>
          <w:sz w:val="20"/>
        </w:rPr>
        <w:t>Upside = (Graham Fair Value − Current Price) / Current Price</w:t>
      </w:r>
    </w:p>
    <w:p>
      <w:pPr>
        <w:bidi/>
        <w:spacing w:after="120" w:line="259" w:lineRule="auto"/>
        <w:jc w:val="right"/>
      </w:pPr>
      <w:r>
        <w:rPr>
          <w:rFonts w:ascii="Noto Sans Hebrew" w:hAnsi="Noto Sans Hebrew" w:eastAsia="Noto Sans Hebrew" w:cs="Noto Sans Hebrew"/>
          <w:b w:val="0"/>
          <w:i w:val="0"/>
          <w:sz w:val="22"/>
        </w:rPr>
        <w:t>בדיקת ‪Net-Net‬ אופציונלית:</w:t>
      </w:r>
    </w:p>
    <w:p>
      <w:pPr>
        <w:spacing w:before="40" w:after="160"/>
        <w:ind w:left="340"/>
        <w:jc w:val="left"/>
      </w:pPr>
      <w:r>
        <w:rPr>
          <w:rFonts w:ascii="DejaVu Sans Mono" w:hAnsi="DejaVu Sans Mono" w:eastAsia="DejaVu Sans Mono" w:cs="DejaVu Sans Mono"/>
          <w:b/>
          <w:sz w:val="20"/>
        </w:rPr>
        <w:t>NCAV = Current Assets − Total Liabilities</w:t>
      </w:r>
    </w:p>
    <w:p>
      <w:pPr>
        <w:spacing w:before="40" w:after="160"/>
        <w:ind w:left="340"/>
        <w:jc w:val="left"/>
      </w:pPr>
      <w:r>
        <w:rPr>
          <w:rFonts w:ascii="DejaVu Sans Mono" w:hAnsi="DejaVu Sans Mono" w:eastAsia="DejaVu Sans Mono" w:cs="DejaVu Sans Mono"/>
          <w:b/>
          <w:sz w:val="20"/>
        </w:rPr>
        <w:t>Net-Net Buy Zone = Price &lt; ⅔ × NCAV Per Share</w:t>
      </w:r>
    </w:p>
    <w:p>
      <w:pPr>
        <w:pStyle w:val="Heading2"/>
        <w:bidi/>
        <w:spacing w:before="200" w:after="120"/>
        <w:jc w:val="right"/>
      </w:pPr>
      <w:r>
        <w:rPr>
          <w:rFonts w:ascii="Noto Sans Hebrew" w:hAnsi="Noto Sans Hebrew" w:eastAsia="Noto Sans Hebrew" w:cs="Noto Sans Hebrew"/>
          <w:b/>
          <w:color w:val="1F4E79"/>
          <w:sz w:val="26"/>
        </w:rPr>
        <w:t>‪7.‬ ניקוד המחיר במדד גרהם</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bidi/>
              <w:jc w:val="right"/>
            </w:pPr>
            <w:r/>
            <w:r>
              <w:rPr>
                <w:rFonts w:ascii="Noto Sans Hebrew" w:hAnsi="Noto Sans Hebrew" w:eastAsia="Noto Sans Hebrew" w:cs="Noto Sans Hebrew"/>
                <w:b/>
                <w:sz w:val="19"/>
              </w:rPr>
              <w:t>מצב המניה ביחס לשווי גרהם</w:t>
            </w:r>
          </w:p>
        </w:tc>
        <w:tc>
          <w:tcPr>
            <w:tcW w:type="dxa" w:w="3400"/>
            <w:vAlign w:val="center"/>
            <w:shd w:fill="D9EAF7"/>
          </w:tcPr>
          <w:p>
            <w:pPr>
              <w:bidi/>
              <w:jc w:val="right"/>
            </w:pPr>
            <w:r/>
            <w:r>
              <w:rPr>
                <w:rFonts w:ascii="Noto Sans Hebrew" w:hAnsi="Noto Sans Hebrew" w:eastAsia="Noto Sans Hebrew" w:cs="Noto Sans Hebrew"/>
                <w:b/>
                <w:sz w:val="19"/>
              </w:rPr>
              <w:t>מרווח ביטחון</w:t>
            </w:r>
          </w:p>
        </w:tc>
        <w:tc>
          <w:tcPr>
            <w:tcW w:type="dxa" w:w="3400"/>
            <w:vAlign w:val="center"/>
            <w:shd w:fill="D9EAF7"/>
          </w:tcPr>
          <w:p>
            <w:pPr>
              <w:bidi/>
              <w:jc w:val="right"/>
            </w:pPr>
            <w:r/>
            <w:r>
              <w:rPr>
                <w:rFonts w:ascii="Noto Sans Hebrew" w:hAnsi="Noto Sans Hebrew" w:eastAsia="Noto Sans Hebrew" w:cs="Noto Sans Hebrew"/>
                <w:b/>
                <w:sz w:val="19"/>
              </w:rPr>
              <w:t>ניקוד מחיר</w:t>
            </w:r>
          </w:p>
        </w:tc>
      </w:tr>
      <w:tr>
        <w:tc>
          <w:tcPr>
            <w:tcW w:type="dxa" w:w="3400"/>
            <w:vAlign w:val="center"/>
          </w:tcPr>
          <w:p>
            <w:pPr>
              <w:bidi/>
              <w:jc w:val="right"/>
            </w:pPr>
            <w:r/>
            <w:r>
              <w:rPr>
                <w:rFonts w:ascii="Noto Sans Hebrew" w:hAnsi="Noto Sans Hebrew" w:eastAsia="Noto Sans Hebrew" w:cs="Noto Sans Hebrew"/>
                <w:b w:val="0"/>
                <w:sz w:val="19"/>
              </w:rPr>
              <w:t>יקרה משמעותית</w:t>
            </w:r>
          </w:p>
        </w:tc>
        <w:tc>
          <w:tcPr>
            <w:tcW w:type="dxa" w:w="3400"/>
            <w:vAlign w:val="center"/>
          </w:tcPr>
          <w:p>
            <w:pPr>
              <w:bidi/>
              <w:jc w:val="right"/>
            </w:pPr>
            <w:r/>
            <w:r>
              <w:rPr>
                <w:rFonts w:ascii="Noto Sans Hebrew" w:hAnsi="Noto Sans Hebrew" w:eastAsia="Noto Sans Hebrew" w:cs="Noto Sans Hebrew"/>
                <w:b w:val="0"/>
                <w:sz w:val="19"/>
              </w:rPr>
              <w:t>יקרה ביותר מעשרים אחוז</w:t>
            </w:r>
          </w:p>
        </w:tc>
        <w:tc>
          <w:tcPr>
            <w:tcW w:type="dxa" w:w="3400"/>
            <w:vAlign w:val="center"/>
          </w:tcPr>
          <w:p>
            <w:pPr>
              <w:jc w:val="left"/>
            </w:pPr>
            <w:r/>
            <w:r>
              <w:rPr>
                <w:rFonts w:ascii="Aptos" w:hAnsi="Aptos" w:eastAsia="Aptos" w:cs="Aptos"/>
                <w:b w:val="0"/>
                <w:sz w:val="19"/>
              </w:rPr>
              <w:t>0</w:t>
            </w:r>
          </w:p>
        </w:tc>
      </w:tr>
      <w:tr>
        <w:tc>
          <w:tcPr>
            <w:tcW w:type="dxa" w:w="3400"/>
            <w:vAlign w:val="center"/>
          </w:tcPr>
          <w:p>
            <w:pPr>
              <w:bidi/>
              <w:jc w:val="right"/>
            </w:pPr>
            <w:r/>
            <w:r>
              <w:rPr>
                <w:rFonts w:ascii="Noto Sans Hebrew" w:hAnsi="Noto Sans Hebrew" w:eastAsia="Noto Sans Hebrew" w:cs="Noto Sans Hebrew"/>
                <w:b w:val="0"/>
                <w:sz w:val="19"/>
              </w:rPr>
              <w:t>יקרה</w:t>
            </w:r>
          </w:p>
        </w:tc>
        <w:tc>
          <w:tcPr>
            <w:tcW w:type="dxa" w:w="3400"/>
            <w:vAlign w:val="center"/>
          </w:tcPr>
          <w:p>
            <w:pPr>
              <w:bidi/>
              <w:jc w:val="right"/>
            </w:pPr>
            <w:r/>
            <w:r>
              <w:rPr>
                <w:rFonts w:ascii="Noto Sans Hebrew" w:hAnsi="Noto Sans Hebrew" w:eastAsia="Noto Sans Hebrew" w:cs="Noto Sans Hebrew"/>
                <w:b w:val="0"/>
                <w:sz w:val="19"/>
              </w:rPr>
              <w:t>יקרה באפס עד עשרים אחוז</w:t>
            </w:r>
          </w:p>
        </w:tc>
        <w:tc>
          <w:tcPr>
            <w:tcW w:type="dxa" w:w="3400"/>
            <w:vAlign w:val="center"/>
          </w:tcPr>
          <w:p>
            <w:pPr>
              <w:jc w:val="left"/>
            </w:pPr>
            <w:r/>
            <w:r>
              <w:rPr>
                <w:rFonts w:ascii="Aptos" w:hAnsi="Aptos" w:eastAsia="Aptos" w:cs="Aptos"/>
                <w:b w:val="0"/>
                <w:sz w:val="19"/>
              </w:rPr>
              <w:t>1–2</w:t>
            </w:r>
          </w:p>
        </w:tc>
      </w:tr>
      <w:tr>
        <w:tc>
          <w:tcPr>
            <w:tcW w:type="dxa" w:w="3400"/>
            <w:vAlign w:val="center"/>
          </w:tcPr>
          <w:p>
            <w:pPr>
              <w:bidi/>
              <w:jc w:val="right"/>
            </w:pPr>
            <w:r/>
            <w:r>
              <w:rPr>
                <w:rFonts w:ascii="Noto Sans Hebrew" w:hAnsi="Noto Sans Hebrew" w:eastAsia="Noto Sans Hebrew" w:cs="Noto Sans Hebrew"/>
                <w:b w:val="0"/>
                <w:sz w:val="19"/>
              </w:rPr>
              <w:t>קרובה לשווי גרהם</w:t>
            </w:r>
          </w:p>
        </w:tc>
        <w:tc>
          <w:tcPr>
            <w:tcW w:type="dxa" w:w="3400"/>
            <w:vAlign w:val="center"/>
          </w:tcPr>
          <w:p>
            <w:pPr>
              <w:bidi/>
              <w:jc w:val="right"/>
            </w:pPr>
            <w:r/>
            <w:r>
              <w:rPr>
                <w:rFonts w:ascii="Noto Sans Hebrew" w:hAnsi="Noto Sans Hebrew" w:eastAsia="Noto Sans Hebrew" w:cs="Noto Sans Hebrew"/>
                <w:b w:val="0"/>
                <w:sz w:val="19"/>
              </w:rPr>
              <w:t>אפס עד חמש עשרה אחוז הנחה</w:t>
            </w:r>
          </w:p>
        </w:tc>
        <w:tc>
          <w:tcPr>
            <w:tcW w:type="dxa" w:w="3400"/>
            <w:vAlign w:val="center"/>
          </w:tcPr>
          <w:p>
            <w:pPr>
              <w:jc w:val="left"/>
            </w:pPr>
            <w:r/>
            <w:r>
              <w:rPr>
                <w:rFonts w:ascii="Aptos" w:hAnsi="Aptos" w:eastAsia="Aptos" w:cs="Aptos"/>
                <w:b w:val="0"/>
                <w:sz w:val="19"/>
              </w:rPr>
              <w:t>3–4</w:t>
            </w:r>
          </w:p>
        </w:tc>
      </w:tr>
      <w:tr>
        <w:tc>
          <w:tcPr>
            <w:tcW w:type="dxa" w:w="3400"/>
            <w:vAlign w:val="center"/>
          </w:tcPr>
          <w:p>
            <w:pPr>
              <w:bidi/>
              <w:jc w:val="right"/>
            </w:pPr>
            <w:r/>
            <w:r>
              <w:rPr>
                <w:rFonts w:ascii="Noto Sans Hebrew" w:hAnsi="Noto Sans Hebrew" w:eastAsia="Noto Sans Hebrew" w:cs="Noto Sans Hebrew"/>
                <w:b w:val="0"/>
                <w:sz w:val="19"/>
              </w:rPr>
              <w:t>זולה במידה סבירה</w:t>
            </w:r>
          </w:p>
        </w:tc>
        <w:tc>
          <w:tcPr>
            <w:tcW w:type="dxa" w:w="3400"/>
            <w:vAlign w:val="center"/>
          </w:tcPr>
          <w:p>
            <w:pPr>
              <w:bidi/>
              <w:jc w:val="right"/>
            </w:pPr>
            <w:r/>
            <w:r>
              <w:rPr>
                <w:rFonts w:ascii="Noto Sans Hebrew" w:hAnsi="Noto Sans Hebrew" w:eastAsia="Noto Sans Hebrew" w:cs="Noto Sans Hebrew"/>
                <w:b w:val="0"/>
                <w:sz w:val="19"/>
              </w:rPr>
              <w:t>חמש עשרה עד עשרים וחמש אחוז הנחה</w:t>
            </w:r>
          </w:p>
        </w:tc>
        <w:tc>
          <w:tcPr>
            <w:tcW w:type="dxa" w:w="3400"/>
            <w:vAlign w:val="center"/>
          </w:tcPr>
          <w:p>
            <w:pPr>
              <w:jc w:val="left"/>
            </w:pPr>
            <w:r/>
            <w:r>
              <w:rPr>
                <w:rFonts w:ascii="Aptos" w:hAnsi="Aptos" w:eastAsia="Aptos" w:cs="Aptos"/>
                <w:b w:val="0"/>
                <w:sz w:val="19"/>
              </w:rPr>
              <w:t>5–6</w:t>
            </w:r>
          </w:p>
        </w:tc>
      </w:tr>
      <w:tr>
        <w:tc>
          <w:tcPr>
            <w:tcW w:type="dxa" w:w="3400"/>
            <w:vAlign w:val="center"/>
          </w:tcPr>
          <w:p>
            <w:pPr>
              <w:bidi/>
              <w:jc w:val="right"/>
            </w:pPr>
            <w:r/>
            <w:r>
              <w:rPr>
                <w:rFonts w:ascii="Noto Sans Hebrew" w:hAnsi="Noto Sans Hebrew" w:eastAsia="Noto Sans Hebrew" w:cs="Noto Sans Hebrew"/>
                <w:b w:val="0"/>
                <w:sz w:val="19"/>
              </w:rPr>
              <w:t>זולה ואטרקטיבית</w:t>
            </w:r>
          </w:p>
        </w:tc>
        <w:tc>
          <w:tcPr>
            <w:tcW w:type="dxa" w:w="3400"/>
            <w:vAlign w:val="center"/>
          </w:tcPr>
          <w:p>
            <w:pPr>
              <w:bidi/>
              <w:jc w:val="right"/>
            </w:pPr>
            <w:r/>
            <w:r>
              <w:rPr>
                <w:rFonts w:ascii="Noto Sans Hebrew" w:hAnsi="Noto Sans Hebrew" w:eastAsia="Noto Sans Hebrew" w:cs="Noto Sans Hebrew"/>
                <w:b w:val="0"/>
                <w:sz w:val="19"/>
              </w:rPr>
              <w:t>עשרים וחמש עד ארבעים אחוז הנחה</w:t>
            </w:r>
          </w:p>
        </w:tc>
        <w:tc>
          <w:tcPr>
            <w:tcW w:type="dxa" w:w="3400"/>
            <w:vAlign w:val="center"/>
          </w:tcPr>
          <w:p>
            <w:pPr>
              <w:jc w:val="left"/>
            </w:pPr>
            <w:r/>
            <w:r>
              <w:rPr>
                <w:rFonts w:ascii="Aptos" w:hAnsi="Aptos" w:eastAsia="Aptos" w:cs="Aptos"/>
                <w:b w:val="0"/>
                <w:sz w:val="19"/>
              </w:rPr>
              <w:t>7–8</w:t>
            </w:r>
          </w:p>
        </w:tc>
      </w:tr>
      <w:tr>
        <w:tc>
          <w:tcPr>
            <w:tcW w:type="dxa" w:w="3400"/>
            <w:vAlign w:val="center"/>
          </w:tcPr>
          <w:p>
            <w:pPr>
              <w:bidi/>
              <w:jc w:val="right"/>
            </w:pPr>
            <w:r/>
            <w:r>
              <w:rPr>
                <w:rFonts w:ascii="Noto Sans Hebrew" w:hAnsi="Noto Sans Hebrew" w:eastAsia="Noto Sans Hebrew" w:cs="Noto Sans Hebrew"/>
                <w:b w:val="0"/>
                <w:sz w:val="19"/>
              </w:rPr>
              <w:t>זולה מאוד</w:t>
            </w:r>
          </w:p>
        </w:tc>
        <w:tc>
          <w:tcPr>
            <w:tcW w:type="dxa" w:w="3400"/>
            <w:vAlign w:val="center"/>
          </w:tcPr>
          <w:p>
            <w:pPr>
              <w:bidi/>
              <w:jc w:val="right"/>
            </w:pPr>
            <w:r/>
            <w:r>
              <w:rPr>
                <w:rFonts w:ascii="Noto Sans Hebrew" w:hAnsi="Noto Sans Hebrew" w:eastAsia="Noto Sans Hebrew" w:cs="Noto Sans Hebrew"/>
                <w:b w:val="0"/>
                <w:sz w:val="19"/>
              </w:rPr>
              <w:t>מעל ארבעים אחוז הנחה</w:t>
            </w:r>
          </w:p>
        </w:tc>
        <w:tc>
          <w:tcPr>
            <w:tcW w:type="dxa" w:w="3400"/>
            <w:vAlign w:val="center"/>
          </w:tcPr>
          <w:p>
            <w:pPr>
              <w:jc w:val="left"/>
            </w:pPr>
            <w:r/>
            <w:r>
              <w:rPr>
                <w:rFonts w:ascii="Aptos" w:hAnsi="Aptos" w:eastAsia="Aptos" w:cs="Aptos"/>
                <w:b w:val="0"/>
                <w:sz w:val="19"/>
              </w:rPr>
              <w:t>9–10</w:t>
            </w:r>
          </w:p>
        </w:tc>
      </w:tr>
    </w:tbl>
    <w:p/>
    <w:p>
      <w:pPr>
        <w:pStyle w:val="Heading2"/>
        <w:bidi/>
        <w:spacing w:before="200" w:after="120"/>
        <w:jc w:val="right"/>
      </w:pPr>
      <w:r>
        <w:rPr>
          <w:rFonts w:ascii="Noto Sans Hebrew" w:hAnsi="Noto Sans Hebrew" w:eastAsia="Noto Sans Hebrew" w:cs="Noto Sans Hebrew"/>
          <w:b/>
          <w:color w:val="1F4E79"/>
          <w:sz w:val="26"/>
        </w:rPr>
        <w:t>‪8.‬ קביעת מחיר קנייה רצוי</w:t>
      </w:r>
    </w:p>
    <w:p>
      <w:pPr>
        <w:bidi/>
        <w:spacing w:after="120" w:line="259" w:lineRule="auto"/>
        <w:jc w:val="right"/>
      </w:pPr>
      <w:r>
        <w:rPr>
          <w:rFonts w:ascii="Noto Sans Hebrew" w:hAnsi="Noto Sans Hebrew" w:eastAsia="Noto Sans Hebrew" w:cs="Noto Sans Hebrew"/>
          <w:b w:val="0"/>
          <w:i w:val="0"/>
          <w:sz w:val="22"/>
        </w:rPr>
        <w:t>מחיר קנייה רצוי נקבע לפי השווי השמרני של גרהם ולפי מרווח הביטחון הנדרש.</w:t>
      </w:r>
    </w:p>
    <w:p>
      <w:pPr>
        <w:spacing w:before="40" w:after="160"/>
        <w:ind w:left="340"/>
        <w:jc w:val="left"/>
      </w:pPr>
      <w:r>
        <w:rPr>
          <w:rFonts w:ascii="DejaVu Sans Mono" w:hAnsi="DejaVu Sans Mono" w:eastAsia="DejaVu Sans Mono" w:cs="DejaVu Sans Mono"/>
          <w:b/>
          <w:sz w:val="20"/>
        </w:rPr>
        <w:t>Buy Price = Graham Fair Value × (1 − Required Margin of Safety)</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bidi/>
              <w:jc w:val="right"/>
            </w:pPr>
            <w:r/>
            <w:r>
              <w:rPr>
                <w:rFonts w:ascii="Noto Sans Hebrew" w:hAnsi="Noto Sans Hebrew" w:eastAsia="Noto Sans Hebrew" w:cs="Noto Sans Hebrew"/>
                <w:b/>
                <w:sz w:val="19"/>
              </w:rPr>
              <w:t>ציון איכות גרהם</w:t>
            </w:r>
          </w:p>
        </w:tc>
        <w:tc>
          <w:tcPr>
            <w:tcW w:type="dxa" w:w="2550"/>
            <w:vAlign w:val="center"/>
            <w:shd w:fill="D9EAF7"/>
          </w:tcPr>
          <w:p>
            <w:pPr>
              <w:bidi/>
              <w:jc w:val="right"/>
            </w:pPr>
            <w:r/>
            <w:r>
              <w:rPr>
                <w:rFonts w:ascii="Noto Sans Hebrew" w:hAnsi="Noto Sans Hebrew" w:eastAsia="Noto Sans Hebrew" w:cs="Noto Sans Hebrew"/>
                <w:b/>
                <w:sz w:val="19"/>
              </w:rPr>
              <w:t>רמת איכות</w:t>
            </w:r>
          </w:p>
        </w:tc>
        <w:tc>
          <w:tcPr>
            <w:tcW w:type="dxa" w:w="2550"/>
            <w:vAlign w:val="center"/>
            <w:shd w:fill="D9EAF7"/>
          </w:tcPr>
          <w:p>
            <w:pPr>
              <w:bidi/>
              <w:jc w:val="right"/>
            </w:pPr>
            <w:r/>
            <w:r>
              <w:rPr>
                <w:rFonts w:ascii="Noto Sans Hebrew" w:hAnsi="Noto Sans Hebrew" w:eastAsia="Noto Sans Hebrew" w:cs="Noto Sans Hebrew"/>
                <w:b/>
                <w:sz w:val="19"/>
              </w:rPr>
              <w:t>מרווח ביטחון נדרש</w:t>
            </w:r>
          </w:p>
        </w:tc>
        <w:tc>
          <w:tcPr>
            <w:tcW w:type="dxa" w:w="2550"/>
            <w:vAlign w:val="center"/>
            <w:shd w:fill="D9EAF7"/>
          </w:tcPr>
          <w:p>
            <w:pPr>
              <w:bidi/>
              <w:jc w:val="right"/>
            </w:pPr>
            <w:r/>
            <w:r>
              <w:rPr>
                <w:rFonts w:ascii="Noto Sans Hebrew" w:hAnsi="Noto Sans Hebrew" w:eastAsia="Noto Sans Hebrew" w:cs="Noto Sans Hebrew"/>
                <w:b/>
                <w:sz w:val="19"/>
              </w:rPr>
              <w:t>מחיר קנייה רצוי</w:t>
            </w:r>
          </w:p>
        </w:tc>
      </w:tr>
      <w:tr>
        <w:tc>
          <w:tcPr>
            <w:tcW w:type="dxa" w:w="2550"/>
            <w:vAlign w:val="center"/>
          </w:tcPr>
          <w:p>
            <w:pPr>
              <w:jc w:val="left"/>
            </w:pPr>
            <w:r/>
            <w:r>
              <w:rPr>
                <w:rFonts w:ascii="Aptos" w:hAnsi="Aptos" w:eastAsia="Aptos" w:cs="Aptos"/>
                <w:b w:val="0"/>
                <w:sz w:val="19"/>
              </w:rPr>
              <w:t>85–100</w:t>
            </w:r>
          </w:p>
        </w:tc>
        <w:tc>
          <w:tcPr>
            <w:tcW w:type="dxa" w:w="2550"/>
            <w:vAlign w:val="center"/>
          </w:tcPr>
          <w:p>
            <w:pPr>
              <w:bidi/>
              <w:jc w:val="right"/>
            </w:pPr>
            <w:r/>
            <w:r>
              <w:rPr>
                <w:rFonts w:ascii="Noto Sans Hebrew" w:hAnsi="Noto Sans Hebrew" w:eastAsia="Noto Sans Hebrew" w:cs="Noto Sans Hebrew"/>
                <w:b w:val="0"/>
                <w:sz w:val="19"/>
              </w:rPr>
              <w:t>חברה שמרנית וחזקה מאוד</w:t>
            </w:r>
          </w:p>
        </w:tc>
        <w:tc>
          <w:tcPr>
            <w:tcW w:type="dxa" w:w="2550"/>
            <w:vAlign w:val="center"/>
          </w:tcPr>
          <w:p>
            <w:pPr>
              <w:jc w:val="left"/>
            </w:pPr>
            <w:r/>
            <w:r>
              <w:rPr>
                <w:rFonts w:ascii="Aptos" w:hAnsi="Aptos" w:eastAsia="Aptos" w:cs="Aptos"/>
                <w:b w:val="0"/>
                <w:sz w:val="19"/>
              </w:rPr>
              <w:t>25%–30%</w:t>
            </w:r>
          </w:p>
        </w:tc>
        <w:tc>
          <w:tcPr>
            <w:tcW w:type="dxa" w:w="2550"/>
            <w:vAlign w:val="center"/>
          </w:tcPr>
          <w:p>
            <w:pPr>
              <w:bidi/>
              <w:jc w:val="right"/>
            </w:pPr>
            <w:r/>
            <w:r>
              <w:rPr>
                <w:rFonts w:ascii="Noto Sans Hebrew" w:hAnsi="Noto Sans Hebrew" w:eastAsia="Noto Sans Hebrew" w:cs="Noto Sans Hebrew"/>
                <w:b w:val="0"/>
                <w:sz w:val="19"/>
              </w:rPr>
              <w:t>עד שבעים עד שבעים וחמש אחוז מהשווי</w:t>
            </w:r>
          </w:p>
        </w:tc>
      </w:tr>
      <w:tr>
        <w:tc>
          <w:tcPr>
            <w:tcW w:type="dxa" w:w="2550"/>
            <w:vAlign w:val="center"/>
          </w:tcPr>
          <w:p>
            <w:pPr>
              <w:jc w:val="left"/>
            </w:pPr>
            <w:r/>
            <w:r>
              <w:rPr>
                <w:rFonts w:ascii="Aptos" w:hAnsi="Aptos" w:eastAsia="Aptos" w:cs="Aptos"/>
                <w:b w:val="0"/>
                <w:sz w:val="19"/>
              </w:rPr>
              <w:t>70–84</w:t>
            </w:r>
          </w:p>
        </w:tc>
        <w:tc>
          <w:tcPr>
            <w:tcW w:type="dxa" w:w="2550"/>
            <w:vAlign w:val="center"/>
          </w:tcPr>
          <w:p>
            <w:pPr>
              <w:bidi/>
              <w:jc w:val="right"/>
            </w:pPr>
            <w:r/>
            <w:r>
              <w:rPr>
                <w:rFonts w:ascii="Noto Sans Hebrew" w:hAnsi="Noto Sans Hebrew" w:eastAsia="Noto Sans Hebrew" w:cs="Noto Sans Hebrew"/>
                <w:b w:val="0"/>
                <w:sz w:val="19"/>
              </w:rPr>
              <w:t>חברה טובה ויציבה</w:t>
            </w:r>
          </w:p>
        </w:tc>
        <w:tc>
          <w:tcPr>
            <w:tcW w:type="dxa" w:w="2550"/>
            <w:vAlign w:val="center"/>
          </w:tcPr>
          <w:p>
            <w:pPr>
              <w:jc w:val="left"/>
            </w:pPr>
            <w:r/>
            <w:r>
              <w:rPr>
                <w:rFonts w:ascii="Aptos" w:hAnsi="Aptos" w:eastAsia="Aptos" w:cs="Aptos"/>
                <w:b w:val="0"/>
                <w:sz w:val="19"/>
              </w:rPr>
              <w:t>30%–35%</w:t>
            </w:r>
          </w:p>
        </w:tc>
        <w:tc>
          <w:tcPr>
            <w:tcW w:type="dxa" w:w="2550"/>
            <w:vAlign w:val="center"/>
          </w:tcPr>
          <w:p>
            <w:pPr>
              <w:bidi/>
              <w:jc w:val="right"/>
            </w:pPr>
            <w:r/>
            <w:r>
              <w:rPr>
                <w:rFonts w:ascii="Noto Sans Hebrew" w:hAnsi="Noto Sans Hebrew" w:eastAsia="Noto Sans Hebrew" w:cs="Noto Sans Hebrew"/>
                <w:b w:val="0"/>
                <w:sz w:val="19"/>
              </w:rPr>
              <w:t>עד שישים וחמש עד שבעים אחוז מהשווי</w:t>
            </w:r>
          </w:p>
        </w:tc>
      </w:tr>
      <w:tr>
        <w:tc>
          <w:tcPr>
            <w:tcW w:type="dxa" w:w="2550"/>
            <w:vAlign w:val="center"/>
          </w:tcPr>
          <w:p>
            <w:pPr>
              <w:jc w:val="left"/>
            </w:pPr>
            <w:r/>
            <w:r>
              <w:rPr>
                <w:rFonts w:ascii="Aptos" w:hAnsi="Aptos" w:eastAsia="Aptos" w:cs="Aptos"/>
                <w:b w:val="0"/>
                <w:sz w:val="19"/>
              </w:rPr>
              <w:t>55–69</w:t>
            </w:r>
          </w:p>
        </w:tc>
        <w:tc>
          <w:tcPr>
            <w:tcW w:type="dxa" w:w="2550"/>
            <w:vAlign w:val="center"/>
          </w:tcPr>
          <w:p>
            <w:pPr>
              <w:bidi/>
              <w:jc w:val="right"/>
            </w:pPr>
            <w:r/>
            <w:r>
              <w:rPr>
                <w:rFonts w:ascii="Noto Sans Hebrew" w:hAnsi="Noto Sans Hebrew" w:eastAsia="Noto Sans Hebrew" w:cs="Noto Sans Hebrew"/>
                <w:b w:val="0"/>
                <w:sz w:val="19"/>
              </w:rPr>
              <w:t>חברה גבולית</w:t>
            </w:r>
          </w:p>
        </w:tc>
        <w:tc>
          <w:tcPr>
            <w:tcW w:type="dxa" w:w="2550"/>
            <w:vAlign w:val="center"/>
          </w:tcPr>
          <w:p>
            <w:pPr>
              <w:jc w:val="left"/>
            </w:pPr>
            <w:r/>
            <w:r>
              <w:rPr>
                <w:rFonts w:ascii="Aptos" w:hAnsi="Aptos" w:eastAsia="Aptos" w:cs="Aptos"/>
                <w:b w:val="0"/>
                <w:sz w:val="19"/>
              </w:rPr>
              <w:t>40%–50%</w:t>
            </w:r>
          </w:p>
        </w:tc>
        <w:tc>
          <w:tcPr>
            <w:tcW w:type="dxa" w:w="2550"/>
            <w:vAlign w:val="center"/>
          </w:tcPr>
          <w:p>
            <w:pPr>
              <w:bidi/>
              <w:jc w:val="right"/>
            </w:pPr>
            <w:r/>
            <w:r>
              <w:rPr>
                <w:rFonts w:ascii="Noto Sans Hebrew" w:hAnsi="Noto Sans Hebrew" w:eastAsia="Noto Sans Hebrew" w:cs="Noto Sans Hebrew"/>
                <w:b w:val="0"/>
                <w:sz w:val="19"/>
              </w:rPr>
              <w:t>עד חמישים עד שישים אחוז מהשווי</w:t>
            </w:r>
          </w:p>
        </w:tc>
      </w:tr>
      <w:tr>
        <w:tc>
          <w:tcPr>
            <w:tcW w:type="dxa" w:w="2550"/>
            <w:vAlign w:val="center"/>
          </w:tcPr>
          <w:p>
            <w:pPr>
              <w:bidi/>
              <w:jc w:val="right"/>
            </w:pPr>
            <w:r/>
            <w:r>
              <w:rPr>
                <w:rFonts w:ascii="Noto Sans Hebrew" w:hAnsi="Noto Sans Hebrew" w:eastAsia="Noto Sans Hebrew" w:cs="Noto Sans Hebrew"/>
                <w:b w:val="0"/>
                <w:sz w:val="19"/>
              </w:rPr>
              <w:t>מתחת לחמישים וחמש</w:t>
            </w:r>
          </w:p>
        </w:tc>
        <w:tc>
          <w:tcPr>
            <w:tcW w:type="dxa" w:w="2550"/>
            <w:vAlign w:val="center"/>
          </w:tcPr>
          <w:p>
            <w:pPr>
              <w:bidi/>
              <w:jc w:val="right"/>
            </w:pPr>
            <w:r/>
            <w:r>
              <w:rPr>
                <w:rFonts w:ascii="Noto Sans Hebrew" w:hAnsi="Noto Sans Hebrew" w:eastAsia="Noto Sans Hebrew" w:cs="Noto Sans Hebrew"/>
                <w:b w:val="0"/>
                <w:sz w:val="19"/>
              </w:rPr>
              <w:t>חברה חלשה</w:t>
            </w:r>
          </w:p>
        </w:tc>
        <w:tc>
          <w:tcPr>
            <w:tcW w:type="dxa" w:w="2550"/>
            <w:vAlign w:val="center"/>
          </w:tcPr>
          <w:p>
            <w:pPr>
              <w:bidi/>
              <w:jc w:val="right"/>
            </w:pPr>
            <w:r/>
            <w:r>
              <w:rPr>
                <w:rFonts w:ascii="Noto Sans Hebrew" w:hAnsi="Noto Sans Hebrew" w:eastAsia="Noto Sans Hebrew" w:cs="Noto Sans Hebrew"/>
                <w:b w:val="0"/>
                <w:sz w:val="19"/>
              </w:rPr>
              <w:t>לא לקנות</w:t>
            </w:r>
          </w:p>
        </w:tc>
        <w:tc>
          <w:tcPr>
            <w:tcW w:type="dxa" w:w="2550"/>
            <w:vAlign w:val="center"/>
          </w:tcPr>
          <w:p>
            <w:pPr>
              <w:bidi/>
              <w:jc w:val="right"/>
            </w:pPr>
            <w:r/>
            <w:r>
              <w:rPr>
                <w:rFonts w:ascii="Noto Sans Hebrew" w:hAnsi="Noto Sans Hebrew" w:eastAsia="Noto Sans Hebrew" w:cs="Noto Sans Hebrew"/>
                <w:b w:val="0"/>
                <w:sz w:val="19"/>
              </w:rPr>
              <w:t>גם מחיר נמוך לא מספיק</w:t>
            </w:r>
          </w:p>
        </w:tc>
      </w:tr>
    </w:tbl>
    <w:p/>
    <w:p>
      <w:pPr>
        <w:pStyle w:val="Heading2"/>
        <w:bidi/>
        <w:spacing w:before="200" w:after="120"/>
        <w:jc w:val="right"/>
      </w:pPr>
      <w:r>
        <w:rPr>
          <w:rFonts w:ascii="Noto Sans Hebrew" w:hAnsi="Noto Sans Hebrew" w:eastAsia="Noto Sans Hebrew" w:cs="Noto Sans Hebrew"/>
          <w:b/>
          <w:color w:val="1F4E79"/>
          <w:sz w:val="26"/>
        </w:rPr>
        <w:t>‪9.‬ איך יודעים שההשקעה הגיעה למימוש</w:t>
      </w:r>
    </w:p>
    <w:p>
      <w:pPr>
        <w:bidi/>
        <w:spacing w:after="120" w:line="259" w:lineRule="auto"/>
        <w:jc w:val="right"/>
      </w:pPr>
      <w:r>
        <w:rPr>
          <w:rFonts w:ascii="Noto Sans Hebrew" w:hAnsi="Noto Sans Hebrew" w:eastAsia="Noto Sans Hebrew" w:cs="Noto Sans Hebrew"/>
          <w:b w:val="0"/>
          <w:i w:val="0"/>
          <w:sz w:val="22"/>
        </w:rPr>
        <w:t>בגישת גרהם, מימוש מתרחש בדרך כלל כאשר מרווח הביטחון נסגר או כאשר החברה כבר לא עומדת בקריטריונים השמרניים.</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מצב</w:t>
            </w:r>
          </w:p>
        </w:tc>
        <w:tc>
          <w:tcPr>
            <w:tcW w:type="dxa" w:w="5100"/>
            <w:vAlign w:val="center"/>
            <w:shd w:fill="D9EAF7"/>
          </w:tcPr>
          <w:p>
            <w:pPr>
              <w:bidi/>
              <w:jc w:val="right"/>
            </w:pPr>
            <w:r/>
            <w:r>
              <w:rPr>
                <w:rFonts w:ascii="Noto Sans Hebrew" w:hAnsi="Noto Sans Hebrew" w:eastAsia="Noto Sans Hebrew" w:cs="Noto Sans Hebrew"/>
                <w:b/>
                <w:sz w:val="19"/>
              </w:rPr>
              <w:t>פירוש / פעולה אפשרית</w:t>
            </w:r>
          </w:p>
        </w:tc>
      </w:tr>
      <w:tr>
        <w:tc>
          <w:tcPr>
            <w:tcW w:type="dxa" w:w="5100"/>
            <w:vAlign w:val="center"/>
          </w:tcPr>
          <w:p>
            <w:pPr>
              <w:jc w:val="left"/>
            </w:pPr>
            <w:r/>
            <w:r>
              <w:rPr>
                <w:rFonts w:ascii="Aptos" w:hAnsi="Aptos" w:eastAsia="Aptos" w:cs="Aptos"/>
                <w:b w:val="0"/>
                <w:sz w:val="19"/>
              </w:rPr>
              <w:t>Current Price ≥ Graham Fair Value</w:t>
            </w:r>
          </w:p>
        </w:tc>
        <w:tc>
          <w:tcPr>
            <w:tcW w:type="dxa" w:w="5100"/>
            <w:vAlign w:val="center"/>
          </w:tcPr>
          <w:p>
            <w:pPr>
              <w:bidi/>
              <w:jc w:val="right"/>
            </w:pPr>
            <w:r/>
            <w:r>
              <w:rPr>
                <w:rFonts w:ascii="Noto Sans Hebrew" w:hAnsi="Noto Sans Hebrew" w:eastAsia="Noto Sans Hebrew" w:cs="Noto Sans Hebrew"/>
                <w:b w:val="0"/>
                <w:sz w:val="19"/>
              </w:rPr>
              <w:t>מרווח הביטחון נסגר; לשקול מימוש חלקי או מעבר השקעה</w:t>
            </w:r>
          </w:p>
        </w:tc>
      </w:tr>
      <w:tr>
        <w:tc>
          <w:tcPr>
            <w:tcW w:type="dxa" w:w="5100"/>
            <w:vAlign w:val="center"/>
          </w:tcPr>
          <w:p>
            <w:pPr>
              <w:bidi/>
              <w:jc w:val="right"/>
            </w:pPr>
            <w:r/>
            <w:r>
              <w:rPr>
                <w:rFonts w:ascii="Noto Sans Hebrew" w:hAnsi="Noto Sans Hebrew" w:eastAsia="Noto Sans Hebrew" w:cs="Noto Sans Hebrew"/>
                <w:b w:val="0"/>
                <w:sz w:val="19"/>
              </w:rPr>
              <w:t>‪P/E‬ מעל ‪15–18‬ או ‪P/B‬ מעל ‪1.5–2‬</w:t>
            </w:r>
          </w:p>
        </w:tc>
        <w:tc>
          <w:tcPr>
            <w:tcW w:type="dxa" w:w="5100"/>
            <w:vAlign w:val="center"/>
          </w:tcPr>
          <w:p>
            <w:pPr>
              <w:bidi/>
              <w:jc w:val="right"/>
            </w:pPr>
            <w:r/>
            <w:r>
              <w:rPr>
                <w:rFonts w:ascii="Noto Sans Hebrew" w:hAnsi="Noto Sans Hebrew" w:eastAsia="Noto Sans Hebrew" w:cs="Noto Sans Hebrew"/>
                <w:b w:val="0"/>
                <w:sz w:val="19"/>
              </w:rPr>
              <w:t>המניה כבר לא זולה לפי מכפילים</w:t>
            </w:r>
          </w:p>
        </w:tc>
      </w:tr>
      <w:tr>
        <w:tc>
          <w:tcPr>
            <w:tcW w:type="dxa" w:w="5100"/>
            <w:vAlign w:val="center"/>
          </w:tcPr>
          <w:p>
            <w:pPr>
              <w:bidi/>
              <w:jc w:val="right"/>
            </w:pPr>
            <w:r/>
            <w:r>
              <w:rPr>
                <w:rFonts w:ascii="Noto Sans Hebrew" w:hAnsi="Noto Sans Hebrew" w:eastAsia="Noto Sans Hebrew" w:cs="Noto Sans Hebrew"/>
                <w:b w:val="0"/>
                <w:sz w:val="19"/>
              </w:rPr>
              <w:t>‪P/E‬ × ‪P/B‬ מעל ‪22.5‬</w:t>
            </w:r>
          </w:p>
        </w:tc>
        <w:tc>
          <w:tcPr>
            <w:tcW w:type="dxa" w:w="5100"/>
            <w:vAlign w:val="center"/>
          </w:tcPr>
          <w:p>
            <w:pPr>
              <w:bidi/>
              <w:jc w:val="right"/>
            </w:pPr>
            <w:r/>
            <w:r>
              <w:rPr>
                <w:rFonts w:ascii="Noto Sans Hebrew" w:hAnsi="Noto Sans Hebrew" w:eastAsia="Noto Sans Hebrew" w:cs="Noto Sans Hebrew"/>
                <w:b w:val="0"/>
                <w:sz w:val="19"/>
              </w:rPr>
              <w:t>המניה יצאה מאזור התמחור הקלאסי של גרהם</w:t>
            </w:r>
          </w:p>
        </w:tc>
      </w:tr>
      <w:tr>
        <w:tc>
          <w:tcPr>
            <w:tcW w:type="dxa" w:w="5100"/>
            <w:vAlign w:val="center"/>
          </w:tcPr>
          <w:p>
            <w:pPr>
              <w:bidi/>
              <w:jc w:val="right"/>
            </w:pPr>
            <w:r/>
            <w:r>
              <w:rPr>
                <w:rFonts w:ascii="Noto Sans Hebrew" w:hAnsi="Noto Sans Hebrew" w:eastAsia="Noto Sans Hebrew" w:cs="Noto Sans Hebrew"/>
                <w:b w:val="0"/>
                <w:sz w:val="19"/>
              </w:rPr>
              <w:t>החברה נחלשת פיננסית</w:t>
            </w:r>
          </w:p>
        </w:tc>
        <w:tc>
          <w:tcPr>
            <w:tcW w:type="dxa" w:w="5100"/>
            <w:vAlign w:val="center"/>
          </w:tcPr>
          <w:p>
            <w:pPr>
              <w:bidi/>
              <w:jc w:val="right"/>
            </w:pPr>
            <w:r/>
            <w:r>
              <w:rPr>
                <w:rFonts w:ascii="Noto Sans Hebrew" w:hAnsi="Noto Sans Hebrew" w:eastAsia="Noto Sans Hebrew" w:cs="Noto Sans Hebrew"/>
                <w:b w:val="0"/>
                <w:sz w:val="19"/>
              </w:rPr>
              <w:t>לשקול מכירה גם אם המחיר לא עלה</w:t>
            </w:r>
          </w:p>
        </w:tc>
      </w:tr>
    </w:tbl>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bidi/>
              <w:jc w:val="right"/>
            </w:pPr>
            <w:r/>
            <w:r>
              <w:rPr>
                <w:rFonts w:ascii="Noto Sans Hebrew" w:hAnsi="Noto Sans Hebrew" w:eastAsia="Noto Sans Hebrew" w:cs="Noto Sans Hebrew"/>
                <w:b/>
                <w:sz w:val="19"/>
              </w:rPr>
              <w:t>סימן להיחלשות</w:t>
            </w:r>
          </w:p>
        </w:tc>
        <w:tc>
          <w:tcPr>
            <w:tcW w:type="dxa" w:w="5100"/>
            <w:vAlign w:val="center"/>
            <w:shd w:fill="D9EAF7"/>
          </w:tcPr>
          <w:p>
            <w:pPr>
              <w:bidi/>
              <w:jc w:val="right"/>
            </w:pPr>
            <w:r/>
            <w:r>
              <w:rPr>
                <w:rFonts w:ascii="Noto Sans Hebrew" w:hAnsi="Noto Sans Hebrew" w:eastAsia="Noto Sans Hebrew" w:cs="Noto Sans Hebrew"/>
                <w:b/>
                <w:sz w:val="19"/>
              </w:rPr>
              <w:t>משמעות</w:t>
            </w:r>
          </w:p>
        </w:tc>
      </w:tr>
      <w:tr>
        <w:tc>
          <w:tcPr>
            <w:tcW w:type="dxa" w:w="5100"/>
            <w:vAlign w:val="center"/>
          </w:tcPr>
          <w:p>
            <w:pPr>
              <w:bidi/>
              <w:jc w:val="right"/>
            </w:pPr>
            <w:r/>
            <w:r>
              <w:rPr>
                <w:rFonts w:ascii="Noto Sans Hebrew" w:hAnsi="Noto Sans Hebrew" w:eastAsia="Noto Sans Hebrew" w:cs="Noto Sans Hebrew"/>
                <w:b w:val="0"/>
                <w:sz w:val="19"/>
              </w:rPr>
              <w:t>‪Current‬ ‪Ratio‬ יורד משמעותית</w:t>
            </w:r>
          </w:p>
        </w:tc>
        <w:tc>
          <w:tcPr>
            <w:tcW w:type="dxa" w:w="5100"/>
            <w:vAlign w:val="center"/>
          </w:tcPr>
          <w:p>
            <w:pPr>
              <w:bidi/>
              <w:jc w:val="right"/>
            </w:pPr>
            <w:r/>
            <w:r>
              <w:rPr>
                <w:rFonts w:ascii="Noto Sans Hebrew" w:hAnsi="Noto Sans Hebrew" w:eastAsia="Noto Sans Hebrew" w:cs="Noto Sans Hebrew"/>
                <w:b w:val="0"/>
                <w:sz w:val="19"/>
              </w:rPr>
              <w:t>הנזילות נחלשת</w:t>
            </w:r>
          </w:p>
        </w:tc>
      </w:tr>
      <w:tr>
        <w:tc>
          <w:tcPr>
            <w:tcW w:type="dxa" w:w="5100"/>
            <w:vAlign w:val="center"/>
          </w:tcPr>
          <w:p>
            <w:pPr>
              <w:bidi/>
              <w:jc w:val="right"/>
            </w:pPr>
            <w:r/>
            <w:r>
              <w:rPr>
                <w:rFonts w:ascii="Noto Sans Hebrew" w:hAnsi="Noto Sans Hebrew" w:eastAsia="Noto Sans Hebrew" w:cs="Noto Sans Hebrew"/>
                <w:b w:val="0"/>
                <w:sz w:val="19"/>
              </w:rPr>
              <w:t>החוב עולה מהר</w:t>
            </w:r>
          </w:p>
        </w:tc>
        <w:tc>
          <w:tcPr>
            <w:tcW w:type="dxa" w:w="5100"/>
            <w:vAlign w:val="center"/>
          </w:tcPr>
          <w:p>
            <w:pPr>
              <w:bidi/>
              <w:jc w:val="right"/>
            </w:pPr>
            <w:r/>
            <w:r>
              <w:rPr>
                <w:rFonts w:ascii="Noto Sans Hebrew" w:hAnsi="Noto Sans Hebrew" w:eastAsia="Noto Sans Hebrew" w:cs="Noto Sans Hebrew"/>
                <w:b w:val="0"/>
                <w:sz w:val="19"/>
              </w:rPr>
              <w:t>הסיכון הפיננסי גדל</w:t>
            </w:r>
          </w:p>
        </w:tc>
      </w:tr>
      <w:tr>
        <w:tc>
          <w:tcPr>
            <w:tcW w:type="dxa" w:w="5100"/>
            <w:vAlign w:val="center"/>
          </w:tcPr>
          <w:p>
            <w:pPr>
              <w:bidi/>
              <w:jc w:val="right"/>
            </w:pPr>
            <w:r/>
            <w:r>
              <w:rPr>
                <w:rFonts w:ascii="Noto Sans Hebrew" w:hAnsi="Noto Sans Hebrew" w:eastAsia="Noto Sans Hebrew" w:cs="Noto Sans Hebrew"/>
                <w:b w:val="0"/>
                <w:sz w:val="19"/>
              </w:rPr>
              <w:t>הרווחים הופכים תנודתיים</w:t>
            </w:r>
          </w:p>
        </w:tc>
        <w:tc>
          <w:tcPr>
            <w:tcW w:type="dxa" w:w="5100"/>
            <w:vAlign w:val="center"/>
          </w:tcPr>
          <w:p>
            <w:pPr>
              <w:bidi/>
              <w:jc w:val="right"/>
            </w:pPr>
            <w:r/>
            <w:r>
              <w:rPr>
                <w:rFonts w:ascii="Noto Sans Hebrew" w:hAnsi="Noto Sans Hebrew" w:eastAsia="Noto Sans Hebrew" w:cs="Noto Sans Hebrew"/>
                <w:b w:val="0"/>
                <w:sz w:val="19"/>
              </w:rPr>
              <w:t>יציבות הרווח נפגעת</w:t>
            </w:r>
          </w:p>
        </w:tc>
      </w:tr>
      <w:tr>
        <w:tc>
          <w:tcPr>
            <w:tcW w:type="dxa" w:w="5100"/>
            <w:vAlign w:val="center"/>
          </w:tcPr>
          <w:p>
            <w:pPr>
              <w:bidi/>
              <w:jc w:val="right"/>
            </w:pPr>
            <w:r/>
            <w:r>
              <w:rPr>
                <w:rFonts w:ascii="Noto Sans Hebrew" w:hAnsi="Noto Sans Hebrew" w:eastAsia="Noto Sans Hebrew" w:cs="Noto Sans Hebrew"/>
                <w:b w:val="0"/>
                <w:sz w:val="19"/>
              </w:rPr>
              <w:t>החברה עוברת להפסד</w:t>
            </w:r>
          </w:p>
        </w:tc>
        <w:tc>
          <w:tcPr>
            <w:tcW w:type="dxa" w:w="5100"/>
            <w:vAlign w:val="center"/>
          </w:tcPr>
          <w:p>
            <w:pPr>
              <w:bidi/>
              <w:jc w:val="right"/>
            </w:pPr>
            <w:r/>
            <w:r>
              <w:rPr>
                <w:rFonts w:ascii="Noto Sans Hebrew" w:hAnsi="Noto Sans Hebrew" w:eastAsia="Noto Sans Hebrew" w:cs="Noto Sans Hebrew"/>
                <w:b w:val="0"/>
                <w:sz w:val="19"/>
              </w:rPr>
              <w:t>קריטריון מרכזי נשבר</w:t>
            </w:r>
          </w:p>
        </w:tc>
      </w:tr>
      <w:tr>
        <w:tc>
          <w:tcPr>
            <w:tcW w:type="dxa" w:w="5100"/>
            <w:vAlign w:val="center"/>
          </w:tcPr>
          <w:p>
            <w:pPr>
              <w:bidi/>
              <w:jc w:val="right"/>
            </w:pPr>
            <w:r/>
            <w:r>
              <w:rPr>
                <w:rFonts w:ascii="Noto Sans Hebrew" w:hAnsi="Noto Sans Hebrew" w:eastAsia="Noto Sans Hebrew" w:cs="Noto Sans Hebrew"/>
                <w:b w:val="0"/>
                <w:sz w:val="19"/>
              </w:rPr>
              <w:t>הדיבידנד נחתך או מבוטל</w:t>
            </w:r>
          </w:p>
        </w:tc>
        <w:tc>
          <w:tcPr>
            <w:tcW w:type="dxa" w:w="5100"/>
            <w:vAlign w:val="center"/>
          </w:tcPr>
          <w:p>
            <w:pPr>
              <w:bidi/>
              <w:jc w:val="right"/>
            </w:pPr>
            <w:r/>
            <w:r>
              <w:rPr>
                <w:rFonts w:ascii="Noto Sans Hebrew" w:hAnsi="Noto Sans Hebrew" w:eastAsia="Noto Sans Hebrew" w:cs="Noto Sans Hebrew"/>
                <w:b w:val="0"/>
                <w:sz w:val="19"/>
              </w:rPr>
              <w:t>ייתכן שהחוסן נפגע</w:t>
            </w:r>
          </w:p>
        </w:tc>
      </w:tr>
      <w:tr>
        <w:tc>
          <w:tcPr>
            <w:tcW w:type="dxa" w:w="5100"/>
            <w:vAlign w:val="center"/>
          </w:tcPr>
          <w:p>
            <w:pPr>
              <w:bidi/>
              <w:jc w:val="right"/>
            </w:pPr>
            <w:r/>
            <w:r>
              <w:rPr>
                <w:rFonts w:ascii="Noto Sans Hebrew" w:hAnsi="Noto Sans Hebrew" w:eastAsia="Noto Sans Hebrew" w:cs="Noto Sans Hebrew"/>
                <w:b w:val="0"/>
                <w:sz w:val="19"/>
              </w:rPr>
              <w:t>‪Book‬ ‪Value‬ נשחק</w:t>
            </w:r>
          </w:p>
        </w:tc>
        <w:tc>
          <w:tcPr>
            <w:tcW w:type="dxa" w:w="5100"/>
            <w:vAlign w:val="center"/>
          </w:tcPr>
          <w:p>
            <w:pPr>
              <w:bidi/>
              <w:jc w:val="right"/>
            </w:pPr>
            <w:r/>
            <w:r>
              <w:rPr>
                <w:rFonts w:ascii="Noto Sans Hebrew" w:hAnsi="Noto Sans Hebrew" w:eastAsia="Noto Sans Hebrew" w:cs="Noto Sans Hebrew"/>
                <w:b w:val="0"/>
                <w:sz w:val="19"/>
              </w:rPr>
              <w:t>בסיס הנכסים נחלש</w:t>
            </w:r>
          </w:p>
        </w:tc>
      </w:tr>
      <w:tr>
        <w:tc>
          <w:tcPr>
            <w:tcW w:type="dxa" w:w="5100"/>
            <w:vAlign w:val="center"/>
          </w:tcPr>
          <w:p>
            <w:pPr>
              <w:bidi/>
              <w:jc w:val="right"/>
            </w:pPr>
            <w:r/>
            <w:r>
              <w:rPr>
                <w:rFonts w:ascii="Noto Sans Hebrew" w:hAnsi="Noto Sans Hebrew" w:eastAsia="Noto Sans Hebrew" w:cs="Noto Sans Hebrew"/>
                <w:b w:val="0"/>
                <w:sz w:val="19"/>
              </w:rPr>
              <w:t>מספר המניות עולה משמעותית</w:t>
            </w:r>
          </w:p>
        </w:tc>
        <w:tc>
          <w:tcPr>
            <w:tcW w:type="dxa" w:w="5100"/>
            <w:vAlign w:val="center"/>
          </w:tcPr>
          <w:p>
            <w:pPr>
              <w:bidi/>
              <w:jc w:val="right"/>
            </w:pPr>
            <w:r/>
            <w:r>
              <w:rPr>
                <w:rFonts w:ascii="Noto Sans Hebrew" w:hAnsi="Noto Sans Hebrew" w:eastAsia="Noto Sans Hebrew" w:cs="Noto Sans Hebrew"/>
                <w:b w:val="0"/>
                <w:sz w:val="19"/>
              </w:rPr>
              <w:t>בעלי המניות מדוללים</w:t>
            </w:r>
          </w:p>
        </w:tc>
      </w:tr>
    </w:tbl>
    <w:p/>
    <w:p>
      <w:pPr>
        <w:pStyle w:val="Heading2"/>
        <w:bidi/>
        <w:spacing w:before="200" w:after="120"/>
        <w:jc w:val="right"/>
      </w:pPr>
      <w:r>
        <w:rPr>
          <w:rFonts w:ascii="Noto Sans Hebrew" w:hAnsi="Noto Sans Hebrew" w:eastAsia="Noto Sans Hebrew" w:cs="Noto Sans Hebrew"/>
          <w:b/>
          <w:color w:val="1F4E79"/>
          <w:sz w:val="26"/>
        </w:rPr>
        <w:t>מקורות והערות</w:t>
      </w:r>
    </w:p>
    <w:p>
      <w:pPr>
        <w:bidi/>
        <w:spacing w:after="120" w:line="259" w:lineRule="auto"/>
        <w:jc w:val="right"/>
      </w:pPr>
      <w:r>
        <w:rPr>
          <w:rFonts w:ascii="Noto Sans Hebrew" w:hAnsi="Noto Sans Hebrew" w:eastAsia="Noto Sans Hebrew" w:cs="Noto Sans Hebrew"/>
          <w:b w:val="0"/>
          <w:i w:val="0"/>
          <w:sz w:val="22"/>
        </w:rPr>
        <w:t>המדדים במסמך הם מודלים יישומיים שנבנו על בסיס עקרונות השקעות ערך. מדד באפט מבוסס על גישת השקעה בחברות איכותיות במחיר סביר, ומדד גרהם מבוסס על גישה שמרנית של חוסן פיננסי, מכפילים נמוכים ומרווח ביטחון. מספר גרהם נובע מהשילוב בין ‪P/E‬ של חמש עשרה ו־‪P/B‬ של ‪1.5.‬</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Hebrew" w:hAnsi="Noto Sans Hebr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