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ValueCompass – Sector Methodology Adaptation Specification</w:t>
      </w:r>
    </w:p>
    <w:p>
      <w:pPr/>
      <w:r>
        <w:rPr>
          <w:i/>
        </w:rPr>
        <w:t>BANK • INSURANCE • INCOME-PRODUCING REAL ESTATE | Quality Scoring v1</w:t>
      </w:r>
    </w:p>
    <w:p>
      <w:r>
        <w:t>Purpose: consolidate the methodology changes approved after the agent QA process. Buffett and Graham criterion names and total weights are preserved; only the underlying data and calculations change where the general model does not represent sector economics correctly. Missing ≠ zero; Not Applicable is distinct from Retrieval Failure.</w:t>
      </w:r>
    </w:p>
    <w:p>
      <w:pPr>
        <w:pStyle w:val="Heading1"/>
      </w:pPr>
      <w:r>
        <w:t>1.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Criterion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New calculation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Change vs. prior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Financial data 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High Return on Capital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Normalized ROTCE 10 + normalized ROA 5. ROTCE: ≤6%=0, ≥18%=10, linear. ROA: ≤0.50%=0, ≥1.25%=5, linear.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Industrial ROE/ROIC logic is replaced by bank-specific return measures.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annual ROTCE and ROA; tangible common equity; average assets; net/common earnings.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FCF / Owner Earnings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Earnings Power 8: 5Y EPS CAGR, 0%=0, 10%=8, with deductions for negative annual EPS transitions. Tangible Shareholder Value Creation 7: median of (ΔTBVPS + DPS)/prior TBVPS; 0%=0, 12%=7.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Ordinary FCF is not representative for banks; replaced by earnings power and tangible per-share value creation.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EPS; annual TBVPS; annual DPS; diluted shares.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Strong Balance Sheet / Reasonable Debt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CET1 Buffer 4 + risk-adjusted NCO 2 + risk-adjusted NPL 1 + Reserve Coverage 1 + LCR 2. CET1 buffer 0→0, 2.5pp→4. LCR 100%→0, 110%→2. NCO/NPL benchmarked by loan class and year. Reserve coverage=ACL/NPL.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Debt/equity and current ratio are replaced by regulatory capital, liquidity and credit quality.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CET1 actual/required; LCR; net charge-offs and average loans by class; NPL by class; ACL; country/year/loan-class benchmarks.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Financial Condition / Liquidity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CET1 Buffer 8 + LCR 4 + Funding Stability 3. CET1: 0pp→0, 3pp→8. LCR: 100%→0, 120%→4. Funding: Deposit Funding Ratio 2 + Worst 5Y Deposit Growth 1.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Current ratio is not meaningful for a bank; replaced by capital cushion, regulatory liquidity and deposit funding.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CET1 actual/required; LCR; deposits; wholesale/borrowed funding; 5Y deposits.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Low Debt / Balance-Sheet Conservatism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Credit Quality 8: risk-adjusted NCO 5 + NPL 3. Loss Absorption 4: ACL/NPL. Concentration Risk 3: loan-portfolio HHI plus high-risk exposure override.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Bank debt is part of the operating model; D/E is replaced by credit losses, reserves and concentration.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NCO/NPL by loan class; ACL; loan balances by category; regulatory concentration disclosures; benchmarks.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Earnings Quality &amp; Dilution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EPS Stability 5 using 5Y EPS CV (loss-year cap); Provision Consistency 3: reserve direction + reserve-release impact; Share Dilution 2 using 5Y diluted-share CAGR.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Adds explicit tests of earnings stability and whether earnings are supported by prudent provisioning.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EPS; provisions; reserve releases; pre-tax income; NCO/NPL trends; reserve coverage; 5Y diluted shares.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Quality of Equity / Assets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TCE/TA 3 + TBVPS Preservation 2 + RWA Intensity 5. TCE/TA: 4%=0, 5%=1, 6%=2, ≥7%=3. TBVPS CAGR: ≤−5%=0, 0%=1, ≥5%=2. RWA/assets: ≤50%=5 ... ≥100%=0.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Ordinary book equity is replaced by tangible capital quality and asset risk.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Tangible common equity; tangible/total assets; 5Y TBVPS; risk-weighted assets.</w:t>
            </w:r>
          </w:p>
        </w:tc>
      </w:tr>
    </w:tbl>
    <w:p/>
    <w:p>
      <w:pPr>
        <w:pStyle w:val="Heading1"/>
      </w:pPr>
      <w:r>
        <w:t>2. 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Criterion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New calculation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Change vs. prior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Financial data 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High Return on Capital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Normalized ROE 10: 5Y median; ≤5%=0, 10%=4, 15%=7, ≥20%=10. ROE Consistency 5 based on positive-ROE years.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ROE is retained but normalized to core economics; consistency replaces industrial ROIC logic.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ROE; adjusted/core earnings; equity; investment/FX anomaly details.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FCF / Owner Earnings (15)</w:t>
            </w:r>
          </w:p>
        </w:tc>
        <w:tc>
          <w:tcPr>
            <w:tcW w:type="dxa" w:w="2592"/>
            <w:vAlign w:val="top"/>
          </w:tcPr>
          <w:p>
            <w:r>
              <w:t>Insurance Economic Result / Margin — 10:</w:t>
              <w:br/>
              <w:t>InsuranceEconomicRevenue = InsuranceRevenue + AttributableInsuranceInvestmentIncome.</w:t>
              <w:br/>
              <w:t>InsuranceEconomicResult = InsuranceEconomicRevenue − EconomicInsuranceCosts.</w:t>
              <w:br/>
              <w:t>InsuranceEconomicMargin = InsuranceEconomicResult / InsuranceEconomicRevenue.</w:t>
              <w:br/>
              <w:t>5Y median score: ≤0%=0, 2.5%=2, 5%=4, 7.5%=6, 10%=8, ≥15%=10, linear interpolation.</w:t>
              <w:br/>
              <w:t>Insurance Business Growth — 2: 5Y CAGR of InsuranceRevenue/Net Earned Premiums; ≤0%=0, 3%=0.75, 6%=1.5, ≥8%=2.</w:t>
              <w:br/>
              <w:t>Insurance Economics Consistency — 3: positive InsuranceEconomicMargin years; 5/5=3, 4/5=2.25, 3/5=1.5, 2/5=0.75, ≤1/5=0.</w:t>
            </w:r>
          </w:p>
        </w:tc>
        <w:tc>
          <w:tcPr>
            <w:tcW w:type="dxa" w:w="2592"/>
            <w:vAlign w:val="top"/>
          </w:tcPr>
          <w:p>
            <w:r>
              <w:t>FCF and float growth are not universal insurance measures. The replacement measures the combined economics of insurance operations: insurance revenue + investment income attributable to assets supporting insurance liabilities − the economic cost of claims/benefits and operating the insurance business. The same economic concept applies across insurance types; only financial-statement mapping differs.</w:t>
            </w:r>
          </w:p>
        </w:tc>
        <w:tc>
          <w:tcPr>
            <w:tcW w:type="dxa" w:w="2592"/>
            <w:vAlign w:val="top"/>
          </w:tcPr>
          <w:p>
            <w:r>
              <w:t>Insurance revenue / net earned premiums by segment; investment income attributable to insurance assets; claims/benefits incurred; loss-adjustment/medical costs; insurance operating/acquisition expenses; insurance-liability accruals required to attribute cost to the period; segment mapping. Avoid double counting where claims/benefits already include liability accruals.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Strong Balance Sheet / Reasonable Debt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Regulatory Capital 4 by regime; Reserve Adequacy 4 using adverse prior-period reserve development / beginning reserves plus consistency penalty; Financial Leverage 2 = financial debt/(financial debt+equity).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Ordinary D/E is replaced by regulatory capital, reserve quality and financial debt only; policy liabilities are not debt.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RBC/Solvency ratio and regime; required threshold; 5Y prior-period reserve development; beginning reserves; financial debt; equity.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Financial Condition / Liquidity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Regulatory Capital 10 + Liquidity 5. Liquidity = unencumbered liquid assets / total invested assets; ≥80%=5, 70=4, 60=3, 50=2, 40=1, &lt;40=0.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Current ratio is replaced by regulatory capital cushion and investment-portfolio liquidity.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Regulatory capital ratio/regime; cash; short-term investments; publicly traded securities; pledged assets; total invested assets.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Low Debt / Balance-Sheet Conservatism (15)</w:t>
            </w:r>
          </w:p>
        </w:tc>
        <w:tc>
          <w:tcPr>
            <w:tcW w:type="dxa" w:w="2592"/>
            <w:vAlign w:val="top"/>
          </w:tcPr>
          <w:p>
            <w:r>
              <w:t>Reserve Adequacy — 9:</w:t>
              <w:br/>
              <w:t>ReserveAdequacyDeviation = Adverse Economic Reserve Experience Deviation / Beginning Relevant Insurance Reserves.</w:t>
              <w:br/>
              <w:t>ETL maps the economically relevant deviation by liability type (e.g., prior-period loss development, prior-year medical-cost development, or economic experience/assumption deterioration) and excludes technical market/discount-rate remeasurement that does not indicate reserve quality.</w:t>
              <w:br/>
              <w:t>Normalized = 5Y median.</w:t>
              <w:br/>
              <w:t>0%=9, 1%=6.75, 2%=4.5, 3%=2.25, ≥4%=0, interpolation.</w:t>
              <w:br/>
              <w:t>Consistency penalty for years with adverse deviation &gt;1%: 0–1 no deduction; 2: −0.5; 3: −1; ≥4: −2; floor 0.</w:t>
              <w:br/>
              <w:br/>
              <w:t>Financial Leverage — 6:</w:t>
              <w:br/>
              <w:t>FinancialDebt / (FinancialDebt + Equity).</w:t>
              <w:br/>
              <w:t>≤20%=6, 30%=4.5, 40%=3, 50%=1.5, ≥60%=0, interpolation.</w:t>
              <w:br/>
              <w:t>Insurance reserves/policy liabilities are not Financial Debt.</w:t>
            </w:r>
          </w:p>
        </w:tc>
        <w:tc>
          <w:tcPr>
            <w:tcW w:type="dxa" w:w="2592"/>
            <w:vAlign w:val="top"/>
          </w:tcPr>
          <w:p>
            <w:r>
              <w:t>Separate Liability Risk was removed to avoid double counting. Ordinary D/E is replaced by (1) whether insurance reserves/liabilities proved conservative relative to actual experience and (2) the company's true financial debt. Reserve adequacy is defined as a canonical economic concept rather than a P&amp;C-specific disclosure.</w:t>
            </w:r>
          </w:p>
        </w:tc>
        <w:tc>
          <w:tcPr>
            <w:tcW w:type="dxa" w:w="2592"/>
            <w:vAlign w:val="top"/>
          </w:tcPr>
          <w:p>
            <w:r>
              <w:t>5Y beginning relevant insurance reserves; adverse reserve/experience development by liability type; assumption/experience-change detail to exclude market/discount-rate remeasurement; financial debt; equity.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Earnings Quality &amp; Dilution (10)</w:t>
            </w:r>
          </w:p>
        </w:tc>
        <w:tc>
          <w:tcPr>
            <w:tcW w:type="dxa" w:w="2592"/>
            <w:vAlign w:val="top"/>
          </w:tcPr>
          <w:p>
            <w:r>
              <w:t>Insurance Economics Consistency — 5:</w:t>
              <w:br/>
              <w:t>Positive InsuranceEconomicMargin years:</w:t>
              <w:br/>
              <w:t>5/5=5, 4/5=4, 3/5=3, 2/5=2, 1/5=1, 0/5=0.</w:t>
              <w:br/>
              <w:br/>
              <w:t>Insurance Economic Margin Stability — 3:</w:t>
              <w:br/>
              <w:t>For each of four 5Y transitions: ΔMargin_t = Margin_t − Margin_(t−1).</w:t>
              <w:br/>
              <w:t>A transition is stable if ΔMargin ≥ −2 percentage points.</w:t>
              <w:br/>
              <w:t>4/4=3, 3/4=2.25, 2/4=1.5, 1/4=0.75, 0/4=0.</w:t>
              <w:br/>
              <w:t>Large increases receive no bonus.</w:t>
              <w:br/>
              <w:br/>
              <w:t>Share Dilution — 2:</w:t>
              <w:br/>
              <w:t>5Y diluted-share CAGR:</w:t>
              <w:br/>
              <w:t>≤0%=2, +1%=1.5, +2%=1, +3%=0.5, ≥4%=0, interpolation.</w:t>
            </w:r>
          </w:p>
        </w:tc>
        <w:tc>
          <w:tcPr>
            <w:tcW w:type="dxa" w:w="2592"/>
            <w:vAlign w:val="top"/>
          </w:tcPr>
          <w:p>
            <w:r>
              <w:t>Reserve/Earnings Quality was removed: reserve releases are not consistently comparable across P&amp;C, Health and Life and created double counting with Reserve Adequacy. It is replaced by stability of the canonical Insurance Economic Margin already used to evaluate insurance economics.</w:t>
            </w:r>
          </w:p>
        </w:tc>
        <w:tc>
          <w:tcPr>
            <w:tcW w:type="dxa" w:w="2592"/>
            <w:vAlign w:val="top"/>
          </w:tcPr>
          <w:p>
            <w:r>
              <w:t>5Y InsuranceEconomicMargin, based on InsuranceRevenue + AttributableInsuranceInvestmentIncome − EconomicInsuranceCosts; 5Y diluted shares. Material reserve releases remain a diagnostic/risk flag but do not receive a separate point score.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Quality of Equity / Assets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TBVPS Preservation 4 + Fixed-Income Credit Quality 3 + Illiquid/Risky Assets 2 + Portfolio Concentration 1. IG ratio ≥95%=3 ... ≤75%=0; risky illiquid ratio ≤5%=2 ... ≥25%=0; risk-asset HHI ≤.20=1 ... ≥.50=0.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Tangible capital buffer was removed to avoid double-counting regulatory capital; investment-portfolio quality is measured instead.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TBVPS; investment-grade fixed income; total fixed income; private equity/high-risk illiquid assets; total investments; holdings by risk-bearing asset class.</w:t>
            </w:r>
          </w:p>
        </w:tc>
      </w:tr>
    </w:tbl>
    <w:p/>
    <w:p>
      <w:pPr>
        <w:pStyle w:val="Heading1"/>
      </w:pPr>
      <w:r>
        <w:t>3. INCOME-PRODUCING REAL ESTATE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Criterion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New calculation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Change vs. prior method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>
              <w:rPr>
                <w:b/>
              </w:rPr>
              <w:t>Financial data 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High Return on Capital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Property Operating Performance 8: median 5Y same-property/like-for-like NOI growth; 0%=0,2%=2,4%=4,6%=6,≥8%=8. Incremental Capital Returns 7: investment yield − marginal cost of debt; 0pp=0,1=2,2=4,3=6,≥4=7; fallback multi-year ΔNOI/growth capital.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ROE/ROIC are replaced by property performance and returns on new capital, avoiding GAAP depreciation/revaluation distortions.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same-property/like-for-like NOI; stabilized/acquisition/development yields; marginal/new debt cost; growth capex/acquisitions/development; normalized NOI.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FCF / Owner Earnings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Canonical RE Owner Earnings = recurring property cash earnings − recurring maintenance capital. OE/share Growth 8: 5Y CAGR, 0%=0,2=2,4=4,6=6,≥8=8. Stability 7 based on four transitions without a decline &gt;5%.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CFO−total CapEx is rejected because growth capex is not maintenance. AFFO/FFO are reconciliation inputs, not canonical truth.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FFO/AFFO/Core FFO/OFCF; CFO components; maintenance capex; recurring tenant improvements/leasing commissions; growth capex; 5Y diluted shares.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Buffett – Strong Balance Sheet / Reasonable Debt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LTV 4 + Net Debt/Operating Earnings 2 + Debt Service Coverage 4. LTV ≤30%=4 ... ≥60%=0. ND/OE uses calibrated 4x–15x scale scaled to 2 points. Coverage ≤1.5x=0,2=1,2.5=2,3=2.67,4=3.33,≥5=4. Debt maturity is a risk flag.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Debt/equity is replaced by leverage against property value, earning power and debt-service capacity.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Net financial debt; current/gross economic property value; EBITDAre/equivalent recurring operating earnings; interest/fixed charges; debt maturity schedule; committed liquidity.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Financial Condition / Liquidity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Debt Service Coverage 7 + Near-Term Debt Coverage 8. Coverage ≤1.5x=0,2=1.75,2.5=3.5,3=4.8,4=6.1,≥5=7. NTDC=(cash+ST investments+undrawn committed facilities)/debt due within 24m; &lt;.5=0,.75=2,1=4,1.25=5.5,1.5=7,≥2=8. 3Y maturity concentration is a flag.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Current ratio is replaced by debt-service capacity and ability to withstand refinancing stress.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Operating earnings; interest/fixed charges; cash; short-term investments; committed undrawn facilities; debt maturities by year.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Low Debt / Balance-Sheet Conservatism (15)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LTV 10 + Net Debt/Operating Earnings 5. LTV ≤25%=10,30=9,35=7.5,40=6,45=4,50=2,≥60=0. ND/OE ≤3x=5,4=4.5,5=4,6=3.5,8=2.5,10=1.5,12=.75,≥15=0.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D/E/book-value leverage is replaced by economic asset cushion and debt burden relative to earning power.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Net financial debt; current economic property value; normalized EBITDAre/equivalent; JV/proportionate debt and property value.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Earnings Quality &amp; Dilution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OE Stability 5 (4/4=5 ... 0=0). Reported-vs-Economic 3: median annual growth gap between recurring earnings/share and canonical OE/share; ≤1pp=3,2=2.5,3=2,4=1,≥5=0, penalize only reported&gt;economic. Per-Share Capital Discipline 2: if share CAGR≤1% =&gt;2; otherwise OE/share CAGR ≥4%=2,2–4=1.5,0–2=1,−2–0=.5,≤−2=0.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Ordinary GAAP EPS/dilution tests are replaced by cash-earnings stability, quality of FFO/AFFO and whether equity issuance creates per-share earning power.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canonical OE/share; 5Y recurring property earnings/share; 5Y diluted shares; FFO/AFFO reconciliation.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t>Graham – Quality of Equity / Assets (10)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Asset Utilization 4: 5Y median occupancy ≥95%=4,92=3,89=2,85=1,&lt;80=0 plus deterioration guardrail. Property Income Resilience 4: number of transitions without &gt;3% same-property NOI decline. Economic Exposure Concentration 2: largest independent NOI/rent exposure ≤5%=2,10=1.5,15=1,20=.5,≥25=0. Country concentration is a flag.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NAV/NTA is removed from Quality due to IFRS/US-GAAP bias; book value is replaced by asset utilization, income resilience and economic concentration.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t>5Y occupancy by segment plus NOI/GLA weights; 5Y same-property/like-for-like NOI; NOI/rent by tenant/property/market as relevant; segment/geographic exposure.</w:t>
            </w:r>
          </w:p>
        </w:tc>
      </w:tr>
    </w:tbl>
    <w:p/>
    <w:p>
      <w:pPr>
        <w:pStyle w:val="Heading1"/>
      </w:pPr>
      <w:r>
        <w:t>4. Shared implementation rules</w:t>
      </w:r>
    </w:p>
    <w:p>
      <w:r>
        <w:t>• methodology_profile is not selected from sector label alone: STANDARD / TECH_ASSET_LIGHT / BANK / INSURANCE / INCOME_REAL_ESTATE.</w:t>
      </w:r>
    </w:p>
    <w:p>
      <w:r>
        <w:t>• ETL extracts and stores source data; the Calculation Engine computes deterministic scores. The analysis agent does not choose formulas or alter weights ad hoc.</w:t>
      </w:r>
    </w:p>
    <w:p>
      <w:r>
        <w:t>• Multi-year metrics require a consistent series under the canonical definition. Source, fiscal year and metric definition must be retained for auditability.</w:t>
      </w:r>
    </w:p>
    <w:p>
      <w:r>
        <w:t>• INSURANCE v1 is methodology-complete: Graham Reserve Adequacy 9, Financial Leverage 6, and Insurance Economic Margin Stability 3 are now deterministic and sanity-checked.</w:t>
      </w:r>
    </w:p>
    <w:p>
      <w:r>
        <w:t>• For INCOME_REAL_ESTATE, Graham's original Earnings Stability uses Recurring Property Earnings/share, while OE Stability uses Canonical Owner Earnings/share to avoid double counting.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