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rPr>
          <w:b/>
        </w:rPr>
        <w:t>ValueCompass – מפרט התאמות מתודולוגיות סקטוריאליות</w:t>
      </w:r>
    </w:p>
    <w:p>
      <w:pPr/>
      <w:r>
        <w:rPr>
          <w:i/>
        </w:rPr>
        <w:t>BANK • INSURANCE • INCOME-PRODUCING REAL ESTATE | Quality Scoring v1</w:t>
      </w:r>
    </w:p>
    <w:p>
      <w:pPr>
        <w:jc w:val="right"/>
      </w:pPr>
      <w:r>
        <w:t>מטרת המסמך: לרכז את השינויים שאושרו בעקבות בדיקות ה-QA של הסוכן. נשמרים שמות הקריטריונים והמשקלים הכוללים של Buffett ו-Graham; משתנים רק הנתונים והחישובים שבהם המדדים הכלליים אינם מייצגים נכון את הכלכלה הסקטוריאלית. Missing ≠ 0; Not Applicable נפרד מ-Retrieval Failure.</w:t>
      </w:r>
    </w:p>
    <w:p>
      <w:pPr>
        <w:pStyle w:val="Heading1"/>
      </w:pPr>
      <w:r>
        <w:t>1. BANK – בנקים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קריטריון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שיטת החישוב החדשה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השינוי לעומת השיטה הקודמת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נתונים פיננסיים נדרשים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תשואה גבוהה על ההון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ROTCE מנורמל 10 + ROA מנורמל 5. ROTCE: ≤6%=0, ≥18%=10, ליניארי. ROA: ≤0.50%=0, ≥1.25%=5, ליניארי.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במקום ROE/ROIC תעשייתיים, משתמשים במדדי תשואה שמתאימים למאזן בנקאי.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ROTCE ו-ROA שנתיים ל-5 שנים; tangible common equity; average assets; net income/common earnings.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FCF / Owner Earnings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Earnings Power 8: CAGR EPS ל-5 שנים, 0%→0, 10%→8 + הפחתה לפי מספר ירידות EPS. Tangible Shareholder Value Creation 7: median של (ΔTBVPS + DPS)/TBVPS; 0%→0, 12%→7.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FCF רגיל אינו מייצג בנק. מוחלף בכוח רווח וביצירת ערך מוחשי למניה.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EPS שנתי 5 שנים; TBVPS שנתי; DPS שנתי; diluted shares.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מאזן חזק/חוב סביר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CET1 Buffer 4 + Risk-adjusted NCO 2 + Risk-adjusted NPL 1 + Reserve Coverage 1 + LCR 2. CET1 buffer 0→0, 2.5pp→4. LCR 100%→0, 110%→2. NCO/NPL נמדדים יחסית ל-benchmark לפי קטגוריית הלוואה ושנה. Reserve coverage=ACL/NPL.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Debt/Equity ו-current ratio הוחלפו בהון רגולטורי, נזילות ואיכות אשראי.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CET1 actual/required; LCR; net charge-offs ו-average loans לפי קטגוריה; NPL לפי קטגוריה; ACL; benchmarks לפי מדינה/שנה/loan class.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מצב פיננסי/נזילות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CET1 Buffer 8 + LCR 4 + Funding Stability 3. CET1: 0pp→0, 3pp→8. LCR: 100%→0, 120%→4. Funding: Deposit Funding Ratio 2 + Worst 5Y Deposit Growth 1.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Current ratio אינו רלוונטי לבנק; מוחלף בכרית הון, נזילות ומימון פיקדונות.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CET1 actual/required; LCR; deposits; wholesale/borrowed funding; deposits ל-5 שנים.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חוב נמוך/שמרנות מאזנית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Credit Quality 8: risk-adjusted NCO 5 + NPL 3. Loss Absorption 4: ACL/NPL. Concentration Risk 3: loan portfolio HHI + high-risk exposure override.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חוב בנקאי הוא חומר גלם עסקי; במקום D/E נבדקים הפסדי אשראי, רזרבות וריכוזיות.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NCO/NPL לפי loan class; ACL; loan balances לפי קטגוריה; regulatory concentration disclosures; benchmarks.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איכות רווח ודילול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EPS Stability 5 לפי CV של EPS ל-5 שנים (עם cap אם קיימת שנת הפסד); Provision Consistency 3: reserve direction + reserve release impact; Share Dilution 2 לפי CAGR diluted shares ל-5 שנים.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נוסף דגש על יציבות רווחים והאם רווחים נתמכים בהפרשות אשראי סבירות.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EPS 5Y; provisions; reserve releases; pre-tax income; NCO/NPL trends; reserve coverage; diluted shares 5Y.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איכות הון/נכסים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TCE/TA 3 + TBVPS Preservation 2 + RWA Intensity 5. TCE/TA: 4%→0, 5%→1, 6%→2, ≥7%→3. TBVPS CAGR: ≤−5%=0, 0%=1, ≥5%=2. RWA/assets: ≤50%=5 ... ≥100%=0.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Book equity רגיל מוחלף באיכות ההון המוחשי ובסיכון הנכסים.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Tangible common equity; tangible assets/total assets; TBVPS 5Y; risk-weighted assets.</w:t>
            </w:r>
          </w:p>
        </w:tc>
      </w:tr>
    </w:tbl>
    <w:p/>
    <w:p>
      <w:pPr>
        <w:pStyle w:val="Heading1"/>
      </w:pPr>
      <w:r>
        <w:t>2. INSURANCE – ביטוח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קריטריון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שיטת החישוב החדשה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השינוי לעומת השיטה הקודמת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נתונים פיננסיים נדרשים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תשואה גבוהה על ההון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Normalized ROE 10: median 5Y; ≤5%=0, 10%=4, 15%=7, ≥20%=10. ROE Consistency 5 לפי מספר שנות ROE חיובי.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ROE נשמר אך מנורמל לרווחי ליבה; נוספה עקביות במקום ROIC תעשייתי.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ROE 5Y; adjusted/core earnings; equity; פירוט חריגי השקעה/FX.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FCF / Owner Earnings (15)</w:t>
            </w:r>
          </w:p>
        </w:tc>
        <w:tc>
          <w:tcPr>
            <w:tcW w:type="dxa" w:w="2592"/>
            <w:vAlign w:val="top"/>
          </w:tcPr>
          <w:p>
            <w:r>
              <w:t>Insurance Economic Result / Margin — 10:</w:t>
              <w:br/>
              <w:t>InsuranceEconomicRevenue = InsuranceRevenue + AttributableInsuranceInvestmentIncome.</w:t>
              <w:br/>
              <w:t>InsuranceEconomicResult = InsuranceEconomicRevenue − EconomicInsuranceCosts.</w:t>
              <w:br/>
              <w:t>InsuranceEconomicMargin = InsuranceEconomicResult / InsuranceEconomicRevenue.</w:t>
              <w:br/>
              <w:t>ציון לפי median 5Y: ≤0%=0, 2.5%=2, 5%=4, 7.5%=6, 10%=8, ≥15%=10, interpolation ליניארי.</w:t>
              <w:br/>
              <w:t>Insurance Business Growth — 2: CAGR 5Y של InsuranceRevenue/Net Earned Premiums; ≤0%=0, 3%=0.75, 6%=1.5, ≥8%=2.</w:t>
              <w:br/>
              <w:t>Insurance Economics Consistency — 3: מספר שנים מתוך 5 שבהן InsuranceEconomicMargin&gt;0; 5/5=3, 4/5=2.25, 3/5=1.5, 2/5=0.75, ≤1/5=0.</w:t>
            </w:r>
          </w:p>
        </w:tc>
        <w:tc>
          <w:tcPr>
            <w:tcW w:type="dxa" w:w="2592"/>
            <w:vAlign w:val="top"/>
          </w:tcPr>
          <w:p>
            <w:r>
              <w:t>FCF ו-Float Growth אינם מדד אוניברסלי לביטוח. במקום זאת נמדדת הכלכלה המשולבת של פעילות הביטוח: הכנסות ביטוח + הכנסת השקעות המיוחסת לנכסים המממנים התחייבויות ביטוח − העלות הכלכלית של תביעות/הטבות והפעלת הביטוח. אותו concept משמש לכל סוגי הביטוח; רק מיפוי שורות הדוח משתנה.</w:t>
            </w:r>
          </w:p>
        </w:tc>
        <w:tc>
          <w:tcPr>
            <w:tcW w:type="dxa" w:w="2592"/>
            <w:vAlign w:val="top"/>
          </w:tcPr>
          <w:p>
            <w:r>
              <w:t>Insurance revenue / net earned premiums לפי segment; investment income המיוחס לנכסי הביטוח; claims/benefits incurred; loss-adjustment/medical costs; insurance operating/acquisition expenses; insurance-liability accruals הנדרשים לייחוס העלות לתקופה; segment mapping. יש למנוע double counting כאשר claims/benefits כבר כוללים accrual של ההתחייבות.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מאזן חזק/חוב סביר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Regulatory Capital 4 לפי regime; Reserve Adequacy 4 לפי adverse prior-period reserve development / beginning reserves + consistency penalty; Financial Leverage 2 = financial debt/(financial debt+equity).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D/E רגיל מוחלף בהון רגולטורי, איכות רזרבות וחוב פיננסי בלבד; policy liabilities אינן debt.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RBC/Solvency ratio + regime; required threshold; prior-period reserve development 5Y; beginning reserves; financial debt; equity.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מצב פיננסי/נזילות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Regulatory Capital 10 + Liquidity 5. Liquidity = unencumbered liquid assets / total invested assets; ≥80%=5, 70=4, 60=3, 50=2, 40=1, &lt;40=0.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Current ratio הוחלף בכרית רגולטורית ונזילות תיק ההשקעות.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Regulatory capital ratio/regime; cash; short-term investments; publicly traded securities; pledged assets; total invested assets.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חוב נמוך/שמרנות מאזנית (15)</w:t>
            </w:r>
          </w:p>
        </w:tc>
        <w:tc>
          <w:tcPr>
            <w:tcW w:type="dxa" w:w="2592"/>
            <w:vAlign w:val="top"/>
          </w:tcPr>
          <w:p>
            <w:r>
              <w:t>Reserve Adequacy — 9:</w:t>
              <w:br/>
              <w:t>ReserveAdequacyDeviation = Adverse Economic Reserve Experience Deviation / Beginning Relevant Insurance Reserves.</w:t>
              <w:br/>
              <w:t>ה-ETL ממפה את הסטייה הכלכלית הרלוונטית לפי סוג ההתחייבות (למשל prior-period loss development, prior-year medical-cost development, או experience/assumption deterioration כלכלי), ומחריג remeasurement שוקי/discount-rate טכני שאינו מעיד על איכות הרזרבות.</w:t>
              <w:br/>
              <w:t>Normalized = median 5Y.</w:t>
              <w:br/>
              <w:t>0%=9, 1%=6.75, 2%=4.5, 3%=2.25, ≥4%=0, interpolation.</w:t>
              <w:br/>
              <w:t>Consistency penalty לשנים עם adverse deviation &gt;1%: 0–1 ללא הפחתה; 2: −0.5; 3: −1; ≥4: −2; floor 0.</w:t>
              <w:br/>
              <w:br/>
              <w:t>Financial Leverage — 6:</w:t>
              <w:br/>
              <w:t>FinancialDebt / (FinancialDebt + Equity).</w:t>
              <w:br/>
              <w:t>≤20%=6, 30%=4.5, 40%=3, 50%=1.5, ≥60%=0, interpolation.</w:t>
              <w:br/>
              <w:t>Insurance reserves/policy liabilities אינן Financial Debt.</w:t>
            </w:r>
          </w:p>
        </w:tc>
        <w:tc>
          <w:tcPr>
            <w:tcW w:type="dxa" w:w="2592"/>
            <w:vAlign w:val="top"/>
          </w:tcPr>
          <w:p>
            <w:r>
              <w:t>Liability Risk נפרד הוסר כדי למנוע double counting. במקום D/E רגיל נבדקים (1) האם הרזרבות/התחייבויות הביטוח עמדו באופן שמרני מול הניסיון בפועל, ו-(2) החוב הפיננסי האמיתי של החברה. ההגדרה של reserve adequacy היא כלכלית וקנונית ולא P&amp;C-specific.</w:t>
            </w:r>
          </w:p>
        </w:tc>
        <w:tc>
          <w:tcPr>
            <w:tcW w:type="dxa" w:w="2592"/>
            <w:vAlign w:val="top"/>
          </w:tcPr>
          <w:p>
            <w:r>
              <w:t>Beginning relevant insurance reserves ל-5 שנים; adverse reserve/experience development לפי סוג ההתחייבות; פירוט assumption/experience changes לצורך החרגת market/discount-rate remeasurement; financial debt; equity.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איכות רווח ודילול (10)</w:t>
            </w:r>
          </w:p>
        </w:tc>
        <w:tc>
          <w:tcPr>
            <w:tcW w:type="dxa" w:w="2592"/>
            <w:vAlign w:val="top"/>
          </w:tcPr>
          <w:p>
            <w:r>
              <w:t>Insurance Economics Consistency — 5:</w:t>
              <w:br/>
              <w:t>מספר שנים מתוך 5 שבהן InsuranceEconomicMargin&gt;0:</w:t>
              <w:br/>
              <w:t>5/5=5, 4/5=4, 3/5=3, 2/5=2, 1/5=1, 0/5=0.</w:t>
              <w:br/>
              <w:br/>
              <w:t>Insurance Economic Margin Stability — 3:</w:t>
              <w:br/>
              <w:t>לכל אחד מארבעת המעברים: ΔMargin_t = Margin_t − Margin_(t−1).</w:t>
              <w:br/>
              <w:t>מעבר יציב אם ΔMargin ≥ −2 נקודות אחוז.</w:t>
              <w:br/>
              <w:t>4/4=3, 3/4=2.25, 2/4=1.5, 1/4=0.75, 0/4=0.</w:t>
              <w:br/>
              <w:t>עלייה גדולה אינה מקבלת בונוס.</w:t>
              <w:br/>
              <w:br/>
              <w:t>Share Dilution — 2:</w:t>
              <w:br/>
              <w:t>CAGR של diluted shares ל-5 שנים:</w:t>
              <w:br/>
              <w:t>≤0%=2, +1%=1.5, +2%=1, +3%=0.5, ≥4%=0, interpolation.</w:t>
            </w:r>
          </w:p>
        </w:tc>
        <w:tc>
          <w:tcPr>
            <w:tcW w:type="dxa" w:w="2592"/>
            <w:vAlign w:val="top"/>
          </w:tcPr>
          <w:p>
            <w:r>
              <w:t>Reserve/Earnings Quality הוסר: reserve releases אינם בני-השוואה באופן אחיד בין P&amp;C, Health ו-Life וגם יצרו double counting מול Reserve Adequacy. במקומו נבדקת יציבות ה-Insurance Economic Margin הקנוני שכבר משמש להערכת כלכלת פעילות הביטוח.</w:t>
            </w:r>
          </w:p>
        </w:tc>
        <w:tc>
          <w:tcPr>
            <w:tcW w:type="dxa" w:w="2592"/>
            <w:vAlign w:val="top"/>
          </w:tcPr>
          <w:p>
            <w:r>
              <w:t>InsuranceEconomicMargin ל-5 שנים, המבוסס על InsuranceRevenue + AttributableInsuranceInvestmentIncome − EconomicInsuranceCosts; diluted shares ל-5 שנים. Reserve releases נשמרים כ-diagnostic/risk flag כאשר הם מהותיים, אך אינם מקבלים נקודות נפרדות.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איכות הון/נכסים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TBVPS Preservation 4 + Fixed-Income Credit Quality 3 + Illiquid/Risky Assets 2 + Portfolio Concentration 1. IG ratio ≥95%=3 ... ≤75%=0; risky illiquid ratio ≤5%=2 ... ≥25%=0; HHI risk assets ≤.20=1 ... ≥.50=0.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Tangible capital buffer הוסר כדי לא לספור הון רגולטורי פעמיים; נבדקת איכות תיק ההשקעות.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TBVPS 5Y; investment-grade fixed income; total fixed income; private equity/high-risk illiquid assets; total investments; holdings by risk-bearing asset class.</w:t>
            </w:r>
          </w:p>
        </w:tc>
      </w:tr>
    </w:tbl>
    <w:p/>
    <w:p>
      <w:pPr>
        <w:pStyle w:val="Heading1"/>
      </w:pPr>
      <w:r>
        <w:t>3. INCOME-PRODUCING REAL ESTATE – נדל״ן מניב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קריטריון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שיטת החישוב החדשה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השינוי לעומת השיטה הקודמת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right"/>
            </w:pPr>
            <w:r>
              <w:rPr>
                <w:b/>
              </w:rPr>
              <w:t>נתונים פיננסיים נדרשים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תשואה גבוהה על ההון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Property Operating Performance 8: median 5Y same-property/like-for-like NOI growth; 0%=0, 2%=2, 4%=4, 6%=6, ≥8%=8. Incremental Capital Returns 7: investment yield − marginal cost of debt; 0pp=0,1=2,2=4,3=6,≥4=7; fallback multi-year ΔNOI/growth capital.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ROE/ROIC מוחלפים בביצועי הנכסים ובתשואה על הון חדש; נמנעת הטיית GAAP depreciation/revaluation.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Same-property/like-for-like NOI 5Y; stabilized/acquisition/development yields; marginal/new debt cost; growth capex/acquisitions/development; normalized NOI.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FCF / Owner Earnings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Canonical RE Owner Earnings = recurring property cash earnings − recurring maintenance capital. OE/share Growth 8: CAGR 5Y, 0%=0,2=2,4=4,6=6,≥8=8. Stability 7 לפי 4 מעברים ללא ירידה &gt;5%.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CFO−total CapEx נדחה: growth capex אינו maintenance. AFFO/FFO הם מקורות reconciliation, לא אמת קנונית.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FFO/AFFO/Core FFO/OFCF; CFO components; maintenance capex; recurring tenant improvements/leasing commissions; growth capex; diluted shares 5Y.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באפט – מאזן חזק/חוב סביר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LTV 4 + Net Debt/Operating Earnings 2 + Debt Service Coverage 4. LTV ≤30%=4 ... ≥60%=0. ND/OE uses calibrated 4x–15x scale (2-point scaling). Coverage ≤1.5x=0, 2=1,2.5=2,3=2.67,4=3.33,≥5=4. Debt maturity = risk flag.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Debt/Equity מוחלף במינוף מול שווי נכסים, earning power ויכולת שירות חוב.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Net financial debt; current/gross economic property value; EBITDAre/equivalent recurring operating earnings; interest/fixed charges; debt maturity schedule; committed liquidity.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מצב פיננסי/נזילות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Debt Service Coverage 7 + Near-Term Debt Coverage 8. Coverage ≤1.5x=0,2=1.75,2.5=3.5,3=4.8,4=6.1,≥5=7. NTDC=(cash+ST investments+undrawn committed facilities)/debt due within 24m; &lt;.5=0,.75=2,1=4,1.25=5.5,1.5=7,≥2=8. 3Y maturity concentration = flag.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Current ratio מוחלף ביכולת שירות חוב וביכולת לעבור refinancing stress.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Operating earnings; interest/fixed charges; cash; short-term investments; committed undrawn facilities; debt maturities by year.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חוב נמוך/שמרנות מאזנית (15)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LTV 10 + Net Debt/Operating Earnings 5. LTV ≤25%=10,30=9,35=7.5,40=6,45=4,50=2,≥60=0. ND/OE ≤3x=5,4=4.5,5=4,6=3.5,8=2.5,10=1.5,12=.75,≥15=0.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D/E/Book Value leverage מוחלפים בכרית נכסים כלכלית ובעומס חוב על earning power.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Net financial debt; current economic property value; normalized EBITDAre/equivalent; JV/proportionate debt and property value.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איכות רווח ודילול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OE Stability 5 (4/4=5 ... 0=0). Reported-vs-Economic 3: median annual growth gap between recurring earnings/share and canonical OE/share; ≤1pp=3,2=2.5,3=2,4=1,≥5=0, penalize only reported&gt;economic. Per-Share Capital Discipline 2: if share CAGR≤1% =&gt;2; otherwise OE/share CAGR ≥4%=2,2–4=1.5,0–2=1,−2–0=.5,≤−2=0.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GAAP EPS/dilution רגילים מוחלפים ביציבות cash earnings, איכות FFO/AFFO והאם הנפקות יוצרות earning power למניה.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Canonical OE/share 5Y; recurring property earnings/share 5Y; diluted shares 5Y; FFO/AFFO reconciliation.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</w:pPr>
            <w:r>
              <w:t>גרהם – איכות הון/נכסים (10)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Asset Utilization 4: median 5Y occupancy ≥95%=4,92=3,89=2,85=1,&lt;80=0 + deterioration guardrail. Property Income Resilience 4: מספר מעברים ללא ירידת same-property NOI &gt;3%. Economic Exposure Concentration 2: largest independent NOI/rent exposure ≤5%=2,10=1.5,15=1,20=.5,≥25=0. Country concentration = flag.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NAV/NTA הוצא מ-Quality בגלל הטיית IFRS/US GAAP; Book Value הוחלף בשימוש בנכסים, עמידות הכנסה וריכוזיות כלכלית.</w:t>
            </w:r>
          </w:p>
        </w:tc>
        <w:tc>
          <w:tcPr>
            <w:tcW w:type="dxa" w:w="2592"/>
            <w:vAlign w:val="top"/>
          </w:tcPr>
          <w:p>
            <w:pPr>
              <w:jc w:val="right"/>
            </w:pPr>
            <w:r>
              <w:t>Occupancy 5Y לפי segment + NOI/GLA weights; same-property/like-for-like NOI 5Y; NOI/rent by tenant/property/market as relevant; segment/geographic exposure.</w:t>
            </w:r>
          </w:p>
        </w:tc>
      </w:tr>
    </w:tbl>
    <w:p/>
    <w:p>
      <w:pPr>
        <w:pStyle w:val="Heading1"/>
      </w:pPr>
      <w:r>
        <w:t>4. כללי יישום משותפים</w:t>
      </w:r>
    </w:p>
    <w:p>
      <w:pPr>
        <w:jc w:val="right"/>
      </w:pPr>
      <w:r>
        <w:t>• בחירת methodology_profile אינה לפי sector label בלבד: STANDARD / TECH_ASSET_LIGHT / BANK / INSURANCE / INCOME_REAL_ESTATE.</w:t>
      </w:r>
    </w:p>
    <w:p>
      <w:pPr>
        <w:jc w:val="right"/>
      </w:pPr>
      <w:r>
        <w:t>• ה-ETL מחלץ ושומר נתוני מקור; Calculation Engine מחשב ציונים דטרמיניסטיים. הסוכן המסביר אינו בוחר נוסחה או משנה משקל אד-הוק.</w:t>
      </w:r>
    </w:p>
    <w:p>
      <w:pPr>
        <w:jc w:val="right"/>
      </w:pPr>
      <w:r>
        <w:t>• במדדים רב-שנתיים נדרשת סדרת נתונים עקבית לפי ההגדרה הקנונית. מקור, שנת דיווח והגדרת metric נשמרים לצורך audit.</w:t>
      </w:r>
    </w:p>
    <w:p>
      <w:pPr>
        <w:jc w:val="right"/>
      </w:pPr>
      <w:r>
        <w:t>• INSURANCE v1 הושלם מתודולוגית: Graham Reserve Adequacy 9, Financial Leverage 6 ו-Insurance Economic Margin Stability 3 הוגדרו באופן דטרמיניסטי ועברו sanity check.</w:t>
      </w:r>
    </w:p>
    <w:p>
      <w:pPr>
        <w:jc w:val="right"/>
      </w:pPr>
      <w:r>
        <w:t>• ב-INCOME_REAL_ESTATE, Earnings Stability המקורי של Graham משתמש ב-Recurring Property Earnings/share, ואילו OE Stability משתמש ב-Canonical Owner Earnings/share, כדי למנוע double counting.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