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 Research Scout</w:t>
      </w:r>
    </w:p>
    <w:p>
      <w:pPr>
        <w:jc w:val="center"/>
      </w:pPr>
      <w:r>
        <w:rPr>
          <w:color w:val="444444"/>
          <w:sz w:val="32"/>
        </w:rPr>
        <w:t>paper_candidates_and_instructions</w:t>
      </w:r>
    </w:p>
    <w:p/>
    <w:p>
      <w:pPr>
        <w:jc w:val="center"/>
      </w:pPr>
      <w:r>
        <w:t>This document is maintained automatically by a daily Claude Code Routine. Each day, a fresh cloud agent runs a three-phase pipeline: (1) Scout — finds concrete, falsifiable paper claims from recent ML literature; (2) Novelty check — filters out claims already covered by prior art; (3) Research instructions — drafts full research plans for surviving claims. Each daily run appends a new dated section below.</w:t>
      </w:r>
    </w:p>
    <w:p/>
    <w:p>
      <w:pPr>
        <w:pStyle w:val="Heading1"/>
      </w:pPr>
      <w:r>
        <w:t>Target Research Areas</w:t>
      </w:r>
    </w:p>
    <w:p>
      <w:pPr>
        <w:pStyle w:val="ListBullet"/>
      </w:pPr>
      <w:r>
        <w:rPr>
          <w:b/>
        </w:rPr>
        <w:t xml:space="preserve">Diffusion Models: </w:t>
      </w:r>
      <w:r>
        <w:t>Score-based generative models, denoising diffusion, consistency models, flow matching, editing and inversion techniques.</w:t>
      </w:r>
    </w:p>
    <w:p>
      <w:pPr>
        <w:pStyle w:val="ListBullet"/>
      </w:pPr>
      <w:r>
        <w:rPr>
          <w:b/>
        </w:rPr>
        <w:t xml:space="preserve">Computer Vision: </w:t>
      </w:r>
      <w:r>
        <w:t>Object detection, segmentation, 3D reconstruction, video understanding, self-supervised visual representation.</w:t>
      </w:r>
    </w:p>
    <w:p>
      <w:pPr>
        <w:pStyle w:val="ListBullet"/>
      </w:pPr>
      <w:r>
        <w:rPr>
          <w:b/>
        </w:rPr>
        <w:t xml:space="preserve">Transformers: </w:t>
      </w:r>
      <w:r>
        <w:t>Attention mechanisms, efficient transformers, linear attention, long-context architectures, test-time compute.</w:t>
      </w:r>
    </w:p>
    <w:p>
      <w:pPr>
        <w:pStyle w:val="ListBullet"/>
      </w:pPr>
      <w:r>
        <w:rPr>
          <w:b/>
        </w:rPr>
        <w:t xml:space="preserve">LLMs: </w:t>
      </w:r>
      <w:r>
        <w:t>Large language model training, alignment, reasoning, efficiency, quantization, and deployment.</w:t>
      </w:r>
    </w:p>
    <w:p>
      <w:pPr>
        <w:pStyle w:val="ListBullet"/>
      </w:pPr>
      <w:r>
        <w:rPr>
          <w:b/>
        </w:rPr>
        <w:t xml:space="preserve">VLA (Vision-Language-Action): </w:t>
      </w:r>
      <w:r>
        <w:t>Robotic manipulation, embodied AI, policy learning from vision+language, sim-to-real transfer.</w:t>
      </w:r>
    </w:p>
    <w:p>
      <w:pPr>
        <w:pStyle w:val="ListBullet"/>
      </w:pPr>
      <w:r>
        <w:rPr>
          <w:b/>
        </w:rPr>
        <w:t xml:space="preserve">VLM (Vision-Language Models): </w:t>
      </w:r>
      <w:r>
        <w:t>Multimodal understanding, visual question answering, image captioning, cross-modal grounding.</w:t>
      </w:r>
    </w:p>
    <w:p/>
    <w:p>
      <w:pPr>
        <w:pStyle w:val="Heading1"/>
      </w:pPr>
      <w:r>
        <w:t>Daily Run Log</w:t>
      </w:r>
    </w:p>
    <w:p>
      <w:r>
        <w:t>Daily runs are appended below as new sections, each dated. The first automated run will populate this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