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C20AD" w14:textId="77777777" w:rsidR="00750A9B" w:rsidRPr="005241F2" w:rsidRDefault="00750A9B" w:rsidP="00750A9B">
      <w:pPr>
        <w:pStyle w:val="numberig"/>
        <w:numPr>
          <w:ilvl w:val="0"/>
          <w:numId w:val="0"/>
        </w:numPr>
        <w:bidi/>
        <w:jc w:val="left"/>
        <w:rPr>
          <w:b/>
          <w:bCs/>
          <w:sz w:val="32"/>
          <w:szCs w:val="32"/>
          <w:rtl/>
        </w:rPr>
      </w:pPr>
      <w:bookmarkStart w:id="0" w:name="OLE_LINK103"/>
      <w:bookmarkStart w:id="1" w:name="OLE_LINK104"/>
      <w:r w:rsidRPr="005241F2">
        <w:rPr>
          <w:rFonts w:hint="cs"/>
          <w:b/>
          <w:bCs/>
          <w:sz w:val="32"/>
          <w:szCs w:val="32"/>
          <w:rtl/>
        </w:rPr>
        <w:t>תקציר</w:t>
      </w:r>
    </w:p>
    <w:p w14:paraId="42CE6843" w14:textId="77777777" w:rsidR="00750A9B" w:rsidRPr="007A275C" w:rsidRDefault="00750A9B" w:rsidP="00750A9B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</w:p>
    <w:p w14:paraId="03829CE6" w14:textId="77777777" w:rsidR="00750A9B" w:rsidRDefault="00750A9B" w:rsidP="00750A9B">
      <w:pPr>
        <w:pStyle w:val="numberig"/>
        <w:numPr>
          <w:ilvl w:val="0"/>
          <w:numId w:val="0"/>
        </w:numPr>
        <w:bidi/>
        <w:rPr>
          <w:sz w:val="28"/>
          <w:szCs w:val="28"/>
          <w:rtl/>
        </w:rPr>
      </w:pPr>
      <w:r w:rsidRPr="005241F2">
        <w:rPr>
          <w:rFonts w:hint="cs"/>
          <w:sz w:val="28"/>
          <w:szCs w:val="28"/>
          <w:rtl/>
        </w:rPr>
        <w:t>גנרטורים סינכרוניים מהווים רכיב מרכזי ברשת החשמל. לאחרונה, יציבות רשת החשמל מהווה מוקד עניין משמעותי ו</w:t>
      </w:r>
      <w:r>
        <w:rPr>
          <w:rFonts w:hint="cs"/>
          <w:sz w:val="28"/>
          <w:szCs w:val="28"/>
          <w:rtl/>
        </w:rPr>
        <w:t>כר פורה למחקר. אחת הסיבות לכך היא שרשת החשמל הופכת יותר ויותר תלויה במקורות אנרגיה מתחדשים.</w:t>
      </w:r>
    </w:p>
    <w:p w14:paraId="44C9CCC4" w14:textId="77777777" w:rsidR="00750A9B" w:rsidRDefault="00750A9B" w:rsidP="00750A9B">
      <w:pPr>
        <w:pStyle w:val="numberig"/>
        <w:numPr>
          <w:ilvl w:val="0"/>
          <w:numId w:val="0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ab/>
        <w:t>בחלקה הראשון של עבודה זו אנו דנים ביציבות מערכת הכוללת גנרטור סינכרוני יחיד המחובר לרשת אידיאלית אינסופית, ומראים כי עבור מקרה זה מודלים מצומצמים נכשלים בחיזוי התנהגות המערכת.</w:t>
      </w:r>
    </w:p>
    <w:p w14:paraId="0CC1514D" w14:textId="77777777" w:rsidR="00750A9B" w:rsidRPr="005241F2" w:rsidRDefault="00750A9B" w:rsidP="00750A9B">
      <w:pPr>
        <w:pStyle w:val="numberig"/>
        <w:numPr>
          <w:ilvl w:val="0"/>
          <w:numId w:val="0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ab/>
        <w:t xml:space="preserve">בחלק השני של עבודה זו, אני חוקרים את היציבות של מיקרו-גריד המורכב משני גנרטורים סינכרוניים  זהים, קוים בעלי השראות ועומס התנגדותי. אנו מראים תנאים מספיקים עבור יציבות מקומית </w:t>
      </w:r>
      <w:proofErr w:type="spellStart"/>
      <w:r>
        <w:rPr>
          <w:rFonts w:hint="cs"/>
          <w:sz w:val="28"/>
          <w:szCs w:val="28"/>
          <w:rtl/>
        </w:rPr>
        <w:t>אקספוננציאלית</w:t>
      </w:r>
      <w:proofErr w:type="spellEnd"/>
      <w:r>
        <w:rPr>
          <w:rFonts w:hint="cs"/>
          <w:sz w:val="28"/>
          <w:szCs w:val="28"/>
          <w:rtl/>
        </w:rPr>
        <w:t xml:space="preserve"> עם אגן משיכה המכיל את כל תנאי ההתחלה של המערכת עבור תנאי התחלה של גנרטורים הקרובים זה לזה במידה מספקת. </w:t>
      </w:r>
    </w:p>
    <w:p w14:paraId="6F589F22" w14:textId="77777777" w:rsidR="00750A9B" w:rsidRDefault="00750A9B" w:rsidP="00750A9B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347331AD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bookmarkStart w:id="2" w:name="_GoBack"/>
      <w:bookmarkEnd w:id="2"/>
    </w:p>
    <w:p w14:paraId="42458FA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01A45F99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19F41BF8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44E1B317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21A04EF7" w14:textId="77777777" w:rsidR="007A275C" w:rsidRPr="00084563" w:rsidRDefault="00084563" w:rsidP="00084563">
      <w:pPr>
        <w:bidi w:val="0"/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he-IL"/>
        </w:rPr>
      </w:pPr>
      <w:r>
        <w:rPr>
          <w:b/>
          <w:bCs/>
          <w:sz w:val="40"/>
          <w:szCs w:val="40"/>
          <w:rtl/>
        </w:rPr>
        <w:br w:type="page"/>
      </w:r>
    </w:p>
    <w:p w14:paraId="1E020E2F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4FE6DA3E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6"/>
          <w:szCs w:val="36"/>
          <w:rtl/>
        </w:rPr>
      </w:pPr>
      <w:r w:rsidRPr="00276848">
        <w:rPr>
          <w:rFonts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664F6D10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2"/>
          <w:szCs w:val="32"/>
          <w:rtl/>
        </w:rPr>
      </w:pPr>
      <w:r w:rsidRPr="00276848">
        <w:rPr>
          <w:rFonts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1017F84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29C59C5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1D58246F" w14:textId="30B7F222" w:rsidR="007A275C" w:rsidRPr="007A275C" w:rsidRDefault="005241F2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יציבות של גנרטורים סינכרוניי</w:t>
      </w:r>
      <w:r>
        <w:rPr>
          <w:rFonts w:hint="eastAsia"/>
          <w:b/>
          <w:bCs/>
          <w:sz w:val="48"/>
          <w:szCs w:val="48"/>
          <w:rtl/>
        </w:rPr>
        <w:t>ם</w:t>
      </w:r>
      <w:r>
        <w:rPr>
          <w:rFonts w:hint="cs"/>
          <w:b/>
          <w:bCs/>
          <w:sz w:val="48"/>
          <w:szCs w:val="48"/>
          <w:rtl/>
        </w:rPr>
        <w:t xml:space="preserve"> מצומדים</w:t>
      </w:r>
      <w:r w:rsidR="007A275C" w:rsidRPr="007A275C">
        <w:rPr>
          <w:rFonts w:hint="cs"/>
          <w:b/>
          <w:bCs/>
          <w:sz w:val="48"/>
          <w:szCs w:val="48"/>
          <w:rtl/>
        </w:rPr>
        <w:t xml:space="preserve"> </w:t>
      </w:r>
    </w:p>
    <w:p w14:paraId="597A7CC1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4B10EE6D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63979E2B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4A9BB7E7" w14:textId="100BDA46" w:rsidR="007A275C" w:rsidRDefault="007A275C" w:rsidP="005241F2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חיבור זה הוגש כעבודת מחקר לקראת התואר "מוסמך אוניברסיטה" בהנדסה </w:t>
      </w:r>
      <w:r w:rsidR="005241F2">
        <w:rPr>
          <w:rFonts w:hint="cs"/>
          <w:rtl/>
        </w:rPr>
        <w:t>חשמל</w:t>
      </w:r>
    </w:p>
    <w:p w14:paraId="52EB026B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14:paraId="1CC8931F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55C0D457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619F03C4" w14:textId="66466A0F" w:rsidR="007A275C" w:rsidRPr="00A23614" w:rsidRDefault="005241F2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 xml:space="preserve">אלעד </w:t>
      </w:r>
      <w:proofErr w:type="spellStart"/>
      <w:r>
        <w:rPr>
          <w:rFonts w:ascii="Lucida Grande" w:hAnsi="Lucida Grande" w:hint="cs"/>
          <w:b/>
          <w:bCs/>
          <w:sz w:val="52"/>
          <w:szCs w:val="52"/>
          <w:rtl/>
        </w:rPr>
        <w:t>ונציאן</w:t>
      </w:r>
      <w:proofErr w:type="spellEnd"/>
    </w:p>
    <w:p w14:paraId="2C60613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87DCA0E" w14:textId="0FC9358C" w:rsidR="007A275C" w:rsidRDefault="007A275C" w:rsidP="005241F2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העבודה נעשתה בבית הספר להנדסה </w:t>
      </w:r>
      <w:r w:rsidR="005241F2">
        <w:rPr>
          <w:rFonts w:hint="cs"/>
          <w:rtl/>
        </w:rPr>
        <w:t>חשמל</w:t>
      </w:r>
    </w:p>
    <w:p w14:paraId="5CBD3D79" w14:textId="2143CD0F" w:rsidR="007A275C" w:rsidRDefault="007A275C" w:rsidP="005241F2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בהנחיית </w:t>
      </w:r>
      <w:r w:rsidR="005241F2">
        <w:rPr>
          <w:rFonts w:hint="cs"/>
          <w:rtl/>
        </w:rPr>
        <w:t>פרופ׳</w:t>
      </w:r>
      <w:r>
        <w:rPr>
          <w:rFonts w:hint="cs"/>
          <w:rtl/>
        </w:rPr>
        <w:t xml:space="preserve"> </w:t>
      </w:r>
      <w:r w:rsidR="005241F2">
        <w:rPr>
          <w:rFonts w:hint="cs"/>
          <w:rtl/>
        </w:rPr>
        <w:t>ג׳ורג׳ וייס</w:t>
      </w:r>
    </w:p>
    <w:p w14:paraId="62EC223F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17EABC2E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341FCC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358AACB1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40FD2B3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E12F30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802DAEB" w14:textId="5ABE8C97" w:rsidR="007A275C" w:rsidRDefault="005241F2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bookmarkStart w:id="3" w:name="OLE_LINK105"/>
      <w:bookmarkStart w:id="4" w:name="OLE_LINK106"/>
      <w:bookmarkEnd w:id="0"/>
      <w:bookmarkEnd w:id="1"/>
      <w:r>
        <w:rPr>
          <w:rFonts w:hint="cs"/>
          <w:rtl/>
        </w:rPr>
        <w:t>תשרי</w:t>
      </w:r>
      <w:r w:rsidR="007A275C">
        <w:rPr>
          <w:rFonts w:hint="cs"/>
          <w:rtl/>
        </w:rPr>
        <w:t xml:space="preserve"> </w:t>
      </w:r>
      <w:bookmarkEnd w:id="3"/>
      <w:bookmarkEnd w:id="4"/>
      <w:r>
        <w:rPr>
          <w:rFonts w:hint="cs"/>
          <w:rtl/>
        </w:rPr>
        <w:t>תשע״ז</w:t>
      </w:r>
      <w:r w:rsidR="007A275C">
        <w:rPr>
          <w:rtl/>
        </w:rPr>
        <w:br w:type="page"/>
      </w:r>
    </w:p>
    <w:p w14:paraId="70952EC1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262F8399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6"/>
          <w:szCs w:val="36"/>
          <w:rtl/>
        </w:rPr>
      </w:pPr>
      <w:r w:rsidRPr="00276848">
        <w:rPr>
          <w:rFonts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07D84433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2"/>
          <w:szCs w:val="32"/>
          <w:rtl/>
        </w:rPr>
      </w:pPr>
      <w:r w:rsidRPr="00276848">
        <w:rPr>
          <w:rFonts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0EBD142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6BBA5F1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67D9CCBD" w14:textId="7336AF7D" w:rsidR="007A275C" w:rsidRPr="007A275C" w:rsidRDefault="00CA79BB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יציבות של גנרטורים סינכרוניי</w:t>
      </w:r>
      <w:r>
        <w:rPr>
          <w:rFonts w:hint="eastAsia"/>
          <w:b/>
          <w:bCs/>
          <w:sz w:val="48"/>
          <w:szCs w:val="48"/>
          <w:rtl/>
        </w:rPr>
        <w:t>ם</w:t>
      </w:r>
      <w:r>
        <w:rPr>
          <w:rFonts w:hint="cs"/>
          <w:b/>
          <w:bCs/>
          <w:sz w:val="48"/>
          <w:szCs w:val="48"/>
          <w:rtl/>
        </w:rPr>
        <w:t xml:space="preserve"> מצומדים</w:t>
      </w:r>
    </w:p>
    <w:p w14:paraId="299065B9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</w:pPr>
    </w:p>
    <w:p w14:paraId="239B35BD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14694AB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664D52E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553191C" w14:textId="7276D2F0" w:rsidR="007A275C" w:rsidRDefault="007A275C" w:rsidP="00CA79BB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חיבור זה הוגש כעבודת מחקר לקראת התואר "מוסמך אוניברסיטה" בהנדסה </w:t>
      </w:r>
      <w:r w:rsidR="00CA79BB">
        <w:rPr>
          <w:rFonts w:hint="cs"/>
          <w:rtl/>
        </w:rPr>
        <w:t>חשמל</w:t>
      </w:r>
    </w:p>
    <w:p w14:paraId="5FF7010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14:paraId="21EED8F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63070FEA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0FA7214" w14:textId="7685DA72" w:rsidR="007A275C" w:rsidRPr="00A23614" w:rsidRDefault="00CA79BB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 xml:space="preserve">אלעד </w:t>
      </w:r>
      <w:proofErr w:type="spellStart"/>
      <w:r>
        <w:rPr>
          <w:rFonts w:ascii="Lucida Grande" w:hAnsi="Lucida Grande" w:hint="cs"/>
          <w:b/>
          <w:bCs/>
          <w:sz w:val="52"/>
          <w:szCs w:val="52"/>
          <w:rtl/>
        </w:rPr>
        <w:t>ונציאן</w:t>
      </w:r>
      <w:proofErr w:type="spellEnd"/>
      <w:r w:rsidR="007A275C">
        <w:rPr>
          <w:rFonts w:ascii="Lucida Grande" w:hAnsi="Lucida Grande" w:hint="cs"/>
          <w:b/>
          <w:bCs/>
          <w:sz w:val="52"/>
          <w:szCs w:val="52"/>
          <w:rtl/>
        </w:rPr>
        <w:t xml:space="preserve"> </w:t>
      </w:r>
    </w:p>
    <w:p w14:paraId="42F73C9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1DC1FB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14BA2F97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45C0617D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068C3A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4E262C2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9783873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41A4DB3" w14:textId="3248266D" w:rsidR="007A275C" w:rsidRDefault="005241F2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תשרי תשע״ז</w:t>
      </w:r>
    </w:p>
    <w:p w14:paraId="00238F2B" w14:textId="77777777" w:rsidR="006D4986" w:rsidRDefault="006D4986"/>
    <w:sectPr w:rsidR="006D4986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275C"/>
    <w:rsid w:val="00084563"/>
    <w:rsid w:val="001800BB"/>
    <w:rsid w:val="00295BF4"/>
    <w:rsid w:val="004B6853"/>
    <w:rsid w:val="005241F2"/>
    <w:rsid w:val="006D4986"/>
    <w:rsid w:val="00750A9B"/>
    <w:rsid w:val="007A275C"/>
    <w:rsid w:val="0081416C"/>
    <w:rsid w:val="00BC045B"/>
    <w:rsid w:val="00CA79BB"/>
    <w:rsid w:val="00DB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9159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185</Words>
  <Characters>1058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ELAD Venezian</cp:lastModifiedBy>
  <cp:revision>5</cp:revision>
  <dcterms:created xsi:type="dcterms:W3CDTF">2012-04-22T15:52:00Z</dcterms:created>
  <dcterms:modified xsi:type="dcterms:W3CDTF">2016-10-30T12:31:00Z</dcterms:modified>
</cp:coreProperties>
</file>