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040" w:after="240"/>
        <w:rPr/>
      </w:pPr>
      <w:r>
        <w:rPr/>
        <w:t>Written Exposure Therapy for Transdiagnostic Anxiety: Treatment Efficacy and Mechanisms of Change</w:t>
      </w:r>
    </w:p>
    <w:p>
      <w:pPr>
        <w:pStyle w:val="Author"/>
        <w:rPr/>
      </w:pPr>
      <w:r>
        <w:rPr/>
        <w:t>Elad Zlotnick</w:t>
      </w:r>
      <w:r>
        <w:rPr>
          <w:vertAlign w:val="superscript"/>
        </w:rPr>
        <w:t>1</w:t>
      </w:r>
      <w:r>
        <w:rPr/>
        <w:t>, Hila Sorka</w:t>
      </w:r>
      <w:r>
        <w:rPr>
          <w:vertAlign w:val="superscript"/>
        </w:rPr>
        <w:t>1</w:t>
      </w:r>
      <w:r>
        <w:rPr/>
        <w:t>, Snir Barzilay</w:t>
      </w:r>
      <w:r>
        <w:rPr>
          <w:vertAlign w:val="superscript"/>
        </w:rPr>
        <w:t>1</w:t>
      </w:r>
      <w:r>
        <w:rPr/>
        <w:t>, &amp; Jonathan D. Huppert</w:t>
      </w:r>
      <w:r>
        <w:rPr>
          <w:vertAlign w:val="superscript"/>
        </w:rPr>
        <w:t>1</w:t>
      </w:r>
    </w:p>
    <w:p>
      <w:pPr>
        <w:pStyle w:val="Author"/>
        <w:rPr/>
      </w:pPr>
      <w:r>
        <w:rPr>
          <w:vertAlign w:val="superscript"/>
        </w:rPr>
        <w:t>1</w:t>
      </w:r>
      <w:r>
        <w:rPr/>
        <w:t xml:space="preserve"> The Hebrew University of Jerusalem</w:t>
      </w:r>
    </w:p>
    <w:p>
      <w:pPr>
        <w:pStyle w:val="TextBody"/>
        <w:rPr/>
      </w:pPr>
      <w:r>
        <w:rPr/>
        <w:t>                                                                                                                                                    </w:t>
      </w:r>
    </w:p>
    <w:p>
      <w:pPr>
        <w:pStyle w:val="TextBody"/>
        <w:rPr/>
      </w:pPr>
      <w:r>
        <w:rPr/>
        <w:t> </w:t>
      </w:r>
    </w:p>
    <w:p>
      <w:pPr>
        <w:pStyle w:val="Authornotetitle"/>
        <w:rPr/>
      </w:pPr>
      <w:r>
        <w:rPr/>
        <w:t>Author note</w:t>
      </w:r>
    </w:p>
    <w:p>
      <w:pPr>
        <w:pStyle w:val="Authornote"/>
        <w:rPr/>
      </w:pPr>
      <w:r>
        <w:rPr/>
        <w:t xml:space="preserve">Correspondence concerning this article should be addressed to Elad Zlotnick, Department of Psychology, The Hebrew University of Jerusalem, Mount Scopus, Jerusalem 91905, Israel. E-mail: </w:t>
      </w:r>
      <w:hyperlink r:id="rId2">
        <w:r>
          <w:rPr>
            <w:rStyle w:val="InternetLink"/>
          </w:rPr>
          <w:t>elad.zlotnick@mail.huji.ac.il</w:t>
        </w:r>
      </w:hyperlink>
    </w:p>
    <w:p>
      <w:pPr>
        <w:pStyle w:val="H1pagebreak"/>
        <w:rPr/>
      </w:pPr>
      <w:r>
        <w:rPr/>
        <w:t>Abstract</w:t>
      </w:r>
    </w:p>
    <w:p>
      <w:pPr>
        <w:pStyle w:val="TextBody"/>
        <w:rPr/>
      </w:pPr>
      <w:r>
        <w:rPr/>
        <w:t>This study investigates mechanisms underlying Transdiagnostic Written Exposure Therapy (WET), a novel, scalable online intervention for pathological anxiety. In a randomized controlled trial with 89 participants, WET produced significant anxiety reduction that continued through two-month follow-up (SMD=0.85). We systematically evaluated multiple potential mechanisms across cognitive, emotional, and behavioral domains. From this broad assessment, two mechanisms emerged as both significantly affected by treatment and correlated with symptom improvement: enhanced distress tolerance (r = -0.35) and decreased anxious responses to core threats (r = 0.39). This suggests exposure therapy operates through dual pathways: improving distress tolerance and reducing anxious responses. Interestingly, a neutral imagery control condition showed immediate but non-sustained anxiety reduction and actually decreased distress tolerance, revealing distinct therapeutic trajectories between neutral imagery-based versus exposure-based interventions. This research advances understanding of mechanisms of exposure while highlighting specific targets for enhancing interventions.</w:t>
      </w:r>
    </w:p>
    <w:p>
      <w:pPr>
        <w:pStyle w:val="TextBody"/>
        <w:rPr/>
      </w:pPr>
      <w:r>
        <w:rPr>
          <w:i/>
          <w:iCs/>
        </w:rPr>
        <w:t>Keywords:</w:t>
      </w:r>
      <w:r>
        <w:rPr/>
        <w:t xml:space="preserve"> Core threats</w:t>
      </w:r>
    </w:p>
    <w:p>
      <w:pPr>
        <w:pStyle w:val="H1pagebreak"/>
        <w:rPr/>
      </w:pPr>
      <w:r>
        <w:rPr/>
        <w:t>Written Exposure Therapy for Transdiagnostic Anxiety: Treatment Efficacy and Mechanisms of Change</w:t>
      </w:r>
    </w:p>
    <w:p>
      <w:pPr>
        <w:pStyle w:val="TextBody"/>
        <w:rPr/>
      </w:pPr>
      <w:r>
        <w:rPr/>
        <w:t>Written interventions have long been part of the psychological toolbox (Ruini &amp; Mortara, 2022), both as an aid and as a standalone technique (Riordan, 1996; Smyth et al., 2008). One such method, expressive writing, is a therapeutic technique in which individuals freely write about emotional or traumatic experiences (Pennebaker, 1997). Evidence indicates that expressive writing has a consistent but limited effect, but can be more effective in focused contexts (e.g., Frattaroli, 2006).</w:t>
      </w:r>
    </w:p>
    <w:p>
      <w:pPr>
        <w:pStyle w:val="TextBody"/>
        <w:rPr/>
      </w:pPr>
      <w:r>
        <w:rPr/>
        <w:t>Written Exposure Therapy (WET) is a structured, brief intervention designed to treat individuals with PTSD through expressive writing. Originally developed as a variation of imaginal exposure, WET was created to offer a streamlined, accessible alternative to more traditional therapies. Studies have shown that WET yields strong effects for PTSD, comparable to established treatments like Cognitive Processing Therapy and Prolonged Exposure (Sloan et al., 2012; Sloan et al., 2023; Sloan &amp; Marx, 2019; Thompson-Hollands et al., 2019). While WET has traditionally been applied specifically to PTSD, recent studies have extended its use to generalized anxiety disorder by focusing on future-oriented feared outcomes (Goldman et al., 2007; Ovanessian et al., 2019) including in an online format (Roch-Gagné &amp; Talbot, 2019), indicating its potential for broader, transdiagnostic applications.</w:t>
      </w:r>
    </w:p>
    <w:p>
      <w:pPr>
        <w:pStyle w:val="TextBody"/>
        <w:rPr/>
      </w:pPr>
      <w:r>
        <w:rPr/>
        <w:t>This paper introduces transdiagnostic WET, a future oriented version of WET tailored for a transdiagnostic population. Since WET integrates elements of both IE and expressive writing, we address the foundations of each approach to fine-tune transdiagnostic WET. Two key insights drive the modifications that have been made: exposure needs to be a) focused and b) immersive.</w:t>
      </w:r>
    </w:p>
    <w:p>
      <w:pPr>
        <w:pStyle w:val="TextBody"/>
        <w:rPr/>
      </w:pPr>
      <w:r>
        <w:rPr/>
        <w:t>Meta-analyses have found that more directive instructions yield better outcomes in expressive writing (Frattaroli, 2006; Reinhold et al., 2018). Indeed, WET for PTSD focuses on the most distressing traumatic event that the client has (Sloan &amp; Marx, 2019). Furthermore, WET has been found to be more effective when focusing on a single fear rather than alternating between different fears, both in GAD and PTSD (Fracalanza et al., 2014; Sloan et al., 2005). In PTSD, WET focuses on the central source of anxiety - the traumatic event. We propose to improve the focus of WET by explicitly focusing on core threats: the ultimate feared consequence of one’s fear or anxiety (Huppert &amp; Zlotnick, 2012; Zlotnick &amp; Huppert, 2025a). Clinicians suggest that focusing on core threats in psychological treatments improves efficacy, enhances generalizability, and reduces relapse (Foa &amp; Kozak, 1986; Gillihan et al., 2012; Murray et al., 2016). We have developed an online questionnaire to reliably identify core threats (Zlotnick &amp; Huppert, 2025b). Thus, to ensure that the intervention is accurately focused, we help participants identify their core threats and then instruct them to focus on these idiosyncratic core threats throughout their writing.</w:t>
      </w:r>
    </w:p>
    <w:p>
      <w:pPr>
        <w:pStyle w:val="TextBody"/>
        <w:rPr/>
      </w:pPr>
      <w:r>
        <w:rPr/>
        <w:t>A second set of accommodations to the WET protocol is to help participants create an immersive script. Building on the work of Lang (1977), emotional processing theory contends that emotional activation is necessary for emotional processing to occur (Foa et al., 2006; Foa &amp; Kozak, 1986). Indeed, IE protocols typically involve conjuring a vivid, detailed image of one’s worst case scenario from a first person perspective (e.g., Abramowitz, 2006; Foa et al., 2012). Furthermore, focusing on the emotional aspects in writing is more beneficial than focusing on cognitive or control conditions (Sloan et al., 2007). Moreover, individuals undergoing WET show signs of physiological distress, supporting the idea that emotional activation is necessary for successful treatment (Wisco et al., 2016). However, the WET protocol for PTSD emphasizes recounting traumatic experiences from a distancing perspective (e.g., “as you look back upon it now”) rather than an immersed perspective (e.g., “as if it were happening right now;” Sloan &amp; Marx, 2019). This approach is based on the idea that a distanced perspective facilitates “working through” difficult life experiences (e.g., Kross &amp; Ayduk, 2017). We argue that this approach is appropriate for PTSD, where a major aspect of the intervention is to reconstruct the traumatic narrative. Indeed, the WET protocol explicitly states this goal: “By repeatedly recounting the event, you will be able to correct for the splintered fashion in which the memory may have been stored” (Sloan &amp; Marx, 2019, p. 53). We contend that in future-oriented WET for a non-traumatized population increased emotional activation is needed. Thus, we direct participants to immerse themselves in the writing by using first person, providing detailed sensory and emotional descriptions, and periodically closing their eyes and calling upon their imaginations.</w:t>
      </w:r>
    </w:p>
    <w:p>
      <w:pPr>
        <w:pStyle w:val="TextBody"/>
        <w:rPr/>
      </w:pPr>
      <w:r>
        <w:rPr/>
        <w:t>The primary goal of this study was to develop and validate the efficacy of transdiagnostic WET. However, greater understanding of the underlying mechanisms may allow more precise interventions (Niv et al., 2021). Thus, we aim to explore several potential mechanisms underlying WET (cf. Rousseau &amp; Belleville, 2018).</w:t>
      </w:r>
    </w:p>
    <w:p>
      <w:pPr>
        <w:pStyle w:val="TextBody"/>
        <w:rPr/>
      </w:pPr>
      <w:r>
        <w:rPr/>
        <w:t>To provide a thorough understanding of how WET operates, we adopted a systematic approach to investigate potential mechanisms. Rather than focusing on a single hypothesized process, we evaluated multiple mechanisms spanning cognitive, emotional, and behavioral domains. By casting a wide net in our investigation, we aimed to identify the pathways through which WET works, thereby advancing theoretical models of exposure therapy while also highlighting targets for enhancing clinical outcomes.</w:t>
      </w:r>
    </w:p>
    <w:p>
      <w:pPr>
        <w:pStyle w:val="TextBody"/>
        <w:rPr/>
      </w:pPr>
      <w:r>
        <w:rPr>
          <w:b/>
          <w:bCs/>
        </w:rPr>
        <w:t>1. Fear reduction:</w:t>
      </w:r>
      <w:r>
        <w:rPr/>
        <w:t xml:space="preserve"> Imaginal exposure may reduce fear through habituation (decreased response to repeated exposure) or extinction (breaking associations between scenarios and aversive responses) (Cooper et al., 2017; Foa &amp; Chambless, 1978). We assessed this by measuring self-reported anxiety in response to imagined scenarios both within and across sessions (Foa &amp; Kozak, 1986; Rupp et al., 2017).</w:t>
      </w:r>
    </w:p>
    <w:p>
      <w:pPr>
        <w:pStyle w:val="TextBody"/>
        <w:rPr/>
      </w:pPr>
      <w:r>
        <w:rPr>
          <w:b/>
          <w:bCs/>
        </w:rPr>
        <w:t>2. Specific reactions to flashforward images:</w:t>
      </w:r>
      <w:r>
        <w:rPr/>
        <w:t xml:space="preserve"> Anxiety-provoking images can trigger specific responses (distress, intrusiveness, avoidance) distinct from general metacognitive beliefs. We measured these specific reactions to assess whether they change independently of broader cognitive patterns.</w:t>
      </w:r>
    </w:p>
    <w:p>
      <w:pPr>
        <w:pStyle w:val="TextBody"/>
        <w:rPr/>
      </w:pPr>
      <w:r>
        <w:rPr>
          <w:b/>
          <w:bCs/>
        </w:rPr>
        <w:t>3. Distress tolerance:</w:t>
      </w:r>
      <w:r>
        <w:rPr/>
        <w:t xml:space="preserve"> The ability to withstand negative emotional states may be more critical to exposure therapy success than fear reduction itself (Craske et al., 2008; Hayes et al., 1999). We predicted that repeated engagement with distressing scenarios would enhance participants’ distress tolerance.</w:t>
      </w:r>
    </w:p>
    <w:p>
      <w:pPr>
        <w:pStyle w:val="TextBody"/>
        <w:rPr/>
      </w:pPr>
      <w:r>
        <w:rPr>
          <w:b/>
          <w:bCs/>
        </w:rPr>
        <w:t>4. Thought fusion:</w:t>
      </w:r>
      <w:r>
        <w:rPr/>
        <w:t xml:space="preserve"> The belief that thoughts directly influence reality is associated with anxiety disorders and OCD (Rassin et al., 1999; Thompson-Hollands et al., 2013). We hypothesized that experiencing negative imagery without consequences would reduce thought fusion, improving outcomes.</w:t>
      </w:r>
    </w:p>
    <w:p>
      <w:pPr>
        <w:pStyle w:val="TextBody"/>
        <w:rPr/>
      </w:pPr>
      <w:r>
        <w:rPr>
          <w:b/>
          <w:bCs/>
        </w:rPr>
        <w:t>5. Negative beliefs about images and memories:</w:t>
      </w:r>
      <w:r>
        <w:rPr/>
        <w:t xml:space="preserve"> Beliefs that engaging with distressing content is dangerous can maintain avoidance patterns. WET may challenge these beliefs by facilitating safe engagement with feared scenarios, promoting cognitive restructuring.</w:t>
      </w:r>
    </w:p>
    <w:p>
      <w:pPr>
        <w:pStyle w:val="TextBody"/>
        <w:rPr/>
      </w:pPr>
      <w:r>
        <w:rPr/>
        <w:t>This study aims to extend WET in three ways: a) applying it to a transdiagnostic population; b) exploring its utility for coping with future threats rather than past events; and c) assessing its effectiveness as a self-administered, online intervention. To date, WET has not been widely tested within this type of sample or setting. We hypothesized that WET will yield greater reductions in anxiety symptoms and improvements in well-being compared to both active control (written distraction imagery) and waitlist control conditions.</w:t>
      </w:r>
    </w:p>
    <w:p>
      <w:pPr>
        <w:pStyle w:val="TextBody"/>
        <w:rPr/>
      </w:pPr>
      <w:r>
        <w:rPr/>
        <w:t>An additional aim is to investigate the mechanisms underlying WET, enhancing our understanding of how it facilitates therapeutic change. More insight into mechanisms could help to fine tune theory, optimize therapeutic processes and improve outcomes (Huppert et al., 2020; Niv et al., 2021). We measured potential mechanisms that might drive WET’s effects, focusing on both threat-specific processes (e.g., fear reduction, reactions to distressing memories) and threat-agnostic processes [e.g., distress tolerance, thought fusion, and negative metacognitions regarding memories or images; Rousseau and Belleville (2018)].</w:t>
      </w:r>
    </w:p>
    <w:p>
      <w:pPr>
        <w:pStyle w:val="TextBody"/>
        <w:rPr/>
      </w:pPr>
      <w:r>
        <w:rPr/>
        <w:t>To explore these processes, we examined whether WET changes these factors and, if so, whether these changes correlate with reductions in anxiety symptoms. We anticipated that changes in mechanisms will align with symptom changes, supporting their role in the intervention’s therapeutic process.</w:t>
      </w:r>
    </w:p>
    <w:p>
      <w:pPr>
        <w:pStyle w:val="Heading1"/>
        <w:rPr/>
      </w:pPr>
      <w:bookmarkStart w:id="0" w:name="transparency-and-openness"/>
      <w:r>
        <w:rPr/>
        <w:t>Transparency and Openness</w:t>
      </w:r>
    </w:p>
    <w:p>
      <w:pPr>
        <w:pStyle w:val="Heading2"/>
        <w:rPr/>
      </w:pPr>
      <w:bookmarkStart w:id="1" w:name="preregistration"/>
      <w:r>
        <w:rPr/>
        <w:t>Preregistration:</w:t>
      </w:r>
    </w:p>
    <w:p>
      <w:pPr>
        <w:pStyle w:val="FirstParagraph"/>
        <w:rPr/>
      </w:pPr>
      <w:r>
        <w:rPr/>
        <w:t xml:space="preserve">This study was preregistered prior to data collection at </w:t>
      </w:r>
      <w:hyperlink r:id="rId3">
        <w:r>
          <w:rPr>
            <w:rStyle w:val="InternetLink"/>
          </w:rPr>
          <w:t>doi.org/10.17605/OSF.IO/2CEHR</w:t>
        </w:r>
      </w:hyperlink>
      <w:r>
        <w:rPr/>
        <w:t>. We deviated from the preregistration by adding a passive control group and a two-month follow-up assessment. These modifications were implemented to strengthen the research design—the waitlist control group provided a baseline comparison for natural recovery, while the extended follow-up allowed us to assess the durability of treatment effects.</w:t>
      </w:r>
      <w:bookmarkEnd w:id="1"/>
    </w:p>
    <w:p>
      <w:pPr>
        <w:pStyle w:val="Heading2"/>
        <w:rPr/>
      </w:pPr>
      <w:bookmarkStart w:id="2" w:name="data-materials-code-and-online-resources"/>
      <w:r>
        <w:rPr/>
        <w:t>Data, materials, code, and online resources:</w:t>
      </w:r>
    </w:p>
    <w:p>
      <w:pPr>
        <w:pStyle w:val="FirstParagraph"/>
        <w:rPr/>
      </w:pPr>
      <w:r>
        <w:rPr/>
        <w:t xml:space="preserve">Data, analysis scripts, and methodological documentation are available at </w:t>
      </w:r>
      <w:hyperlink r:id="rId4">
        <w:r>
          <w:rPr>
            <w:rStyle w:val="InternetLink"/>
          </w:rPr>
          <w:t>https://github.com/eladzlot/transdiagnostic.wet-2025-public</w:t>
        </w:r>
      </w:hyperlink>
      <w:r>
        <w:rPr/>
        <w:t>. Datasets include only quantitative information to protect participant confidentiality.</w:t>
      </w:r>
      <w:bookmarkEnd w:id="2"/>
    </w:p>
    <w:p>
      <w:pPr>
        <w:pStyle w:val="Heading2"/>
        <w:rPr/>
      </w:pPr>
      <w:bookmarkStart w:id="3" w:name="reporting"/>
      <w:r>
        <w:rPr/>
        <w:t>Reporting:</w:t>
      </w:r>
    </w:p>
    <w:p>
      <w:pPr>
        <w:pStyle w:val="FirstParagraph"/>
        <w:rPr/>
      </w:pPr>
      <w:bookmarkStart w:id="4" w:name="reporting"/>
      <w:r>
        <w:rPr/>
        <w:t>We report how we determined our sample size, all data exclusions, all manipulations, and all measures in the study. A power analysis indicated a target of 148 participants, with Bayesian stopping criteria allowing for early termination when ROPE showed no significant difference between conditions during the intervention phase.</w:t>
      </w:r>
      <w:bookmarkEnd w:id="4"/>
    </w:p>
    <w:p>
      <w:pPr>
        <w:pStyle w:val="Heading2"/>
        <w:rPr/>
      </w:pPr>
      <w:bookmarkStart w:id="5" w:name="ethical-approval"/>
      <w:r>
        <w:rPr/>
        <w:t>Ethical approval:</w:t>
      </w:r>
    </w:p>
    <w:p>
      <w:pPr>
        <w:pStyle w:val="FirstParagraph"/>
        <w:rPr/>
      </w:pPr>
      <w:bookmarkStart w:id="6" w:name="transparency-and-openness"/>
      <w:bookmarkStart w:id="7" w:name="ethical-approval"/>
      <w:r>
        <w:rPr/>
        <w:t>This research was approved by the Ethics Committee of The Hebrew University of Jerusalem. All participants provided informed consent.</w:t>
      </w:r>
      <w:bookmarkEnd w:id="6"/>
      <w:bookmarkEnd w:id="7"/>
    </w:p>
    <w:p>
      <w:pPr>
        <w:pStyle w:val="Heading1"/>
        <w:rPr/>
      </w:pPr>
      <w:bookmarkStart w:id="8" w:name="methods"/>
      <w:r>
        <w:rPr/>
        <w:t>Methods</w:t>
      </w:r>
    </w:p>
    <w:p>
      <w:pPr>
        <w:pStyle w:val="FirstParagraph"/>
        <w:rPr/>
      </w:pPr>
      <w:r>
        <w:rPr/>
        <w:t>This study was a randomized controlled trial (RCT) in which participants were randomly assigned to one of two groups: the treatment group (WET) or the control group (Neutral Imagery Writing, NIW). Additionally, data from a waitlist control group was incorporated, collected from a prior study with the same structure and inclusion/exclusion criteria (see Sorka et al., in preparation). This provided both a passive control and an active control for comparison. The study employed a double-blind design to ensure objectivity. Study personnel had no direct interaction with participants, and both experimenters and participants were unaware of group assignments until the one-week follow-up. The primary outcome was defined as the change in OASIS scores, with changes in functioning scores and other proposed mechanisms serving as secondary outcomes. Covariations between changes in OASIS and changes in each potential mechanism were also examined.</w:t>
      </w:r>
    </w:p>
    <w:p>
      <w:pPr>
        <w:pStyle w:val="Heading2"/>
        <w:rPr/>
      </w:pPr>
      <w:bookmarkStart w:id="9" w:name="participants"/>
      <w:r>
        <w:rPr/>
        <w:t>Participants</w:t>
      </w:r>
    </w:p>
    <w:p>
      <w:pPr>
        <w:pStyle w:val="FirstParagraph"/>
        <w:rPr/>
      </w:pPr>
      <w:r>
        <w:rPr/>
        <w:t xml:space="preserve">Participants were recruited through the Prolific platform, compensated at </w:t>
      </w:r>
      <w:r>
        <w:rPr/>
      </w:r>
      <m:oMath xmlns:m="http://schemas.openxmlformats.org/officeDocument/2006/math">
        <m:r>
          <w:rPr>
            <w:rFonts w:ascii="Cambria Math" w:hAnsi="Cambria Math"/>
          </w:rPr>
          <m:t xml:space="preserve">£</m:t>
        </m:r>
        <m:r>
          <w:rPr>
            <w:rFonts w:ascii="Cambria Math" w:hAnsi="Cambria Math"/>
          </w:rPr>
          <m:t xml:space="preserve">9</m:t>
        </m:r>
      </m:oMath>
      <w:r>
        <w:rPr/>
        <w:t>/hour.</w:t>
      </w:r>
    </w:p>
    <w:p>
      <w:pPr>
        <w:pStyle w:val="TextBody"/>
        <w:rPr/>
      </w:pPr>
      <w:r>
        <w:rPr/>
        <w:t>Inclusion criteria included high pathological anxiety (OASIS score &gt; 4) and impaired daily functioning (at least one WSAS item scored above 2 on a 0–8 scale). Exclusion criteria were severe depression (greater than 14 on the PHQ; Kroenke et al., 2009), post-trauma (greater than 6 on the brief PCL-5; Zuromski et al., 2019), or psychotic symptoms (evaluated via items 19 and 20 from the DIAMOND screener; Tolin et al., 2018). Furthermore, participants who had reported head injury or reading and writing difficulties in the Prolific system were excluded. In addition, English as a fluent language was required. Finally, only experienced users on Prolific with an approval rate above 95, and minimum 300 previous submissions were allowed to participate. An ethnically diverse sample was requested from Prolific.</w:t>
      </w:r>
    </w:p>
    <w:p>
      <w:pPr>
        <w:pStyle w:val="TextBody"/>
        <w:rPr/>
      </w:pPr>
      <w:r>
        <w:rPr/>
        <w:t>Power analysis indicated that a sample size of 148 participants would provide 0.8 power. Due to financial constraints, Bayesian stopping criteria allowed for early termination. Recruitment continued until the region of practical equivalence (ROPE) showed no significant difference could be found between WET and NIW conditions.</w:t>
      </w:r>
    </w:p>
    <w:p>
      <w:pPr>
        <w:pStyle w:val="TextBody"/>
        <w:rPr/>
      </w:pPr>
      <w:r>
        <w:rPr/>
        <w:t>Participants were randomly assigned to the treatment and control groups in a 2:1 ratio, using block randomization (</w:t>
      </w:r>
      <w:r>
        <w:rPr/>
      </w:r>
      <m:oMath xmlns:m="http://schemas.openxmlformats.org/officeDocument/2006/math">
        <m:r>
          <w:rPr>
            <w:rFonts w:ascii="Cambria Math" w:hAnsi="Cambria Math"/>
          </w:rPr>
          <m:t xml:space="preserve">O</m:t>
        </m:r>
        <m:r>
          <w:rPr>
            <w:rFonts w:ascii="Cambria Math" w:hAnsi="Cambria Math"/>
          </w:rPr>
          <m:t xml:space="preserve">A</m:t>
        </m:r>
        <m:r>
          <w:rPr>
            <w:rFonts w:ascii="Cambria Math" w:hAnsi="Cambria Math"/>
          </w:rPr>
          <m:t xml:space="preserve">S</m:t>
        </m:r>
        <m:r>
          <w:rPr>
            <w:rFonts w:ascii="Cambria Math" w:hAnsi="Cambria Math"/>
          </w:rPr>
          <m:t xml:space="preserve">I</m:t>
        </m:r>
        <m:r>
          <w:rPr>
            <w:rFonts w:ascii="Cambria Math" w:hAnsi="Cambria Math"/>
          </w:rPr>
          <m:t xml:space="preserve">S</m:t>
        </m:r>
        <m:r>
          <w:rPr>
            <w:rFonts w:ascii="Cambria Math" w:hAnsi="Cambria Math"/>
          </w:rPr>
          <m:t xml:space="preserve">≥</m:t>
        </m:r>
        <m:r>
          <w:rPr>
            <w:rFonts w:ascii="Cambria Math" w:hAnsi="Cambria Math"/>
          </w:rPr>
          <m:t xml:space="preserve">8</m:t>
        </m:r>
      </m:oMath>
      <w:r>
        <w:rPr/>
        <w:t>), aiming to ensure equal distribution of anxiety severity between groups. The randomization process was integrated into the experiment program code.</w:t>
      </w:r>
      <w:bookmarkEnd w:id="9"/>
    </w:p>
    <w:p>
      <w:pPr>
        <w:pStyle w:val="Heading2"/>
        <w:rPr/>
      </w:pPr>
      <w:bookmarkStart w:id="10" w:name="measures"/>
      <w:r>
        <w:rPr/>
        <w:t>Measures</w:t>
      </w:r>
    </w:p>
    <w:p>
      <w:pPr>
        <w:pStyle w:val="FirstParagraph"/>
        <w:rPr/>
      </w:pPr>
      <w:r>
        <w:rPr/>
        <w:t xml:space="preserve">The </w:t>
      </w:r>
      <w:r>
        <w:rPr>
          <w:i/>
          <w:iCs/>
        </w:rPr>
        <w:t>Overall Anxiety Severity and Impairment Scale</w:t>
      </w:r>
      <w:r>
        <w:rPr/>
        <w:t xml:space="preserve"> (OASIS; Norman et al., 2006) assesses the frequency, intensity, and functional impairment of anxiety and fear over the past week. Participants rate their anxiety on a 5-point scale from 0 (little or none) to 4 (extreme or all the time). Higher scores indicate more severe anxiety-related impairment, with a cut-off score of eight recommended for distinguishing anxiety disorders and a change of four points considered clinically significant (Moore et al., 2015). The OASIS has strong psychometric properties, with an omega coefficient of 0.86 across timepoints in our sample, indicating high reliability.</w:t>
      </w:r>
    </w:p>
    <w:p>
      <w:pPr>
        <w:pStyle w:val="TextBody"/>
        <w:rPr/>
      </w:pPr>
      <w:r>
        <w:rPr/>
        <w:t xml:space="preserve">The </w:t>
      </w:r>
      <w:r>
        <w:rPr>
          <w:i/>
          <w:iCs/>
        </w:rPr>
        <w:t>Work and Social Adjustment Scale</w:t>
      </w:r>
      <w:r>
        <w:rPr/>
        <w:t xml:space="preserve"> (WSAS; Mundt et al., 2002) was used to assess functional impairment. The scale consists of five items, each rated on a 9-point Likert scale (0 = no impairment to 8 = severe impairment), evaluating the extent of difficulty in work, home management, social leisure, private leisure, and close relationships. In our sample, the omega coefficient was 0.80, indicating high reliability.</w:t>
      </w:r>
    </w:p>
    <w:p>
      <w:pPr>
        <w:pStyle w:val="TextBody"/>
        <w:rPr/>
      </w:pPr>
      <w:r>
        <w:rPr/>
        <w:t xml:space="preserve">The </w:t>
      </w:r>
      <w:r>
        <w:rPr>
          <w:i/>
          <w:iCs/>
        </w:rPr>
        <w:t>Thought-Action Fusion Scale Revised</w:t>
      </w:r>
      <w:r>
        <w:rPr/>
        <w:t xml:space="preserve"> (TAF-R; Shafran et al., 1996) measured the degree to which individuals equate thoughts with actions. It includes 19 items rated on a 5-point Likert scale (0 = disagree strongly to 4 = agree strongly), with higher scores indicating a stronger tendency toward thought–action fusion. The scale comprises two subscales: </w:t>
      </w:r>
      <w:r>
        <w:rPr>
          <w:b/>
          <w:bCs/>
        </w:rPr>
        <w:t>TAF-Moral</w:t>
      </w:r>
      <w:r>
        <w:rPr/>
        <w:t xml:space="preserve">, which reflects the belief that having unacceptable thoughts is morally equivalent to performing them, and </w:t>
      </w:r>
      <w:r>
        <w:rPr>
          <w:b/>
          <w:bCs/>
        </w:rPr>
        <w:t>TAF-Likelihood</w:t>
      </w:r>
      <w:r>
        <w:rPr/>
        <w:t>, which captures the belief that thinking certain thoughts increases the likelihood of them occurring. We analyzed these subscales separately. In our sample, the omega coefficients for moral and likelihood TAF were 0.94 and 0.97 respectively, indicating excellent reliability.</w:t>
      </w:r>
    </w:p>
    <w:p>
      <w:pPr>
        <w:pStyle w:val="TextBody"/>
        <w:rPr/>
      </w:pPr>
      <w:r>
        <w:rPr/>
        <w:t xml:space="preserve">The </w:t>
      </w:r>
      <w:r>
        <w:rPr>
          <w:i/>
          <w:iCs/>
        </w:rPr>
        <w:t>Brief Core Schema Scale</w:t>
      </w:r>
      <w:r>
        <w:rPr/>
        <w:t xml:space="preserve"> (BCSS; Fowler et al., 2006) was employed to assess cognitive schemas. It consists of 24 items regarding the self or others (e.g., “I am talented”; “I am loved”), divided into two subscales each (e.g., self-positive and self-negative). Each item is rated on a 5-point Likert scale (0 = Don’t Believe it to 4 = Believe it totally). In our sample, the omega coefficients for each scale were at least 0.87, indicating excellent reliability.</w:t>
      </w:r>
    </w:p>
    <w:p>
      <w:pPr>
        <w:pStyle w:val="TextBody"/>
        <w:rPr/>
      </w:pPr>
      <w:r>
        <w:rPr/>
        <w:t xml:space="preserve">The </w:t>
      </w:r>
      <w:r>
        <w:rPr>
          <w:i/>
          <w:iCs/>
        </w:rPr>
        <w:t>Distress Tolerance Scale</w:t>
      </w:r>
      <w:r>
        <w:rPr/>
        <w:t xml:space="preserve"> (DTS; Simons &amp; Gaher, 2005) assessed participants’ ability to tolerate distressing emotions. The DTS consists of 15 items rated on a 5-point Likert scale (1 = strongly agree to 5 = strongly disagree), evaluating various aspects of distress tolerance. Due to a coding mistake, item 6 was missing and item 7 was repeated twice, thus we dropped item 6 completely from all analyses. In our sample, the omega coefficient was 0.93, indicating excellent reliability.</w:t>
      </w:r>
    </w:p>
    <w:p>
      <w:pPr>
        <w:pStyle w:val="TextBody"/>
        <w:rPr/>
      </w:pPr>
      <w:r>
        <w:rPr/>
        <w:t xml:space="preserve">The </w:t>
      </w:r>
      <w:r>
        <w:rPr>
          <w:i/>
          <w:iCs/>
        </w:rPr>
        <w:t>Metacognition Questionnaire-30</w:t>
      </w:r>
      <w:r>
        <w:rPr/>
        <w:t xml:space="preserve"> (MCQ-30; Wells &amp; Cartwright-Hatton, 2004) was employed to evaluate metacognitive beliefs related to anxiety. The MCQ-30 consists of 30 items rated on a Likert scale ranging from 1 (do not agree) to 4 (agree very much). It assesses five factors of metacognition: cognitive confidence, positive beliefs about worry, cognitive self-consciousness, negative beliefs about the uncontrollability of thoughts and danger, and beliefs about the need to control thoughts. In our sample, the omega coefficients were at least 0.89, indicating excellent reliability.</w:t>
      </w:r>
    </w:p>
    <w:p>
      <w:pPr>
        <w:pStyle w:val="TextBody"/>
        <w:rPr/>
      </w:pPr>
      <w:r>
        <w:rPr/>
        <w:t xml:space="preserve">The </w:t>
      </w:r>
      <w:r>
        <w:rPr>
          <w:i/>
          <w:iCs/>
        </w:rPr>
        <w:t>Self-Compassion Scale-Short Form</w:t>
      </w:r>
      <w:r>
        <w:rPr/>
        <w:t xml:space="preserve"> (SCS-SF; Raes et al., 2011) assessed participants’ levels of self-compassion. The SCS-SF consists of 12 items rated on a 5-point Likert scale (1 = almost never to 5 = almost always). Higher scores indicate a greater frequency of self-compassionate thoughts and behaviors. In our sample, the omega coefficient was 0.85, indicating excellent reliability.</w:t>
      </w:r>
    </w:p>
    <w:p>
      <w:pPr>
        <w:pStyle w:val="TextBody"/>
        <w:rPr/>
      </w:pPr>
      <w:r>
        <w:rPr/>
        <w:t xml:space="preserve">The </w:t>
      </w:r>
      <w:r>
        <w:rPr>
          <w:i/>
          <w:iCs/>
        </w:rPr>
        <w:t>Impact of Future Event Scale</w:t>
      </w:r>
      <w:r>
        <w:rPr/>
        <w:t xml:space="preserve"> (IFES; Deeprose et al., 2011) assessed the impact of intrusive prospective, personally-relevant imagery. Participants completed 24 items evaluating intrusive pre-experiencing, avoidance, and hyper-arousal, responding to how frequently each statement was true for them over the past seven days. Responses were given on a 5-point scale (0 = not at all to 4 = frequently). In our sample, the omega coefficient was 0.89, indicating excellent reliability.</w:t>
      </w:r>
    </w:p>
    <w:p>
      <w:pPr>
        <w:pStyle w:val="TextBody"/>
        <w:rPr/>
      </w:pPr>
      <w:r>
        <w:rPr/>
        <w:t xml:space="preserve">The </w:t>
      </w:r>
      <w:r>
        <w:rPr>
          <w:i/>
          <w:iCs/>
        </w:rPr>
        <w:t>Brief State Anxiety Measure</w:t>
      </w:r>
      <w:r>
        <w:rPr/>
        <w:t xml:space="preserve"> (BSAM; Berg et al., 1998) was used to assess participants’ state anxiety in response to their core threat. The BSAM consists of six items (relaxed, steady, strained, comfortable, worried, tense) adapted from the State-Trait Anxiety Inventory. These items are designed to provide a brief and efficient measure of state anxiety. Each item is rated on a 7-point scale (1 = Not at all, 7 = Very much so), with higher scores indicating greater levels of anxiety. In this study, participants were asked to imagine their core threat script for a few moments both before and after each writing session. They then completed the BSAM to report their current anxiety levels. The BSAM demonstrated excellent internal consistency in our sample, as indicated by an omega coefficient of 0.96.</w:t>
      </w:r>
    </w:p>
    <w:p>
      <w:pPr>
        <w:pStyle w:val="TextBody"/>
        <w:rPr/>
      </w:pPr>
      <w:r>
        <w:rPr/>
        <w:t xml:space="preserve">The </w:t>
      </w:r>
      <w:r>
        <w:rPr>
          <w:i/>
          <w:iCs/>
        </w:rPr>
        <w:t>Treatment Credibility Questionnaire</w:t>
      </w:r>
      <w:r>
        <w:rPr/>
        <w:t xml:space="preserve"> (Devilly &amp; Borkovec, 2000) was used to evaluate treatment credibility. Credibility was assessed once, at the middle of Session 1, following the presentation of the overall treatment rationale and before the intervention itself. Patients rated the therapy on a scale from 0 (not at all) to 8 (very), assessing both how they felt about the intervention and how effective they believed it would be. The scale has demonstrated strong internal consistency and test–retest reliability (Devilly &amp; Borkovec, 2000).</w:t>
      </w:r>
      <w:bookmarkEnd w:id="10"/>
    </w:p>
    <w:p>
      <w:pPr>
        <w:pStyle w:val="Heading2"/>
        <w:rPr/>
      </w:pPr>
      <w:bookmarkStart w:id="11" w:name="procedure"/>
      <w:r>
        <w:rPr/>
        <w:t>Procedure</w:t>
      </w:r>
    </w:p>
    <w:p>
      <w:pPr>
        <w:pStyle w:val="FirstParagraph"/>
        <w:rPr/>
      </w:pPr>
      <w:r>
        <w:rPr/>
        <w:t>The study timeline followed a structured sequence: after screening, participants completed four 20-minute writing session spaced approximately two days apart. Followup assessments were conducted at one-week and again at two-month after completion. The waitlist control group completed questionnaires at time points equivalent to the active conditions’ initial session, fourth session, and one-week follow-up.</w:t>
      </w:r>
    </w:p>
    <w:p>
      <w:pPr>
        <w:pStyle w:val="TextBody"/>
        <w:rPr/>
      </w:pPr>
      <w:r>
        <w:rPr/>
        <w:t>Symptoms, measured using the OASIS, were assessed before each writing session, except for the final session, where symptoms were measured after writing. Additionally, symptoms were measured at both follow-up sessions. Functioning, measured using the WSAS, was assessed at pre-intervention, post-intervention, and both follow-ups. Mechanisms were evaluated at pre-intervention (before the first writing session) and post-intervention (after the fourth writing session) to observe the dynamics of change (see Kazdin, 2007). Before the first writing session, participants identified their core threats. They then developed a concise script creating a clear narrative of how these threats were expected to unfold from their proximal threats.</w:t>
      </w:r>
    </w:p>
    <w:p>
      <w:pPr>
        <w:pStyle w:val="TextBody"/>
        <w:rPr/>
      </w:pPr>
      <w:bookmarkStart w:id="12" w:name="procedure"/>
      <w:r>
        <w:rPr/>
        <w:t>Participants were divided into three groups: WET, NIW, and waitlist. The WET group received standard exposure-based psychoeducation, which emphasized how confronting distressing material could reduce emotional impact over time. They were then instructed to expand upon their threat script, focusing on repeated and detailed exposure to distressing content. In contrast, the NIW group received psychoeducation highlighting the value of distraction and mental control in fostering emotional regulation, and then guided to identify and describe a neutral situation emphasizing sensory details without emotional valence. Both groups were instructed to write vividly and in detail, describing their thoughts and emotions during the exercise. The waitlist group, which served as a control, completed the OASIS and WSAS three times at one-week intervals to mirror the timepoints of pre-intervention, post-intervention, and one-week follow-up. Full instructions for both WET and NIW, including psychoeducation materials, are available in the supplementary materials.</w:t>
      </w:r>
      <w:bookmarkEnd w:id="12"/>
    </w:p>
    <w:p>
      <w:pPr>
        <w:pStyle w:val="Heading2"/>
        <w:rPr/>
      </w:pPr>
      <w:bookmarkStart w:id="13" w:name="statistical-analysis"/>
      <w:r>
        <w:rPr/>
        <w:t>Statistical Analysis</w:t>
      </w:r>
    </w:p>
    <w:p>
      <w:pPr>
        <w:pStyle w:val="Heading3"/>
        <w:rPr/>
      </w:pPr>
      <w:bookmarkStart w:id="14" w:name="change-model"/>
      <w:r>
        <w:rPr/>
        <w:t>Change Model.</w:t>
      </w:r>
    </w:p>
    <w:p>
      <w:pPr>
        <w:pStyle w:val="FirstParagraph"/>
        <w:rPr/>
      </w:pPr>
      <w:r>
        <w:rPr/>
        <w:t>In this study, we employ a multilevel ANCOVA design to account for the nested structure of the data, where anxiety responses are measured repeatedly within individuals over time (Bodner &amp; Bliese, 2018; van Breukelen, 2013). The data collected is hierarchical in nature, with multiple measurements nested within each individual. This nested structure can lead to dependencies among observations within the same individual, violating the assumption of independence in traditional ANCOVA. For example, rate of change during the treatment is likely correlated to baseline symptom levels. Multilevel modeling, addresses these dependencies by incorporating random effects to capture the variability within and between individuals. By accounting for both within- and between-subject variability, multilevel modeling reduces bias that could arise from unaccounted dependencies in repeated measures, thus providing more precise estimates of the treatment effects. Furthermore, it becomes possible to investigate individual as well as group level effects (Raudenbush &amp; Bryk, 2002).</w:t>
      </w:r>
    </w:p>
    <w:p>
      <w:pPr>
        <w:pStyle w:val="TextBody"/>
        <w:rPr/>
      </w:pPr>
      <w:r>
        <w:rPr/>
        <w:t xml:space="preserve">To understand change, the estimand is the group level rate of change at each time point. In the first part of the study, efficacy was examined by the </w:t>
      </w:r>
      <w:r>
        <w:rPr>
          <w:i/>
          <w:iCs/>
        </w:rPr>
        <w:t>fixed effects</w:t>
      </w:r>
      <w:r>
        <w:rPr/>
        <w:t xml:space="preserve"> — the average rates of change across individuals. These fixed effects allow us to assess the overall population-level impact of the interventions on anxiety symptoms and mechanisms at different time points.</w:t>
      </w:r>
    </w:p>
    <w:p>
      <w:pPr>
        <w:pStyle w:val="TextBody"/>
        <w:rPr/>
      </w:pPr>
      <w:r>
        <w:rPr/>
        <w:t xml:space="preserve">In the second part of the study, symptom-mechanisms covariation was examined by modeling the </w:t>
      </w:r>
      <w:r>
        <w:rPr>
          <w:i/>
          <w:iCs/>
        </w:rPr>
        <w:t>random effects</w:t>
      </w:r>
      <w:r>
        <w:rPr/>
        <w:t xml:space="preserve"> — the individual deviations from the group-level trends. These random effects allow us to capture individual differences in rates of change and explore how these differences relate to the proposed change-driving mechanisms. By modeling both fixed and random effects, we can explore not only the general efficacy of the intervention but also the individual variability in response to treatment, which may reveal underlying mechanisms.</w:t>
      </w:r>
    </w:p>
    <w:p>
      <w:pPr>
        <w:pStyle w:val="TextBody"/>
        <w:rPr/>
      </w:pPr>
      <w:r>
        <w:rPr/>
        <w:t xml:space="preserve">To account for follow-up measurements at varying time lags (e.g., 1 week, 2 months), we employ a </w:t>
      </w:r>
      <w:r>
        <w:rPr>
          <w:i/>
          <w:iCs/>
        </w:rPr>
        <w:t>piecewise growth model</w:t>
      </w:r>
      <w:r>
        <w:rPr/>
        <w:t>, allowing for separate slopes at different follow-up times (Andersson et al., 2013; Bollen &amp; Curran, 2006). This model enables us to estimate distinct rates of change during different phases of the study. Combined with the measurement model described below, this is in essence a latent change score model (Cáncer et al., 2021; McArdle, 2009).</w:t>
      </w:r>
    </w:p>
    <w:p>
      <w:pPr>
        <w:pStyle w:val="TextBody"/>
        <w:rPr/>
      </w:pPr>
      <w:r>
        <w:rPr/>
        <w:t>The equation for this linear model is as follows:</w:t>
      </w:r>
    </w:p>
    <w:p>
      <w:pPr>
        <w:pStyle w:val="TextBody"/>
        <w:jc w:val="center"/>
        <w:rPr/>
      </w:pPr>
      <w:r>
        <w:rPr/>
      </w:r>
      <m:oMathPara xmlns:m="http://schemas.openxmlformats.org/officeDocument/2006/math">
        <m:oMathParaPr>
          <m:jc m:val="center"/>
        </m:oMathParaPr>
        <m:oMath>
          <m:sSub>
            <m:e>
              <m:r>
                <w:rPr>
                  <w:rFonts w:ascii="Cambria Math" w:hAnsi="Cambria Math"/>
                </w:rPr>
                <m:t xml:space="preserve">θ</m:t>
              </m:r>
            </m:e>
            <m:sub>
              <m:r>
                <w:rPr>
                  <w:rFonts w:ascii="Cambria Math" w:hAnsi="Cambria Math"/>
                </w:rPr>
                <m:t xml:space="preserve">t</m:t>
              </m:r>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e>
          </m:d>
          <m:r>
            <w:rPr>
              <w:rFonts w:ascii="Cambria Math" w:hAnsi="Cambria Math"/>
            </w:rPr>
            <m:t xml:space="preserve">⋅</m:t>
          </m:r>
          <m:sSub>
            <m:e>
              <m:r>
                <w:rPr>
                  <w:rFonts w:ascii="Cambria Math" w:hAnsi="Cambria Math"/>
                </w:rPr>
                <m:t xml:space="preserve">1</m:t>
              </m:r>
            </m:e>
            <m:sub>
              <m:r>
                <w:rPr>
                  <w:rFonts w:ascii="Cambria Math" w:hAnsi="Cambria Math"/>
                </w:rPr>
                <m:t xml:space="preserve">{</m:t>
              </m:r>
              <m:r>
                <w:rPr>
                  <w:rFonts w:ascii="Cambria Math" w:hAnsi="Cambria Math"/>
                </w:rPr>
                <m:t xml:space="preserve">t</m:t>
              </m:r>
              <m:r>
                <w:rPr>
                  <w:rFonts w:ascii="Cambria Math" w:hAnsi="Cambria Math"/>
                </w:rPr>
                <m:t xml:space="preserve">&gt;</m:t>
              </m:r>
              <m:r>
                <w:rPr>
                  <w:rFonts w:ascii="Cambria Math" w:hAnsi="Cambria Math"/>
                </w:rPr>
                <m:t xml:space="preserve">1</m:t>
              </m:r>
              <m:r>
                <w:rPr>
                  <w:rFonts w:ascii="Cambria Math" w:hAnsi="Cambria Math"/>
                </w:rPr>
                <m:t xml:space="preserve">}</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r>
                <w:rPr>
                  <w:rFonts w:ascii="Cambria Math" w:hAnsi="Cambria Math"/>
                </w:rPr>
                <m:t xml:space="preserve">i</m:t>
              </m:r>
            </m:sub>
          </m:sSub>
          <m:r>
            <w:rPr>
              <w:rFonts w:ascii="Cambria Math" w:hAnsi="Cambria Math"/>
            </w:rPr>
            <m:t xml:space="preserve">⋅</m:t>
          </m:r>
          <m:sSub>
            <m:e>
              <m:r>
                <w:rPr>
                  <w:rFonts w:ascii="Cambria Math" w:hAnsi="Cambria Math"/>
                </w:rPr>
                <m:t xml:space="preserve">1</m:t>
              </m:r>
            </m:e>
            <m:sub>
              <m:r>
                <w:rPr>
                  <w:rFonts w:ascii="Cambria Math" w:hAnsi="Cambria Math"/>
                </w:rPr>
                <m:t xml:space="preserve">{</m:t>
              </m:r>
              <m:r>
                <w:rPr>
                  <w:rFonts w:ascii="Cambria Math" w:hAnsi="Cambria Math"/>
                </w:rPr>
                <m:t xml:space="preserve">t</m:t>
              </m:r>
              <m:r>
                <w:rPr>
                  <w:rFonts w:ascii="Cambria Math" w:hAnsi="Cambria Math"/>
                </w:rPr>
                <m:t xml:space="preserve">&gt;</m:t>
              </m:r>
              <m:r>
                <w:rPr>
                  <w:rFonts w:ascii="Cambria Math" w:hAnsi="Cambria Math"/>
                </w:rPr>
                <m:t xml:space="preserve">5</m:t>
              </m:r>
              <m:r>
                <w:rPr>
                  <w:rFonts w:ascii="Cambria Math" w:hAnsi="Cambria Math"/>
                </w:rPr>
                <m:t xml:space="preserve">}</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r>
                <w:rPr>
                  <w:rFonts w:ascii="Cambria Math" w:hAnsi="Cambria Math"/>
                </w:rPr>
                <m:t xml:space="preserve">i</m:t>
              </m:r>
            </m:sub>
          </m:sSub>
          <m:r>
            <w:rPr>
              <w:rFonts w:ascii="Cambria Math" w:hAnsi="Cambria Math"/>
            </w:rPr>
            <m:t xml:space="preserve">⋅</m:t>
          </m:r>
          <m:sSub>
            <m:e>
              <m:r>
                <w:rPr>
                  <w:rFonts w:ascii="Cambria Math" w:hAnsi="Cambria Math"/>
                </w:rPr>
                <m:t xml:space="preserve">1</m:t>
              </m:r>
            </m:e>
            <m: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6</m:t>
              </m:r>
              <m:r>
                <w:rPr>
                  <w:rFonts w:ascii="Cambria Math" w:hAnsi="Cambria Math"/>
                </w:rPr>
                <m:t xml:space="preserve">}</m:t>
              </m:r>
            </m:sub>
          </m:sSub>
        </m:oMath>
      </m:oMathPara>
    </w:p>
    <w:p>
      <w:pPr>
        <w:pStyle w:val="FirstParagraph"/>
        <w:jc w:val="center"/>
        <w:rPr/>
      </w:pPr>
      <w:r>
        <w:rPr/>
      </w:r>
      <m:oMathPara xmlns:m="http://schemas.openxmlformats.org/officeDocument/2006/math">
        <m:oMathParaPr>
          <m:jc m:val="center"/>
        </m:oMathParaPr>
        <m:oMath>
          <m:sSub>
            <m:e>
              <m:r>
                <w:rPr>
                  <w:rFonts w:ascii="Cambria Math" w:hAnsi="Cambria Math"/>
                </w:rPr>
                <m:t xml:space="preserve">β</m:t>
              </m:r>
            </m:e>
            <m:sub>
              <m:r>
                <w:rPr>
                  <w:rFonts w:ascii="Cambria Math" w:hAnsi="Cambria Math"/>
                </w:rPr>
                <m:t xml:space="preserve">j</m:t>
              </m:r>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β</m:t>
                  </m:r>
                </m:e>
              </m:acc>
            </m:e>
            <m:sub>
              <m:r>
                <w:rPr>
                  <w:rFonts w:ascii="Cambria Math" w:hAnsi="Cambria Math"/>
                </w:rPr>
                <m:t xml:space="preserve">j</m:t>
              </m:r>
              <m:r>
                <w:rPr>
                  <w:rFonts w:ascii="Cambria Math" w:hAnsi="Cambria Math"/>
                </w:rPr>
                <m:t xml:space="preserve">,</m:t>
              </m:r>
              <m:r>
                <m:rPr>
                  <m:lit/>
                  <m:nor/>
                </m:rPr>
                <w:rPr>
                  <w:rFonts w:ascii="Cambria Math" w:hAnsi="Cambria Math"/>
                </w:rPr>
                <m:t xml:space="preserve">condition</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j</m:t>
              </m:r>
              <m:r>
                <w:rPr>
                  <w:rFonts w:ascii="Cambria Math" w:hAnsi="Cambria Math"/>
                </w:rPr>
                <m:t xml:space="preserve">i</m:t>
              </m:r>
            </m:sub>
          </m:sSub>
        </m:oMath>
      </m:oMathPara>
    </w:p>
    <w:p>
      <w:pPr>
        <w:pStyle w:val="FirstParagraph"/>
        <w:rPr/>
      </w:pPr>
      <w:r>
        <w:rPr/>
        <w:t>The latent symptom severity (</w:t>
      </w:r>
      <w:r>
        <w:rPr/>
      </w:r>
      <m:oMath xmlns:m="http://schemas.openxmlformats.org/officeDocument/2006/math">
        <m:r>
          <w:rPr>
            <w:rFonts w:ascii="Cambria Math" w:hAnsi="Cambria Math"/>
          </w:rPr>
          <m:t xml:space="preserve">θ</m:t>
        </m:r>
      </m:oMath>
      <w:r>
        <w:rPr/>
        <w:t>) is linearly modeled as a baseline effect (</w:t>
      </w:r>
      <w:r>
        <w:rPr/>
      </w:r>
      <m:oMath xmlns:m="http://schemas.openxmlformats.org/officeDocument/2006/math">
        <m:sSub>
          <m:e>
            <m:r>
              <w:rPr>
                <w:rFonts w:ascii="Cambria Math" w:hAnsi="Cambria Math"/>
              </w:rPr>
              <m:t xml:space="preserve">β</m:t>
            </m:r>
          </m:e>
          <m:sub>
            <m:r>
              <w:rPr>
                <w:rFonts w:ascii="Cambria Math" w:hAnsi="Cambria Math"/>
              </w:rPr>
              <m:t xml:space="preserve">0</m:t>
            </m:r>
            <m:r>
              <w:rPr>
                <w:rFonts w:ascii="Cambria Math" w:hAnsi="Cambria Math"/>
              </w:rPr>
              <m:t xml:space="preserve">i</m:t>
            </m:r>
          </m:sub>
        </m:sSub>
      </m:oMath>
      <w:r>
        <w:rPr/>
        <w:t>) for each individual and the rate of change after the first session and up to the fourth session (</w:t>
      </w:r>
      <w:r>
        <w:rPr/>
      </w:r>
      <m:oMath xmlns:m="http://schemas.openxmlformats.org/officeDocument/2006/math">
        <m:sSub>
          <m:e>
            <m:r>
              <w:rPr>
                <w:rFonts w:ascii="Cambria Math" w:hAnsi="Cambria Math"/>
              </w:rPr>
              <m:t xml:space="preserve">β</m:t>
            </m:r>
          </m:e>
          <m:sub>
            <m:r>
              <w:rPr>
                <w:rFonts w:ascii="Cambria Math" w:hAnsi="Cambria Math"/>
              </w:rPr>
              <m:t xml:space="preserve">1</m:t>
            </m:r>
            <m:r>
              <w:rPr>
                <w:rFonts w:ascii="Cambria Math" w:hAnsi="Cambria Math"/>
              </w:rPr>
              <m:t xml:space="preserve">i</m:t>
            </m:r>
          </m:sub>
        </m:sSub>
      </m:oMath>
      <w:r>
        <w:rPr/>
        <w:t>). Separate terms (</w:t>
      </w:r>
      <w:r>
        <w:rPr/>
      </w:r>
      <m:oMath xmlns:m="http://schemas.openxmlformats.org/officeDocument/2006/math">
        <m:sSub>
          <m:e>
            <m:r>
              <w:rPr>
                <w:rFonts w:ascii="Cambria Math" w:hAnsi="Cambria Math"/>
              </w:rPr>
              <m:t xml:space="preserve">β</m:t>
            </m:r>
          </m:e>
          <m:sub>
            <m:r>
              <w:rPr>
                <w:rFonts w:ascii="Cambria Math" w:hAnsi="Cambria Math"/>
              </w:rPr>
              <m:t xml:space="preserve">2</m:t>
            </m:r>
            <m:r>
              <w:rPr>
                <w:rFonts w:ascii="Cambria Math" w:hAnsi="Cambria Math"/>
              </w:rPr>
              <m:t xml:space="preserve">i</m:t>
            </m:r>
          </m:sub>
        </m:sSub>
      </m:oMath>
      <w:r>
        <w:rPr/>
        <w:t>) and (</w:t>
      </w:r>
      <w:r>
        <w:rPr/>
      </w:r>
      <m:oMath xmlns:m="http://schemas.openxmlformats.org/officeDocument/2006/math">
        <m:sSub>
          <m:e>
            <m:r>
              <w:rPr>
                <w:rFonts w:ascii="Cambria Math" w:hAnsi="Cambria Math"/>
              </w:rPr>
              <m:t xml:space="preserve">β</m:t>
            </m:r>
          </m:e>
          <m:sub>
            <m:r>
              <w:rPr>
                <w:rFonts w:ascii="Cambria Math" w:hAnsi="Cambria Math"/>
              </w:rPr>
              <m:t xml:space="preserve">3</m:t>
            </m:r>
            <m:r>
              <w:rPr>
                <w:rFonts w:ascii="Cambria Math" w:hAnsi="Cambria Math"/>
              </w:rPr>
              <m:t xml:space="preserve">i</m:t>
            </m:r>
          </m:sub>
        </m:sSub>
      </m:oMath>
      <w:r>
        <w:rPr/>
        <w:t>) represent the rate of change at follow-up (1 week, 2 months), allowing for flexible modeling of changes at different time intervals. The individual-specific effects, (</w:t>
      </w:r>
      <w:r>
        <w:rPr/>
      </w:r>
      <m:oMath xmlns:m="http://schemas.openxmlformats.org/officeDocument/2006/math">
        <m:sSub>
          <m:e>
            <m:r>
              <w:rPr>
                <w:rFonts w:ascii="Cambria Math" w:hAnsi="Cambria Math"/>
              </w:rPr>
              <m:t xml:space="preserve">β</m:t>
            </m:r>
          </m:e>
          <m:sub>
            <m:r>
              <w:rPr>
                <w:rFonts w:ascii="Cambria Math" w:hAnsi="Cambria Math"/>
              </w:rPr>
              <m:t xml:space="preserve">j</m:t>
            </m:r>
            <m:r>
              <w:rPr>
                <w:rFonts w:ascii="Cambria Math" w:hAnsi="Cambria Math"/>
              </w:rPr>
              <m:t xml:space="preserve">i</m:t>
            </m:r>
          </m:sub>
        </m:sSub>
      </m:oMath>
      <w:r>
        <w:rPr/>
        <w:t>), are modeled as deviations from the group-level effects,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j</m:t>
            </m:r>
            <m:r>
              <w:rPr>
                <w:rFonts w:ascii="Cambria Math" w:hAnsi="Cambria Math"/>
              </w:rPr>
              <m:t xml:space="preserve">,</m:t>
            </m:r>
            <m:r>
              <m:rPr>
                <m:lit/>
                <m:nor/>
              </m:rPr>
              <w:rPr>
                <w:rFonts w:ascii="Cambria Math" w:hAnsi="Cambria Math"/>
              </w:rPr>
              <m:t xml:space="preserve">condition</m:t>
            </m:r>
          </m:sub>
        </m:sSub>
      </m:oMath>
      <w:r>
        <w:rPr/>
        <w:t>), to capture both individual and group variability.</w:t>
      </w:r>
      <w:bookmarkEnd w:id="14"/>
    </w:p>
    <w:p>
      <w:pPr>
        <w:pStyle w:val="Heading3"/>
        <w:rPr/>
      </w:pPr>
      <w:bookmarkStart w:id="15" w:name="measurement-model"/>
      <w:r>
        <w:rPr/>
        <w:t>Measurement Model.</w:t>
      </w:r>
    </w:p>
    <w:p>
      <w:pPr>
        <w:pStyle w:val="FirstParagraph"/>
        <w:rPr/>
      </w:pPr>
      <w:r>
        <w:rPr/>
        <w:t>Given that anxiety was measured using an ordinal scale, we linked latent symptom severity (</w:t>
      </w:r>
      <w:r>
        <w:rPr/>
      </w:r>
      <m:oMath xmlns:m="http://schemas.openxmlformats.org/officeDocument/2006/math">
        <m:r>
          <w:rPr>
            <w:rFonts w:ascii="Cambria Math" w:hAnsi="Cambria Math"/>
          </w:rPr>
          <m:t xml:space="preserve">θ</m:t>
        </m:r>
      </m:oMath>
      <w:r>
        <w:rPr/>
        <w:t>) to the observed ordinal responses using an ordered logit model with a cumulative link function (McCullagh, 1980). This model assumes that ordinal responses are generated by an underlying continuous latent variable, with thresholds (</w:t>
      </w:r>
      <w:r>
        <w:rPr/>
      </w:r>
      <m:oMath xmlns:m="http://schemas.openxmlformats.org/officeDocument/2006/math">
        <m:r>
          <w:rPr>
            <w:rFonts w:ascii="Cambria Math" w:hAnsi="Cambria Math"/>
          </w:rPr>
          <m:t xml:space="preserve">κ</m:t>
        </m:r>
      </m:oMath>
      <w:r>
        <w:rPr/>
        <w:t>) defining the response categories. The ordered logit function estimates the probability (</w:t>
      </w:r>
      <w:r>
        <w:rPr/>
      </w:r>
      <m:oMath xmlns:m="http://schemas.openxmlformats.org/officeDocument/2006/math">
        <m:r>
          <w:rPr>
            <w:rFonts w:ascii="Cambria Math" w:hAnsi="Cambria Math"/>
          </w:rPr>
          <m:t xml:space="preserve">ϕ</m:t>
        </m:r>
      </m:oMath>
      <w:r>
        <w:rPr/>
        <w:t>) of endorsing each response category based on the latent symptom severity trait (</w:t>
      </w:r>
      <w:r>
        <w:rPr/>
      </w:r>
      <m:oMath xmlns:m="http://schemas.openxmlformats.org/officeDocument/2006/math">
        <m:r>
          <w:rPr>
            <w:rFonts w:ascii="Cambria Math" w:hAnsi="Cambria Math"/>
          </w:rPr>
          <m:t xml:space="preserve">θ</m:t>
        </m:r>
      </m:oMath>
      <w:r>
        <w:rPr/>
        <w:t>).</w:t>
      </w:r>
    </w:p>
    <w:p>
      <w:pPr>
        <w:pStyle w:val="TextBody"/>
        <w:rPr/>
      </w:pPr>
      <w:r>
        <w:rPr/>
        <w:t>To account for measurement error and the multidimensionality of the anxiety construct, we adopted a graded response model (GRM) from the item response theory (IRT) framework (Samejima, 2016). The GRM is well-suited for ordinal data, modeling the probability of endorsing an item category as a function of both item-specific parameters (discrimination: (</w:t>
      </w:r>
      <w:r>
        <w:rPr/>
      </w:r>
      <m:oMath xmlns:m="http://schemas.openxmlformats.org/officeDocument/2006/math">
        <m:r>
          <w:rPr>
            <w:rFonts w:ascii="Cambria Math" w:hAnsi="Cambria Math"/>
          </w:rPr>
          <m:t xml:space="preserve">α</m:t>
        </m:r>
      </m:oMath>
      <w:r>
        <w:rPr/>
        <w:t>), and difficulty: (</w:t>
      </w:r>
      <w:r>
        <w:rPr/>
      </w:r>
      <m:oMath xmlns:m="http://schemas.openxmlformats.org/officeDocument/2006/math">
        <m:r>
          <w:rPr>
            <w:rFonts w:ascii="Cambria Math" w:hAnsi="Cambria Math"/>
          </w:rPr>
          <m:t xml:space="preserve">β</m:t>
        </m:r>
      </m:oMath>
      <w:r>
        <w:rPr/>
        <w:t>) and the individual’s latent trait level (</w:t>
      </w:r>
      <w:r>
        <w:rPr/>
      </w:r>
      <m:oMath xmlns:m="http://schemas.openxmlformats.org/officeDocument/2006/math">
        <m:r>
          <w:rPr>
            <w:rFonts w:ascii="Cambria Math" w:hAnsi="Cambria Math"/>
          </w:rPr>
          <m:t xml:space="preserve">θ</m:t>
        </m:r>
      </m:oMath>
      <w:r>
        <w:rPr/>
        <w:t>).</w:t>
      </w:r>
    </w:p>
    <w:p>
      <w:pPr>
        <w:pStyle w:val="TextBody"/>
        <w:rPr/>
      </w:pPr>
      <w:r>
        <w:rPr/>
        <w:t>The GRM allows us to model the latent symptom severity (</w:t>
      </w:r>
      <w:r>
        <w:rPr/>
      </w:r>
      <m:oMath xmlns:m="http://schemas.openxmlformats.org/officeDocument/2006/math">
        <m:r>
          <w:rPr>
            <w:rFonts w:ascii="Cambria Math" w:hAnsi="Cambria Math"/>
          </w:rPr>
          <m:t xml:space="preserve">θ</m:t>
        </m:r>
      </m:oMath>
      <w:r>
        <w:rPr/>
        <w:t>) for each individual at a specific time point, while accounting for the unique characteristics of each item. The discrimination parameter (</w:t>
      </w:r>
      <w:r>
        <w:rPr/>
      </w:r>
      <m:oMath xmlns:m="http://schemas.openxmlformats.org/officeDocument/2006/math">
        <m:r>
          <w:rPr>
            <w:rFonts w:ascii="Cambria Math" w:hAnsi="Cambria Math"/>
          </w:rPr>
          <m:t xml:space="preserve">α</m:t>
        </m:r>
      </m:oMath>
      <w:r>
        <w:rPr/>
        <w:t>) captures how well each item distinguishes between individuals with different levels of anxiety, while the difficulty parameter (</w:t>
      </w:r>
      <w:r>
        <w:rPr/>
      </w:r>
      <m:oMath xmlns:m="http://schemas.openxmlformats.org/officeDocument/2006/math">
        <m:r>
          <w:rPr>
            <w:rFonts w:ascii="Cambria Math" w:hAnsi="Cambria Math"/>
          </w:rPr>
          <m:t xml:space="preserve">β</m:t>
        </m:r>
      </m:oMath>
      <w:r>
        <w:rPr/>
        <w:t>) reflects the trait level required to endorse higher response categories. This approach helps address known issues with the reliability of change scores (Prieler &amp; Raven, 2008; Rodebaugh et al., 2016).</w:t>
      </w:r>
    </w:p>
    <w:p>
      <w:pPr>
        <w:pStyle w:val="TextBody"/>
        <w:rPr/>
      </w:pPr>
      <w:r>
        <w:rPr/>
        <w:t xml:space="preserve">In this framework, </w:t>
      </w:r>
      <w:r>
        <w:rPr/>
      </w:r>
      <m:oMath xmlns:m="http://schemas.openxmlformats.org/officeDocument/2006/math">
        <m:r>
          <w:rPr>
            <w:rFonts w:ascii="Cambria Math" w:hAnsi="Cambria Math"/>
          </w:rPr>
          <m:t xml:space="preserve">θ</m:t>
        </m:r>
      </m:oMath>
      <w:r>
        <w:rPr/>
        <w:t xml:space="preserve"> is estimated from the multilevel model described earlier, capturing both individual-specific (random) effects and group-level (fixed) effects. The integration of the GRM with the broader multilevel model allows us to model the latent trait accurately, taking into account both item-level variability and individual differences in anxiety over time.</w:t>
      </w:r>
    </w:p>
    <w:p>
      <w:pPr>
        <w:pStyle w:val="TextBody"/>
        <w:rPr/>
      </w:pPr>
      <w:r>
        <w:rPr/>
        <w:t>The equation for the measurement model is as follows:</w:t>
      </w:r>
    </w:p>
    <w:p>
      <w:pPr>
        <w:pStyle w:val="TextBody"/>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i</m:t>
              </m:r>
              <m:r>
                <w:rPr>
                  <w:rFonts w:ascii="Cambria Math" w:hAnsi="Cambria Math"/>
                </w:rPr>
                <m:t xml:space="preserve">t</m:t>
              </m:r>
              <m:r>
                <w:rPr>
                  <w:rFonts w:ascii="Cambria Math" w:hAnsi="Cambria Math"/>
                </w:rPr>
                <m:t xml:space="preserve">q</m:t>
              </m:r>
            </m:sub>
          </m:sSub>
          <m:r>
            <w:rPr>
              <w:rFonts w:ascii="Cambria Math" w:hAnsi="Cambria Math"/>
            </w:rPr>
            <m:t xml:space="preserve">∼</m:t>
          </m:r>
          <m:r>
            <m:rPr>
              <m:lit/>
              <m:nor/>
            </m:rPr>
            <w:rPr>
              <w:rFonts w:ascii="Cambria Math" w:hAnsi="Cambria Math"/>
            </w:rPr>
            <m:t xml:space="preserve">Ordered-logit</m:t>
          </m:r>
          <m:d>
            <m:dPr>
              <m:begChr m:val="("/>
              <m:endChr m:val=")"/>
            </m:dPr>
            <m:e>
              <m:sSub>
                <m:e>
                  <m:r>
                    <w:rPr>
                      <w:rFonts w:ascii="Cambria Math" w:hAnsi="Cambria Math"/>
                    </w:rPr>
                    <m:t xml:space="preserve">ϕ</m:t>
                  </m:r>
                </m:e>
                <m:sub>
                  <m:r>
                    <w:rPr>
                      <w:rFonts w:ascii="Cambria Math" w:hAnsi="Cambria Math"/>
                    </w:rPr>
                    <m:t xml:space="preserve">i</m:t>
                  </m:r>
                  <m:r>
                    <w:rPr>
                      <w:rFonts w:ascii="Cambria Math" w:hAnsi="Cambria Math"/>
                    </w:rPr>
                    <m:t xml:space="preserve">t</m:t>
                  </m:r>
                  <m:r>
                    <w:rPr>
                      <w:rFonts w:ascii="Cambria Math" w:hAnsi="Cambria Math"/>
                    </w:rPr>
                    <m:t xml:space="preserve">q</m:t>
                  </m:r>
                </m:sub>
              </m:sSub>
              <m:r>
                <w:rPr>
                  <w:rFonts w:ascii="Cambria Math" w:hAnsi="Cambria Math"/>
                </w:rPr>
                <m:t xml:space="preserve">,</m:t>
              </m:r>
              <m:r>
                <w:rPr>
                  <w:rFonts w:ascii="Cambria Math" w:hAnsi="Cambria Math"/>
                </w:rPr>
                <m:t xml:space="preserve">κ</m:t>
              </m:r>
            </m:e>
          </m:d>
        </m:oMath>
      </m:oMathPara>
    </w:p>
    <w:p>
      <w:pPr>
        <w:pStyle w:val="FirstParagraph"/>
        <w:jc w:val="center"/>
        <w:rPr/>
      </w:pPr>
      <w:r>
        <w:rPr/>
      </w:r>
      <m:oMathPara xmlns:m="http://schemas.openxmlformats.org/officeDocument/2006/math">
        <m:oMathParaPr>
          <m:jc m:val="center"/>
        </m:oMathParaPr>
        <m:oMath>
          <m:sSub>
            <m:e>
              <m:r>
                <w:rPr>
                  <w:rFonts w:ascii="Cambria Math" w:hAnsi="Cambria Math"/>
                </w:rPr>
                <m:t xml:space="preserve">ϕ</m:t>
              </m:r>
            </m:e>
            <m:sub>
              <m:r>
                <w:rPr>
                  <w:rFonts w:ascii="Cambria Math" w:hAnsi="Cambria Math"/>
                </w:rPr>
                <m:t xml:space="preserve">i</m:t>
              </m:r>
              <m:r>
                <w:rPr>
                  <w:rFonts w:ascii="Cambria Math" w:hAnsi="Cambria Math"/>
                </w:rPr>
                <m:t xml:space="preserve">t</m:t>
              </m:r>
              <m:r>
                <w:rPr>
                  <w:rFonts w:ascii="Cambria Math" w:hAnsi="Cambria Math"/>
                </w:rPr>
                <m:t xml:space="preserve">q</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q</m:t>
              </m:r>
            </m:sub>
          </m:sSub>
          <m:r>
            <w:rPr>
              <w:rFonts w:ascii="Cambria Math" w:hAnsi="Cambria Math"/>
            </w:rPr>
            <m:t xml:space="preserve">⋅</m:t>
          </m:r>
          <m:d>
            <m:dPr>
              <m:begChr m:val="("/>
              <m:endChr m:val=")"/>
            </m:dPr>
            <m:e>
              <m:sSub>
                <m:e>
                  <m:r>
                    <w:rPr>
                      <w:rFonts w:ascii="Cambria Math" w:hAnsi="Cambria Math"/>
                    </w:rPr>
                    <m:t xml:space="preserve">θ</m:t>
                  </m:r>
                </m:e>
                <m:sub>
                  <m:r>
                    <w:rPr>
                      <w:rFonts w:ascii="Cambria Math" w:hAnsi="Cambria Math"/>
                    </w:rPr>
                    <m:t xml:space="preserve">i</m:t>
                  </m:r>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q</m:t>
                  </m:r>
                </m:sub>
              </m:sSub>
            </m:e>
          </m:d>
        </m:oMath>
      </m:oMathPara>
    </w:p>
    <w:p>
      <w:pPr>
        <w:pStyle w:val="FirstParagraph"/>
        <w:rPr/>
      </w:pPr>
      <w:r>
        <w:rPr/>
        <w:t>Here, the likelihood function represents the probability of observing the ordinal response (</w:t>
      </w:r>
      <w:r>
        <w:rPr/>
      </w:r>
      <m:oMath xmlns:m="http://schemas.openxmlformats.org/officeDocument/2006/math">
        <m:r>
          <w:rPr>
            <w:rFonts w:ascii="Cambria Math" w:hAnsi="Cambria Math"/>
          </w:rPr>
          <m:t xml:space="preserve">R</m:t>
        </m:r>
      </m:oMath>
      <w:r>
        <w:rPr/>
        <w:t>), given the latent symptom severity (</w:t>
      </w:r>
      <w:r>
        <w:rPr/>
      </w:r>
      <m:oMath xmlns:m="http://schemas.openxmlformats.org/officeDocument/2006/math">
        <m:r>
          <w:rPr>
            <w:rFonts w:ascii="Cambria Math" w:hAnsi="Cambria Math"/>
          </w:rPr>
          <m:t xml:space="preserve">θ</m:t>
        </m:r>
      </m:oMath>
      <w:r>
        <w:rPr/>
        <w:t>). The IRT model specifies the relationship between the latent trait and the item parameters, providing a comprehensive approach to modeling anxiety across individuals. Detailed specifications for this model and the full code is available in the supplementary materials.</w:t>
      </w:r>
      <w:bookmarkEnd w:id="15"/>
    </w:p>
    <w:p>
      <w:pPr>
        <w:pStyle w:val="Heading3"/>
        <w:rPr/>
      </w:pPr>
      <w:bookmarkStart w:id="16" w:name="mechanisms"/>
      <w:r>
        <w:rPr/>
        <w:t>Mechanisms.</w:t>
      </w:r>
    </w:p>
    <w:p>
      <w:pPr>
        <w:pStyle w:val="FirstParagraph"/>
        <w:rPr/>
      </w:pPr>
      <w:r>
        <w:rPr/>
        <w:t>Our second research question investigates the role of mechanisms in change in pathological anxiety. While establishing causality is notoriously difficult, particularly in psychological research (Eronen, 2020), our goal is to identify correlations that may signal possible causal relationships.</w:t>
      </w:r>
    </w:p>
    <w:p>
      <w:pPr>
        <w:pStyle w:val="TextBody"/>
        <w:rPr/>
      </w:pPr>
      <w:r>
        <w:rPr/>
        <w:t xml:space="preserve">Mechanisms of change in psychotherapy refer to the processes or events through which psychological interventions achieve their effects on symptoms or functioning. Demonstrating that an intervention causes a change, does not explain </w:t>
      </w:r>
      <w:r>
        <w:rPr>
          <w:i/>
          <w:iCs/>
        </w:rPr>
        <w:t>why</w:t>
      </w:r>
      <w:r>
        <w:rPr/>
        <w:t xml:space="preserve"> these changes came about. Establishing that a process is a mechanism requires strong association between the intervention and process, and between the process and the symptoms (Kazdin, 2007). Thus, we first establish which processes are affected by the intervention. Next, we examine the relationship between the process and the outcome.</w:t>
      </w:r>
    </w:p>
    <w:p>
      <w:pPr>
        <w:pStyle w:val="TextBody"/>
        <w:rPr/>
      </w:pPr>
      <w:r>
        <w:rPr/>
        <w:t xml:space="preserve">The question here focuses on the process of change, thus we’re interested in an association between </w:t>
      </w:r>
      <w:r>
        <w:rPr>
          <w:i/>
          <w:iCs/>
        </w:rPr>
        <w:t>changes</w:t>
      </w:r>
      <w:r>
        <w:rPr/>
        <w:t xml:space="preserve"> in processes and symptoms We use multivariate latent curve models to examine the association between symptoms and process as they change through time (Baldwin et al., 2014; Damian, 2010; MacCallum et al., 1997). This approach extends common univariate growth models by allowing the simultaneous examination of multiple outcomes, capturing both the relationships between individual processes and how they evolve over time. Specifically, we model both anxiety (as measured by the OASIS) and the process of interest in parallel, using a single covariance matrix to estimate the random effects for both processes. By incorporating a shared covariance matrix, we capture the correlations between baseline values (intercepts) and changes (slopes) both within and across the two outcomes. This enables us to estimate the correlation between changes controlling for baseline values and accounting for measurement error. Detailed specifications for this model and the full code are available in the supplementary materials.</w:t>
      </w:r>
    </w:p>
    <w:p>
      <w:pPr>
        <w:pStyle w:val="TextBody"/>
        <w:rPr/>
      </w:pPr>
      <w:bookmarkStart w:id="17" w:name="mechanisms"/>
      <w:r>
        <w:rPr/>
        <w:t>Although this analysis does not establish causality, it offers valuable insights into potential intervention targets. For example, identifying processes that strongly correlate with changes in anxiety could inform more focused treatments by highlighting which processes to target for clinical improvement. Further research will need to extend these findings by extending them into full mediation models (Hilley &amp; O’Rourke, 2022).</w:t>
      </w:r>
      <w:bookmarkEnd w:id="17"/>
    </w:p>
    <w:p>
      <w:pPr>
        <w:pStyle w:val="Heading3"/>
        <w:rPr/>
      </w:pPr>
      <w:bookmarkStart w:id="18" w:name="missing-data-and-estimation"/>
      <w:r>
        <w:rPr/>
        <w:t>Missing Data and Estimation.</w:t>
      </w:r>
    </w:p>
    <w:p>
      <w:pPr>
        <w:pStyle w:val="FirstParagraph"/>
        <w:rPr/>
      </w:pPr>
      <w:r>
        <w:rPr/>
        <w:t>All participants who began the intervention were included in the analysis. Missing data were imputed via Bayesian imputation, assuming that missingness may be affected by baseline trait levels and task completion difficulty.</w:t>
      </w:r>
    </w:p>
    <w:p>
      <w:pPr>
        <w:pStyle w:val="TextBody"/>
        <w:rPr/>
      </w:pPr>
      <w:bookmarkStart w:id="19" w:name="methods"/>
      <w:bookmarkStart w:id="20" w:name="statistical-analysis"/>
      <w:bookmarkStart w:id="21" w:name="missing-data-and-estimation"/>
      <w:r>
        <w:rPr/>
        <w:t>We used Bayesian methods to estimate the parameters of the model using Markov Chain Monte Carlo (MCMC) algorithms implemented in Stan (Carpenter et al., 2017), and via the rethinking interface (McElreath, 2020). We specified weakly informative priors for the regression coefficients, the thresholds, and the item parameters. We assessed the convergence and the fit of the model using posterior predictive checks, trace plots, and effective sample sizes. We use a credible interval of 89% (McElreath, 2020).</w:t>
      </w:r>
      <w:bookmarkEnd w:id="19"/>
      <w:bookmarkEnd w:id="20"/>
      <w:bookmarkEnd w:id="21"/>
    </w:p>
    <w:p>
      <w:pPr>
        <w:pStyle w:val="Heading1"/>
        <w:rPr/>
      </w:pPr>
      <w:bookmarkStart w:id="22" w:name="results"/>
      <w:r>
        <w:rPr/>
        <w:t>Results</w:t>
      </w:r>
    </w:p>
    <w:p>
      <w:pPr>
        <w:pStyle w:val="Heading2"/>
        <w:rPr/>
      </w:pPr>
      <w:bookmarkStart w:id="23" w:name="participants-1"/>
      <w:r>
        <w:rPr/>
        <w:t>Participants</w:t>
      </w:r>
    </w:p>
    <w:p>
      <w:pPr>
        <w:pStyle w:val="FirstParagraph"/>
        <w:rPr/>
      </w:pPr>
      <w:r>
        <w:rPr/>
        <w:t xml:space="preserve">Recruitment began August 6, 2023, and ended September 25, 2023, and the final assessment occurred December 2, 2023. Of 375 individuals initially screened, 89 were randomly assigned at a 2:1 ratio to WET (n = 60, 67.4%) or NIW (n = 29, 32.6%) conditions. The age of participants in the NIW group was significantly lower than that of participants in the WET group (Wilcoxon test,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628.00</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.044</m:t>
        </m:r>
      </m:oMath>
      <w:r>
        <w:rPr/>
        <w:t>). Fisher exact test indicated no significant group differences in ethnicity or sex, and Wilcoxon tests showed no significant group differences for pre-treatment symptom measures (</w:t>
      </w:r>
      <w:r>
        <w:rPr/>
      </w:r>
      <m:oMath xmlns:m="http://schemas.openxmlformats.org/officeDocument/2006/math">
        <m:r>
          <w:rPr>
            <w:rFonts w:ascii="Cambria Math" w:hAnsi="Cambria Math"/>
          </w:rPr>
          <m:t xml:space="preserve">p</m:t>
        </m:r>
        <m:r>
          <w:rPr>
            <w:rFonts w:ascii="Cambria Math" w:hAnsi="Cambria Math"/>
          </w:rPr>
          <m:t xml:space="preserve">s</m:t>
        </m:r>
        <m:r>
          <w:rPr>
            <w:rFonts w:ascii="Cambria Math" w:hAnsi="Cambria Math"/>
          </w:rPr>
          <m:t xml:space="preserve">&gt;</m:t>
        </m:r>
      </m:oMath>
      <w:r>
        <w:rPr/>
        <w:t xml:space="preserve"> 0.36).</w:t>
      </w:r>
    </w:p>
    <w:p>
      <w:pPr>
        <w:pStyle w:val="TextBody"/>
        <w:rPr/>
      </w:pPr>
      <w:r>
        <w:rPr/>
        <w:t>Given the similarity in post-treatment outcomes between the treatment and control groups, we incorporated additional data (n = 73) from a waitlist control group as an idiographic benchmarking group. This data was collected in a similar study conducted between February 1 and February 24, 2023 (Sorka et al., in preparation). This was done in order to make sure that the changes found during the interventions were not due to chance. These participants were randomly assigned to a waitlist control group for a study that focused on mechanisms of imagery rescripting. Given the identical inclusion/exclusion criteria and the minor time gap between data collection periods, we expect no systematic differences between the groups. The CONSORT flowchart (see Figure 1) provides a detailed overview of the recruitment, randomization, and follow-up processes across the two active groups. Comprehensive demographic information is provided in Table 1.</w:t>
      </w:r>
    </w:p>
    <w:p>
      <w:pPr>
        <w:pStyle w:val="CaptionedFigure"/>
        <w:rPr/>
      </w:pPr>
      <w:r>
        <w:rPr/>
        <w:drawing>
          <wp:inline distT="0" distB="0" distL="0" distR="0">
            <wp:extent cx="5504815" cy="5504815"/>
            <wp:effectExtent l="0" t="0" r="0" b="0"/>
            <wp:docPr id="1" name="Picture" descr="Figure 1: A CONSORT flowchart providing a detailed overview of the recruitment, randomization, and follow-up processes across the two activ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A CONSORT flowchart providing a detailed overview of the recruitment, randomization, and follow-up processes across the two active groups."/>
                    <pic:cNvPicPr>
                      <a:picLocks noChangeAspect="1" noChangeArrowheads="1"/>
                    </pic:cNvPicPr>
                  </pic:nvPicPr>
                  <pic:blipFill>
                    <a:blip r:embed="rId5"/>
                    <a:stretch>
                      <a:fillRect/>
                    </a:stretch>
                  </pic:blipFill>
                  <pic:spPr bwMode="auto">
                    <a:xfrm>
                      <a:off x="0" y="0"/>
                      <a:ext cx="5504815" cy="5504815"/>
                    </a:xfrm>
                    <a:prstGeom prst="rect">
                      <a:avLst/>
                    </a:prstGeom>
                  </pic:spPr>
                </pic:pic>
              </a:graphicData>
            </a:graphic>
          </wp:inline>
        </w:drawing>
      </w:r>
    </w:p>
    <w:p>
      <w:pPr>
        <w:pStyle w:val="ImageCaption"/>
        <w:rPr/>
      </w:pPr>
      <w:bookmarkStart w:id="24" w:name="fig%3Aconsort"/>
      <w:bookmarkEnd w:id="24"/>
      <w:r>
        <w:rPr/>
        <w:t>Figure 1: A CONSORT flowchart providing a detailed overview of the recruitment, randomization, and follow-up processes across the two active groups.</w:t>
      </w:r>
    </w:p>
    <w:p>
      <w:pPr>
        <w:pStyle w:val="TextBody"/>
        <w:rPr/>
      </w:pPr>
      <w:r>
        <w:rPr/>
        <w:t xml:space="preserve">The large majority of participants (n = 73, 82.0%) completed all assessments. Study completion rates did not differ between treatment (81.7%) and control (82.8%); Fisher’s exact test, </w:t>
      </w:r>
      <w:r>
        <w:rPr/>
      </w:r>
      <m:oMath xmlns:m="http://schemas.openxmlformats.org/officeDocument/2006/math">
        <m:r>
          <w:rPr>
            <w:rFonts w:ascii="Cambria Math" w:hAnsi="Cambria Math"/>
          </w:rPr>
          <m:t xml:space="preserve">p</m:t>
        </m:r>
      </m:oMath>
      <w:r>
        <w:rPr/>
        <w:t xml:space="preserve"> &gt; .999. Female participants had a significantly lower attrition rate (11.5%) compared to males (32.1%); Fisher’s exact test, </w:t>
      </w:r>
      <w:r>
        <w:rPr/>
      </w:r>
      <m:oMath xmlns:m="http://schemas.openxmlformats.org/officeDocument/2006/math">
        <m:r>
          <w:rPr>
            <w:rFonts w:ascii="Cambria Math" w:hAnsi="Cambria Math"/>
          </w:rPr>
          <m:t xml:space="preserve">p</m:t>
        </m:r>
      </m:oMath>
      <w:r>
        <w:rPr/>
        <w:t xml:space="preserve"> = 0.034. Fisher’s exact and Wilcoxon tests revealed no significant differences between study completers and non-completers in terms of age, ethnicity, or symptom measures (</w:t>
      </w:r>
      <w:r>
        <w:rPr/>
      </w:r>
      <m:oMath xmlns:m="http://schemas.openxmlformats.org/officeDocument/2006/math">
        <m:r>
          <w:rPr>
            <w:rFonts w:ascii="Cambria Math" w:hAnsi="Cambria Math"/>
          </w:rPr>
          <m:t xml:space="preserve">p</m:t>
        </m:r>
        <m:r>
          <w:rPr>
            <w:rFonts w:ascii="Cambria Math" w:hAnsi="Cambria Math"/>
          </w:rPr>
          <m:t xml:space="preserve">s</m:t>
        </m:r>
        <m:r>
          <w:rPr>
            <w:rFonts w:ascii="Cambria Math" w:hAnsi="Cambria Math"/>
          </w:rPr>
          <m:t xml:space="preserve">&gt;</m:t>
        </m:r>
        <m:r>
          <w:rPr>
            <w:rFonts w:ascii="Cambria Math" w:hAnsi="Cambria Math"/>
          </w:rPr>
          <m:t xml:space="preserve">0.24</m:t>
        </m:r>
      </m:oMath>
      <w:r>
        <w:rPr/>
        <w:t>).</w:t>
      </w:r>
    </w:p>
    <w:p>
      <w:pPr>
        <w:pStyle w:val="TableCaption"/>
        <w:rPr/>
      </w:pPr>
      <w:bookmarkStart w:id="25" w:name="tab%3Ademographics"/>
      <w:bookmarkEnd w:id="25"/>
      <w:r>
        <w:rPr/>
        <w:t xml:space="preserve">Table </w:t>
      </w:r>
      <w:r>
        <w:rPr/>
        <w:t>1</w:t>
      </w:r>
      <w:r>
        <w:rPr/>
        <w:br/>
      </w:r>
      <w:r>
        <w:rPr>
          <w:i/>
          <w:iCs/>
        </w:rPr>
        <w:t xml:space="preserve"> Pre-treatment and Demographic Characteristics of Sample.</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584"/>
        <w:gridCol w:w="1584"/>
        <w:gridCol w:w="1584"/>
        <w:gridCol w:w="1584"/>
        <w:gridCol w:w="1584"/>
      </w:tblGrid>
      <w:tr>
        <w:trPr>
          <w:tblHeader w:val="true"/>
        </w:trPr>
        <w:tc>
          <w:tcPr>
            <w:tcW w:w="1584"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Characteristics</w:t>
            </w:r>
          </w:p>
        </w:tc>
        <w:tc>
          <w:tcPr>
            <w:tcW w:w="1584"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NIW</w:t>
            </w:r>
          </w:p>
        </w:tc>
        <w:tc>
          <w:tcPr>
            <w:tcW w:w="1584"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WET</w:t>
            </w:r>
          </w:p>
        </w:tc>
        <w:tc>
          <w:tcPr>
            <w:tcW w:w="1584"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Waitlist</w:t>
            </w:r>
          </w:p>
        </w:tc>
        <w:tc>
          <w:tcPr>
            <w:tcW w:w="1584"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Total</w:t>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N</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29</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60</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73</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162</w:t>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Age M (SD)</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36 (11.9)</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42.6 (15.3)</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42.6 (13)</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41.4 (13.8)</w:t>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Gender Female</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22 (75.9%)</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39 (65%)</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48 (65.8%)</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109 (67.3%)</w:t>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Gender Male</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7 (24.1%)</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21 (35%)</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25 (34.2%)</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53 (32.7%)</w:t>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Ethnicity</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Asian</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3 (10.3%)</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7 (11.7%)</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3 (4.1%)</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13 (8%)</w:t>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Black</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 (13.8%)</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 (3.3%)</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 (1.4%)</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7 (4.3%)</w:t>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White</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22 (75.9%)</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51 (85%)</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69 (94.5%)</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142 (87.7%)</w:t>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Country</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Australia</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 (6.9%)</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 (1.2%)</w:t>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Canada</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 (6.9%)</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 (1.2%)</w:t>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South Africa</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 (13.8%)</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 (1.4%)</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5 (3.1%)</w:t>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United Kingdom</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20 (69%)</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59 (98.3%)</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65 (89%)</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144 (88.9%)</w:t>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United States</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 (3.4%)</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6 (8.2%)</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7 (4.3%)</w:t>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Ireland</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 (1.7%)</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 (1.4%)</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 (1.2%)</w:t>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Employment</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Full-Time</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17 (58.6%)</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19 (31.7%)</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41 (56.2%)</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77 (47.5%)</w:t>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Part-Time</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5 (17.2%)</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17 (28.3%)</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11 (15.1%)</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33 (20.4%)</w:t>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Job Seeking</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 (3.4%)</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 (6.7%)</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3 (4.1%)</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8 (4.9%)</w:t>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Not in Workforce</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 (13.8%)</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12 (20%)</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12 (16.4%)</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28 (17.3%)</w:t>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No Data</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 (6.9%)</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8 (13.3%)</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6 (8.2%)</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16 (9.9%)</w:t>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Pretreatment measures</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r>
      <w:tr>
        <w:trPr/>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OASIS M (SD)</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8.3 (3)</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7.6 (2.7)</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7.8 (2.8)</w:t>
            </w:r>
          </w:p>
        </w:tc>
        <w:tc>
          <w:tcPr>
            <w:tcW w:w="1584"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7.8 (2.8)</w:t>
            </w:r>
          </w:p>
        </w:tc>
      </w:tr>
      <w:tr>
        <w:trPr/>
        <w:tc>
          <w:tcPr>
            <w:tcW w:w="1584"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WSAS M (SD)</w:t>
            </w:r>
          </w:p>
        </w:tc>
        <w:tc>
          <w:tcPr>
            <w:tcW w:w="1584"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15.3 (6.8)</w:t>
            </w:r>
          </w:p>
        </w:tc>
        <w:tc>
          <w:tcPr>
            <w:tcW w:w="1584"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12.5 (6.4)</w:t>
            </w:r>
          </w:p>
        </w:tc>
        <w:tc>
          <w:tcPr>
            <w:tcW w:w="1584"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12.5 (6.4)</w:t>
            </w:r>
          </w:p>
        </w:tc>
        <w:tc>
          <w:tcPr>
            <w:tcW w:w="1584"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13 (6.5)</w:t>
            </w:r>
          </w:p>
        </w:tc>
      </w:tr>
    </w:tbl>
    <w:p>
      <w:pPr>
        <w:pStyle w:val="Tablenote"/>
        <w:rPr/>
      </w:pPr>
      <w:r>
        <w:rPr>
          <w:i/>
          <w:iCs/>
        </w:rPr>
        <w:t>Note.</w:t>
      </w:r>
      <w:r>
        <w:rPr/>
        <w:t xml:space="preserve"> Data presented as number (%) of patients unless otherwise indicated.</w:t>
      </w:r>
    </w:p>
    <w:p>
      <w:pPr>
        <w:pStyle w:val="TextBody"/>
        <w:rPr/>
      </w:pPr>
      <w:bookmarkStart w:id="26" w:name="participants-1"/>
      <w:r>
        <w:rPr/>
        <w:t> </w:t>
      </w:r>
      <w:bookmarkEnd w:id="26"/>
    </w:p>
    <w:p>
      <w:pPr>
        <w:pStyle w:val="Heading2"/>
        <w:rPr/>
      </w:pPr>
      <w:bookmarkStart w:id="27" w:name="intervention-quality"/>
      <w:r>
        <w:rPr/>
        <w:t>Intervention Quality</w:t>
      </w:r>
    </w:p>
    <w:p>
      <w:pPr>
        <w:pStyle w:val="FirstParagraph"/>
        <w:rPr/>
      </w:pPr>
      <w:r>
        <w:rPr/>
        <w:t>Both WET and NIW were rated highly on the Devilly Credibility Scale, indicating strong credibility in both interventions. On the cognitive subscale, WET scored 20.0 (6.5), while NIW scored 20.5 (7.1). Similarly, on the feeling subscale, WET scored 8.7 (3.8) and NIW scored 9.4 (4.1). These results suggest that participants found both interventions to be highly credible in terms of both their perceived logic and their intuitive appeal. In their open feedback after the study, participants generally found the writing task acceptable, though some in the WET condition reported it as difficult, while some in the NIW condition described it as progressively boring.</w:t>
      </w:r>
    </w:p>
    <w:p>
      <w:pPr>
        <w:pStyle w:val="TextBody"/>
        <w:rPr/>
      </w:pPr>
      <w:r>
        <w:rPr/>
        <w:t>Participants in the WET condition successfully created powerful exposure scripts that addressed their core threats. For instance, an excerpt from the script of a socially anxious individual reads:</w:t>
      </w:r>
    </w:p>
    <w:p>
      <w:pPr>
        <w:pStyle w:val="BlockText"/>
        <w:rPr/>
      </w:pPr>
      <w:r>
        <w:rPr/>
        <w:t>What am I doing here? I am a nobody. I know nothing. I feel almost sick now with nerves and dread. What if I just left now? Would anyone even notice? But it’s too late…</w:t>
        <w:br/>
        <w:t>I am to speak first, so I can’t even steal other people’s ideas…</w:t>
        <w:br/>
        <w:t>[They’re thinking] Who is this idiot? I stumble on and on. I want to stop and for it all to be over, but I can’t. It just goes on forever. It is like dying in slow motion.</w:t>
      </w:r>
    </w:p>
    <w:p>
      <w:pPr>
        <w:pStyle w:val="FirstParagraph"/>
        <w:rPr/>
      </w:pPr>
      <w:r>
        <w:rPr/>
        <w:t>Adherence in the NIW condition was less confined, with some participants writing scripts that focused on positive outcomes rather than neutral events. For example, one participant wrote:</w:t>
      </w:r>
    </w:p>
    <w:p>
      <w:pPr>
        <w:pStyle w:val="BlockText"/>
        <w:rPr/>
      </w:pPr>
      <w:r>
        <w:rPr/>
        <w:t>I feel enthusiastic about starting my day on a positive and productive day. Today instead of going through my phone for an hour on social media, I start with making my bed and cleaning my room. … I start applying for opportunities that align with my qualifications and a bit of me is worried but still hopeful that I get recognized and recruited.</w:t>
      </w:r>
    </w:p>
    <w:p>
      <w:pPr>
        <w:pStyle w:val="FirstParagraph"/>
        <w:rPr/>
      </w:pPr>
      <w:bookmarkStart w:id="28" w:name="intervention-quality"/>
      <w:r>
        <w:rPr/>
        <w:t>This type of writing is similar to what is done in imagery rehearsal (cf. Krakow &amp; Zadra, 2006).</w:t>
      </w:r>
      <w:bookmarkEnd w:id="28"/>
    </w:p>
    <w:p>
      <w:pPr>
        <w:pStyle w:val="Heading2"/>
        <w:rPr/>
      </w:pPr>
      <w:bookmarkStart w:id="29" w:name="symptom-measures"/>
      <w:r>
        <w:rPr/>
        <w:t>Symptom Measures</w:t>
      </w:r>
    </w:p>
    <w:p>
      <w:pPr>
        <w:pStyle w:val="FirstParagraph"/>
        <w:rPr/>
      </w:pPr>
      <w:r>
        <w:rPr/>
        <w:t>We fit a Bayesian latent growth curve model to assess the efficacy of the interventions (see Figure 2 for a visualization of the model’s estimated trajectories). We calculated the standardized mean change (SMC) for each group using the pre-treatment standard deviation as the denominator (Becker, 1988). This standardization allows comparisons across measures, with higher effect size values indicating better outcomes. Additionally, we report the probability of direction, which quantifies the certainty that the outcome is greater than 0. The probability of direction, marked in this paper as P(&gt;0), ranges from 0 to 1, where values close to 0 indicate high certainty of a negative effect (symptom deterioration), and values close to 1 indicate high certainty of a positive effect (symptom improvement See Makowski et al., 2019).</w:t>
      </w:r>
    </w:p>
    <w:p>
      <w:pPr>
        <w:pStyle w:val="CaptionedFigure"/>
        <w:rPr/>
      </w:pPr>
      <w:r>
        <w:rPr/>
        <w:drawing>
          <wp:inline distT="0" distB="0" distL="0" distR="0">
            <wp:extent cx="4587240" cy="3669665"/>
            <wp:effectExtent l="0" t="0" r="0" b="0"/>
            <wp:docPr id="2" name="Image2" descr="Figure 2: Estimated treatment trajectories for each intervention based on the latent growth model. Values are adjusted for gender. WET = Written Exposure Therapy; NIW = Neutral Imagery Writing. The time intervals between pre-treatment and post-treatment, and between post-treatment and followup 1 (FU1), were approximately one week. The interval between FU1 and followup 2 (FU2) was approximately two months, which is indicated by the dashed regression line. The shaded gray area represents the 89% credible interval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Figure 2: Estimated treatment trajectories for each intervention based on the latent growth model. Values are adjusted for gender. WET = Written Exposure Therapy; NIW = Neutral Imagery Writing. The time intervals between pre-treatment and post-treatment, and between post-treatment and followup 1 (FU1), were approximately one week. The interval between FU1 and followup 2 (FU2) was approximately two months, which is indicated by the dashed regression line. The shaded gray area represents the 89% credible interval (CI)."/>
                    <pic:cNvPicPr>
                      <a:picLocks noChangeAspect="1" noChangeArrowheads="1"/>
                    </pic:cNvPicPr>
                  </pic:nvPicPr>
                  <pic:blipFill>
                    <a:blip r:embed="rId6"/>
                    <a:stretch>
                      <a:fillRect/>
                    </a:stretch>
                  </pic:blipFill>
                  <pic:spPr bwMode="auto">
                    <a:xfrm>
                      <a:off x="0" y="0"/>
                      <a:ext cx="4587240" cy="3669665"/>
                    </a:xfrm>
                    <a:prstGeom prst="rect">
                      <a:avLst/>
                    </a:prstGeom>
                  </pic:spPr>
                </pic:pic>
              </a:graphicData>
            </a:graphic>
          </wp:inline>
        </w:drawing>
      </w:r>
    </w:p>
    <w:p>
      <w:pPr>
        <w:pStyle w:val="ImageCaption"/>
        <w:rPr/>
      </w:pPr>
      <w:bookmarkStart w:id="30" w:name="fig%3Agrowth"/>
      <w:bookmarkEnd w:id="30"/>
      <w:r>
        <w:rPr/>
        <w:t>Figure 2: Estimated treatment trajectories for each intervention based on the latent growth model. Values are adjusted for gender. WET = Written Exposure Therapy; NIW = Neutral Imagery Writing. The time intervals between pre-treatment and post-treatment, and between post-treatment and followup 1 (FU1), were approximately one week. The interval between FU1 and followup 2 (FU2) was approximately two months, which is indicated by the dashed regression line. The shaded gray area represents the 89% credible interval (CI).</w:t>
      </w:r>
    </w:p>
    <w:p>
      <w:pPr>
        <w:pStyle w:val="TextBody"/>
        <w:rPr/>
      </w:pPr>
      <w:r>
        <w:rPr/>
        <w:t>Clinical anxiety, as measured by the OASIS, significantly improved across all three interventions at the one-week follow-up. The estimated raw score improvements were M = 2.73, 89% CI [2.14, 3.35], P(&gt;0) = 100% for the WET group, M = 2.59, 89% CI [1.74, 3.41], P(&gt;0) = 100% for the NIW group, and M = 0.86, 89% CI [0.23, 1.45], P(&gt;0) = 98% for the Waitlist group.</w:t>
      </w:r>
    </w:p>
    <w:p>
      <w:pPr>
        <w:pStyle w:val="TextBody"/>
        <w:rPr/>
      </w:pPr>
      <w:r>
        <w:rPr/>
        <w:t>Participants in the WET group showed significant improvements during the treatment period compared to the Waitlist group (</w:t>
      </w:r>
      <w:r>
        <w:rPr>
          <w:i/>
          <w:iCs/>
        </w:rPr>
        <w:t>d</w:t>
      </w:r>
      <w:r>
        <w:rPr/>
        <w:t xml:space="preserve"> = 0.35, 89% CI [0.09, 0.62], P(&gt;0) = 99%). These gains continued at a similar rate at the one-week follow-up, again compared to the Waitlist group (</w:t>
      </w:r>
      <w:r>
        <w:rPr>
          <w:i/>
          <w:iCs/>
        </w:rPr>
        <w:t>d</w:t>
      </w:r>
      <w:r>
        <w:rPr/>
        <w:t xml:space="preserve"> = 0.34, 89% CI [0.13, 0.56], P(&gt;0) = 99%). At the two-month follow-up, the gains in WET were estimated to continue at a slower rate compared to the previous gains observed in the WET group (</w:t>
      </w:r>
      <w:r>
        <w:rPr>
          <w:i/>
          <w:iCs/>
        </w:rPr>
        <w:t>d</w:t>
      </w:r>
      <w:r>
        <w:rPr/>
        <w:t xml:space="preserve"> = 0.16, 89% CI [-0.23, 0.57], P(&gt;0) = 74%). Notably, this rate of change was estimated in relation to the projected Waitlist trajectory, as no Waitlist data was collected at this time point. The improvement trajectory appeared linear, with consistent gains observed throughout the intervention and continuing during both follow-ups. Total improvement when compared to the projected Waitlist trend was </w:t>
      </w:r>
      <w:r>
        <w:rPr>
          <w:i/>
          <w:iCs/>
        </w:rPr>
        <w:t>d</w:t>
      </w:r>
      <w:r>
        <w:rPr/>
        <w:t xml:space="preserve"> = 0.85, 89% CI [0.37, 1.37], P(&gt;0) = 100%.</w:t>
      </w:r>
    </w:p>
    <w:p>
      <w:pPr>
        <w:pStyle w:val="TextBody"/>
        <w:rPr/>
      </w:pPr>
      <w:r>
        <w:rPr/>
        <w:t>Participants in the NIW group also demonstrated significant improvements during the treatment period compared to the Waitlist group (</w:t>
      </w:r>
      <w:r>
        <w:rPr>
          <w:i/>
          <w:iCs/>
        </w:rPr>
        <w:t>d</w:t>
      </w:r>
      <w:r>
        <w:rPr/>
        <w:t xml:space="preserve"> = 0.47, 89% CI [0.18, 0.76], P(&gt;0) = 100%). These improvements were sustained at the one-week follow-up, again in comparison to the Waitlist group (</w:t>
      </w:r>
      <w:r>
        <w:rPr>
          <w:i/>
          <w:iCs/>
        </w:rPr>
        <w:t>d</w:t>
      </w:r>
      <w:r>
        <w:rPr/>
        <w:t xml:space="preserve"> = 0.09, 89% CI [-0.14, 0.33], P(&gt;0) = 73%). At the two-month follow-up, the gains were maintained relative to the projected Waitlist trajectory, as no Waitlist data was collected at this time point (</w:t>
      </w:r>
      <w:r>
        <w:rPr>
          <w:i/>
          <w:iCs/>
        </w:rPr>
        <w:t>d</w:t>
      </w:r>
      <w:r>
        <w:rPr/>
        <w:t xml:space="preserve"> = -0.03, 89% CI [-0.44, 0.38], P(&gt;0) = 43%). Participants in the NIW group showed considerable overall improvement (</w:t>
      </w:r>
      <w:r>
        <w:rPr>
          <w:i/>
          <w:iCs/>
        </w:rPr>
        <w:t>d</w:t>
      </w:r>
      <w:r>
        <w:rPr/>
        <w:t xml:space="preserve"> = 0.52, 89% CI [-0.02, 1.08], P(&gt;0) = 94%). From pre-treatment to the two-month follow-up, WET demonstrated a slightly greater cumulative advantage over NIW (</w:t>
      </w:r>
      <w:r>
        <w:rPr>
          <w:i/>
          <w:iCs/>
        </w:rPr>
        <w:t>d</w:t>
      </w:r>
      <w:r>
        <w:rPr/>
        <w:t xml:space="preserve"> = 0.33, 89% CI [-0.05, 0.72], P(&gt;0) = 91%). While participants in the NIW group showed considerable overall improvement (</w:t>
      </w:r>
      <w:r>
        <w:rPr>
          <w:i/>
          <w:iCs/>
        </w:rPr>
        <w:t>d</w:t>
      </w:r>
      <w:r>
        <w:rPr/>
        <w:t xml:space="preserve"> = 0.52, 89% CI [-0.02, 1.08], P(&gt;0) = 94%), the L-shaped trajectory suggests that most of the gains occurred during the treatment phase and then stabilized. Contrary to our hypothesis, the NIW group had a slight advantage over WET during the treatment phase (</w:t>
      </w:r>
      <w:r>
        <w:rPr>
          <w:i/>
          <w:iCs/>
        </w:rPr>
        <w:t>d</w:t>
      </w:r>
      <w:r>
        <w:rPr/>
        <w:t xml:space="preserve"> = -0.11, 89% CI [-0.41, 0.18], P(&gt;0) = 27%). However, WET outperformed NIW at both the one-week follow-up (</w:t>
      </w:r>
      <w:r>
        <w:rPr>
          <w:i/>
          <w:iCs/>
        </w:rPr>
        <w:t>d</w:t>
      </w:r>
      <w:r>
        <w:rPr/>
        <w:t xml:space="preserve"> = 0.25, 89% CI [0.03, 0.47], P(&gt;0) = 96%) and the two-month follow-up (</w:t>
      </w:r>
      <w:r>
        <w:rPr>
          <w:i/>
          <w:iCs/>
        </w:rPr>
        <w:t>d</w:t>
      </w:r>
      <w:r>
        <w:rPr/>
        <w:t xml:space="preserve"> = 0.20, 89% CI [-0.09, 0.49], P(&gt;0) = 86%).</w:t>
      </w:r>
    </w:p>
    <w:p>
      <w:pPr>
        <w:pStyle w:val="TextBody"/>
        <w:rPr/>
      </w:pPr>
      <w:r>
        <w:rPr/>
        <w:t>These findings suggest that both WET and NIW interventions effectively reduce trait anxiety compared to the Waitlist control. However, while NIW showed slightly greater gains during the treatment phase, WET exhibited stronger and more sustained improvements post-treatment. This pattern highlights the potential of WET for achieving longer-term symptom reduction.</w:t>
      </w:r>
    </w:p>
    <w:p>
      <w:pPr>
        <w:pStyle w:val="TextBody"/>
        <w:rPr/>
      </w:pPr>
      <w:r>
        <w:rPr/>
        <w:t>Functional impairment, assessed using the WSAS, showed significant improvement across all three interventions. At one-week follow-up, the estimated improvement in WSAS scores was M = 3.39, 89% CI [2.20, 4.60], P(&gt;0) = 100% for WET, M = 3.53, 89% CI [1.59, 5.36], P(&gt;0) = 100% for NIW, and M = 1.56, 89% CI [0.39, 2.72], P(&gt;0) = 98% for the waiting list. Both WET (</w:t>
      </w:r>
      <w:r>
        <w:rPr>
          <w:i/>
          <w:iCs/>
        </w:rPr>
        <w:t>d</w:t>
      </w:r>
      <w:r>
        <w:rPr/>
        <w:t xml:space="preserve"> = 0.29, 89% CI [0.03, 0.56], P(&gt;0) = 96%) and NIW (</w:t>
      </w:r>
      <w:r>
        <w:rPr>
          <w:i/>
          <w:iCs/>
        </w:rPr>
        <w:t>d</w:t>
      </w:r>
      <w:r>
        <w:rPr/>
        <w:t xml:space="preserve"> = 0.27, 89% CI [-0.06, 0.59], P(&gt;0) = 91%) resulted in greater improvements in functional impairment compared to the waiting list at the one week followup. However, no significant differences were observed between them (</w:t>
      </w:r>
      <w:r>
        <w:rPr>
          <w:i/>
          <w:iCs/>
        </w:rPr>
        <w:t>d</w:t>
      </w:r>
      <w:r>
        <w:rPr/>
        <w:t xml:space="preserve"> = 0.02, 89% CI [-0.31, 0.35], P(&gt;0) = 54%). These outcomes were kept at the 2 month followup.</w:t>
      </w:r>
      <w:bookmarkEnd w:id="29"/>
    </w:p>
    <w:p>
      <w:pPr>
        <w:pStyle w:val="Heading2"/>
        <w:rPr/>
      </w:pPr>
      <w:bookmarkStart w:id="31" w:name="treatment-processes"/>
      <w:r>
        <w:rPr/>
        <w:t>Treatment Processes</w:t>
      </w:r>
    </w:p>
    <w:p>
      <w:pPr>
        <w:pStyle w:val="FirstParagraph"/>
        <w:rPr/>
      </w:pPr>
      <w:r>
        <w:rPr/>
        <w:t>We now shift our focus to understanding the processes underlying change in WET. Our second, exploratory hypothesis proposed that the identified mechanisms of change would improve during therapy. Detailed results for WET are presented in Table 2. Below the table, we highlight the significant findings in WET, alongside the corresponding effects observed in the NIW group. Difference between the groups is reported in all places where they are significant. This comparison aims to identify differential effects while maintaining a primary focus on WET, which is the central topic of this paper. Full results for NIW are available in the supplementary materials.</w:t>
      </w:r>
    </w:p>
    <w:p>
      <w:pPr>
        <w:pStyle w:val="TableCaption"/>
        <w:rPr/>
      </w:pPr>
      <w:r>
        <w:rPr/>
        <w:t>(#tab:processes_tab) Process</w:t>
        <w:br/>
      </w:r>
      <w:r>
        <w:rPr>
          <w:i/>
          <w:iCs/>
        </w:rPr>
        <w:t>estimates for each of the proposed mechanisms in WET.</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320"/>
        <w:gridCol w:w="1319"/>
        <w:gridCol w:w="1321"/>
        <w:gridCol w:w="1320"/>
        <w:gridCol w:w="1319"/>
        <w:gridCol w:w="1320"/>
      </w:tblGrid>
      <w:tr>
        <w:trPr>
          <w:tblHeader w:val="true"/>
        </w:trPr>
        <w:tc>
          <w:tcPr>
            <w:tcW w:w="1320"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Measure</w:t>
            </w:r>
          </w:p>
        </w:tc>
        <w:tc>
          <w:tcPr>
            <w:tcW w:w="1319"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Pre</w:t>
            </w:r>
          </w:p>
        </w:tc>
        <w:tc>
          <w:tcPr>
            <w:tcW w:w="1321"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Post</w:t>
            </w:r>
          </w:p>
        </w:tc>
        <w:tc>
          <w:tcPr>
            <w:tcW w:w="1320"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m:oMathPara xmlns:m="http://schemas.openxmlformats.org/officeDocument/2006/math">
              <m:oMathParaPr>
                <m:jc m:val="left"/>
              </m:oMathParaPr>
              <m:oMath>
                <m:r>
                  <w:rPr>
                    <w:rFonts w:ascii="Cambria Math" w:hAnsi="Cambria Math"/>
                  </w:rPr>
                  <m:t xml:space="preserve">d</m:t>
                </m:r>
              </m:oMath>
            </m:oMathPara>
          </w:p>
        </w:tc>
        <w:tc>
          <w:tcPr>
            <w:tcW w:w="1319"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89% CI</w:t>
            </w:r>
          </w:p>
        </w:tc>
        <w:tc>
          <w:tcPr>
            <w:tcW w:w="1320"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P(&gt;0)</w:t>
            </w:r>
          </w:p>
        </w:tc>
      </w:tr>
      <w:tr>
        <w:trPr/>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DTS †</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24.43</w:t>
            </w:r>
          </w:p>
        </w:tc>
        <w:tc>
          <w:tcPr>
            <w:tcW w:w="132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27.71</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-0.29</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[-0.51,-0.07]</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0.02*</w:t>
            </w:r>
          </w:p>
        </w:tc>
      </w:tr>
      <w:tr>
        <w:trPr/>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SCS †</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20.45</w:t>
            </w:r>
          </w:p>
        </w:tc>
        <w:tc>
          <w:tcPr>
            <w:tcW w:w="132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20.43</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0.00</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[-0.13,0.14]</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0.51</w:t>
            </w:r>
          </w:p>
        </w:tc>
      </w:tr>
      <w:tr>
        <w:trPr/>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IFES</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29.99</w:t>
            </w:r>
          </w:p>
        </w:tc>
        <w:tc>
          <w:tcPr>
            <w:tcW w:w="132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25.96</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0.31</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[0.13,0.49]</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1.00*</w:t>
            </w:r>
          </w:p>
        </w:tc>
      </w:tr>
      <w:tr>
        <w:trPr/>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TAF</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32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r>
      <w:tr>
        <w:trPr/>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Morality</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15.07</w:t>
            </w:r>
          </w:p>
        </w:tc>
        <w:tc>
          <w:tcPr>
            <w:tcW w:w="132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15.05</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0.00</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[-0.20,0.21]</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0.52</w:t>
            </w:r>
          </w:p>
        </w:tc>
      </w:tr>
      <w:tr>
        <w:trPr/>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Likelihood</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3.79</w:t>
            </w:r>
          </w:p>
        </w:tc>
        <w:tc>
          <w:tcPr>
            <w:tcW w:w="132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2.81</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0.14</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[-0.03,0.31]</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0.90</w:t>
            </w:r>
          </w:p>
        </w:tc>
      </w:tr>
      <w:tr>
        <w:trPr/>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BCSS</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32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r>
      <w:tr>
        <w:trPr/>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Self negative</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4.25</w:t>
            </w:r>
          </w:p>
        </w:tc>
        <w:tc>
          <w:tcPr>
            <w:tcW w:w="132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3.80</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0.11</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[-0.05,0.26]</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0.86</w:t>
            </w:r>
          </w:p>
        </w:tc>
      </w:tr>
      <w:tr>
        <w:trPr/>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Other negative</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6.10</w:t>
            </w:r>
          </w:p>
        </w:tc>
        <w:tc>
          <w:tcPr>
            <w:tcW w:w="132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6.12</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-0.01</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[-0.21,0.19]</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0.48</w:t>
            </w:r>
          </w:p>
        </w:tc>
      </w:tr>
      <w:tr>
        <w:trPr/>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Self positive</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11.13</w:t>
            </w:r>
          </w:p>
        </w:tc>
        <w:tc>
          <w:tcPr>
            <w:tcW w:w="132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12.39</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-0.23</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[-0.37,-0.09]</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0.01*</w:t>
            </w:r>
          </w:p>
        </w:tc>
      </w:tr>
      <w:tr>
        <w:trPr/>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Other positive</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13.07</w:t>
            </w:r>
          </w:p>
        </w:tc>
        <w:tc>
          <w:tcPr>
            <w:tcW w:w="132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13.40</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-0.08</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[-0.24,0.09]</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0.22</w:t>
            </w:r>
          </w:p>
        </w:tc>
      </w:tr>
      <w:tr>
        <w:trPr/>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MCQ</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32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r>
      <w:tr>
        <w:trPr/>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(Lack of) Cognitive Confidence</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3.43</w:t>
            </w:r>
          </w:p>
        </w:tc>
        <w:tc>
          <w:tcPr>
            <w:tcW w:w="132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2.21</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0.29</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[0.12,0.47]</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0.99*</w:t>
            </w:r>
          </w:p>
        </w:tc>
      </w:tr>
      <w:tr>
        <w:trPr/>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Positive Beliefs about Worry</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4.10</w:t>
            </w:r>
          </w:p>
        </w:tc>
        <w:tc>
          <w:tcPr>
            <w:tcW w:w="132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4.09</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0.00</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[-0.18,0.19]</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0.50</w:t>
            </w:r>
          </w:p>
        </w:tc>
      </w:tr>
      <w:tr>
        <w:trPr/>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Cognitive Self-Consciousness</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8.67</w:t>
            </w:r>
          </w:p>
        </w:tc>
        <w:tc>
          <w:tcPr>
            <w:tcW w:w="132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8.55</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0.03</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[-0.13,0.19]</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0.62</w:t>
            </w:r>
          </w:p>
        </w:tc>
      </w:tr>
      <w:tr>
        <w:trPr/>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Uncontrollability and Danger</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6.62</w:t>
            </w:r>
          </w:p>
        </w:tc>
        <w:tc>
          <w:tcPr>
            <w:tcW w:w="132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5.71</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0.21</w:t>
            </w:r>
          </w:p>
        </w:tc>
        <w:tc>
          <w:tcPr>
            <w:tcW w:w="1319"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[0.08,0.35]</w:t>
            </w:r>
          </w:p>
        </w:tc>
        <w:tc>
          <w:tcPr>
            <w:tcW w:w="132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1.00*</w:t>
            </w:r>
          </w:p>
        </w:tc>
      </w:tr>
      <w:tr>
        <w:trPr/>
        <w:tc>
          <w:tcPr>
            <w:tcW w:w="1320"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   </w:t>
            </w:r>
            <w:r>
              <w:rPr>
                <w:rFonts w:eastAsia="Cambria" w:cs=""/>
                <w:kern w:val="0"/>
                <w:sz w:val="24"/>
                <w:szCs w:val="24"/>
                <w:lang w:val="en-US" w:eastAsia="en-US" w:bidi="ar-SA"/>
              </w:rPr>
              <w:t>Need to Control Thoughts</w:t>
            </w:r>
          </w:p>
        </w:tc>
        <w:tc>
          <w:tcPr>
            <w:tcW w:w="1319"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4.58</w:t>
            </w:r>
          </w:p>
        </w:tc>
        <w:tc>
          <w:tcPr>
            <w:tcW w:w="1321"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4.29</w:t>
            </w:r>
          </w:p>
        </w:tc>
        <w:tc>
          <w:tcPr>
            <w:tcW w:w="1320"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0.09</w:t>
            </w:r>
          </w:p>
        </w:tc>
        <w:tc>
          <w:tcPr>
            <w:tcW w:w="1319"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[-0.08,0.26]</w:t>
            </w:r>
          </w:p>
        </w:tc>
        <w:tc>
          <w:tcPr>
            <w:tcW w:w="1320"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0.79</w:t>
            </w:r>
          </w:p>
        </w:tc>
      </w:tr>
    </w:tbl>
    <w:p>
      <w:pPr>
        <w:pStyle w:val="Tablenote"/>
        <w:rPr/>
      </w:pPr>
      <w:r>
        <w:rPr>
          <w:i/>
          <w:iCs/>
        </w:rPr>
        <w:t>Note.</w:t>
      </w:r>
      <w:r>
        <w:rPr/>
        <w:t xml:space="preserve"> † Indicates a measure of strength or positive attributes and negative change should be interpreted as improvement</w:t>
      </w:r>
    </w:p>
    <w:p>
      <w:pPr>
        <w:pStyle w:val="TextBody"/>
        <w:rPr/>
      </w:pPr>
      <w:r>
        <w:rPr/>
        <w:t> </w:t>
      </w:r>
    </w:p>
    <w:p>
      <w:pPr>
        <w:pStyle w:val="TextBody"/>
        <w:rPr/>
      </w:pPr>
      <w:r>
        <w:rPr/>
        <w:t>Distress tolerance (DTS) improved significantly in the WET group (</w:t>
      </w:r>
      <w:r>
        <w:rPr>
          <w:i/>
          <w:iCs/>
        </w:rPr>
        <w:t>d</w:t>
      </w:r>
      <w:r>
        <w:rPr/>
        <w:t xml:space="preserve"> = 0.29, 89% CI [0.07, 0.51], P(&gt;0) = 98%), while it somewhat deteriorated in the NIW group (</w:t>
      </w:r>
      <w:r>
        <w:rPr>
          <w:i/>
          <w:iCs/>
        </w:rPr>
        <w:t>d</w:t>
      </w:r>
      <w:r>
        <w:rPr/>
        <w:t xml:space="preserve"> = -0.17, 89% CI [-0.41, 0.08], P(&gt;0) = 14%). The difference between the groups was statistically significant (</w:t>
      </w:r>
      <w:r>
        <w:rPr>
          <w:i/>
          <w:iCs/>
        </w:rPr>
        <w:t>d</w:t>
      </w:r>
      <w:r>
        <w:rPr/>
        <w:t xml:space="preserve"> = 0.46, 89% CI [0.14, 0.75], P(&gt;0) = 99%), aligning with our expectations. WET likely encouraged participants to tolerate distress through structured exposure, whereas NIW may have reinforced avoidance behaviors.</w:t>
      </w:r>
    </w:p>
    <w:p>
      <w:pPr>
        <w:pStyle w:val="TextBody"/>
        <w:rPr/>
      </w:pPr>
      <w:r>
        <w:rPr/>
        <w:t>Positive self-schemas, as measured by the BCSS, increased significantly in WET (</w:t>
      </w:r>
      <w:r>
        <w:rPr>
          <w:i/>
          <w:iCs/>
        </w:rPr>
        <w:t>d</w:t>
      </w:r>
      <w:r>
        <w:rPr/>
        <w:t xml:space="preserve"> = 0.23, 89% CI [0.09, 0.37], P(&gt;0) = 99%), suggesting that the intervention fostered more adaptive self-beliefs. In contrast, no significant change was found in the NIW group (</w:t>
      </w:r>
      <w:r>
        <w:rPr>
          <w:i/>
          <w:iCs/>
        </w:rPr>
        <w:t>d</w:t>
      </w:r>
      <w:r>
        <w:rPr/>
        <w:t xml:space="preserve"> = 0.11, 89% CI [-0.08, 0.30], P(&gt;0) = 84%).</w:t>
      </w:r>
    </w:p>
    <w:p>
      <w:pPr>
        <w:pStyle w:val="TextBody"/>
        <w:rPr/>
      </w:pPr>
      <w:r>
        <w:rPr/>
        <w:t>Perceived impact of future events (IFES) decreased significantly in the WET group (</w:t>
      </w:r>
      <w:r>
        <w:rPr>
          <w:i/>
          <w:iCs/>
        </w:rPr>
        <w:t>d</w:t>
      </w:r>
      <w:r>
        <w:rPr/>
        <w:t xml:space="preserve"> = 0.31, 89% CI [0.13, 0.49], P(&gt;0) = 100%). No significant change was observed in the NIW group (</w:t>
      </w:r>
      <w:r>
        <w:rPr>
          <w:i/>
          <w:iCs/>
        </w:rPr>
        <w:t>d</w:t>
      </w:r>
      <w:r>
        <w:rPr/>
        <w:t xml:space="preserve"> = 0.05, 89% CI [-0.14, 0.25], P(&gt;0) = 67%).</w:t>
      </w:r>
    </w:p>
    <w:p>
      <w:pPr>
        <w:pStyle w:val="TextBody"/>
        <w:rPr/>
      </w:pPr>
      <w:r>
        <w:rPr/>
        <w:t>For metacognitions measured by the MCQ, both (lack of) cognitive confidence (</w:t>
      </w:r>
      <w:r>
        <w:rPr>
          <w:i/>
          <w:iCs/>
        </w:rPr>
        <w:t>d</w:t>
      </w:r>
      <w:r>
        <w:rPr/>
        <w:t xml:space="preserve"> = 0.29, 89% CI [0.12, 0.47], P(&gt;0) = 99%) and negative beliefs about uncontrollability and danger (</w:t>
      </w:r>
      <w:r>
        <w:rPr>
          <w:i/>
          <w:iCs/>
        </w:rPr>
        <w:t>d</w:t>
      </w:r>
      <w:r>
        <w:rPr/>
        <w:t xml:space="preserve"> = 0.21, 89% CI [0.08, 0.35], P(&gt;0) = 100%) increased significantly in WET. However, no significant changes were found in the NIW group for either (lack of) cognitive confidence (</w:t>
      </w:r>
      <w:r>
        <w:rPr>
          <w:i/>
          <w:iCs/>
        </w:rPr>
        <w:t>d</w:t>
      </w:r>
      <w:r>
        <w:rPr/>
        <w:t xml:space="preserve"> = -0.08, 89% CI [-0.34, 0.16], P(&gt;0) = 30%) or negative beliefs about uncontrollability and danger (</w:t>
      </w:r>
      <w:r>
        <w:rPr>
          <w:i/>
          <w:iCs/>
        </w:rPr>
        <w:t>d</w:t>
      </w:r>
      <w:r>
        <w:rPr/>
        <w:t xml:space="preserve"> = 0.07, 89% CI [-0.08, 0.22], P(&gt;0) = 77%).</w:t>
      </w:r>
    </w:p>
    <w:p>
      <w:pPr>
        <w:pStyle w:val="TextBody"/>
        <w:rPr/>
      </w:pPr>
      <w:bookmarkStart w:id="32" w:name="treatment-processes"/>
      <w:r>
        <w:rPr/>
        <w:t>These findings suggest several potential mechanisms of change for WET, which we investigate in the upcoming section. The other mechanisms did not improve and thus will not be analyzed.</w:t>
      </w:r>
      <w:bookmarkEnd w:id="32"/>
    </w:p>
    <w:p>
      <w:pPr>
        <w:pStyle w:val="Heading2"/>
        <w:rPr/>
      </w:pPr>
      <w:bookmarkStart w:id="33" w:name="mechanisms-of-change"/>
      <w:r>
        <w:rPr/>
        <w:t>Mechanisms of Change</w:t>
      </w:r>
    </w:p>
    <w:p>
      <w:pPr>
        <w:pStyle w:val="FirstParagraph"/>
        <w:rPr/>
      </w:pPr>
      <w:r>
        <w:rPr/>
        <w:t>We examined each process affected by WET to assess whether changes in these processes corresponded with symptom change. Detailed results, including specific changes in processes and symptom levels, can be found in Table 3.</w:t>
      </w:r>
    </w:p>
    <w:p>
      <w:pPr>
        <w:pStyle w:val="TextBody"/>
        <w:rPr/>
      </w:pPr>
      <w:r>
        <w:rPr/>
        <w:t xml:space="preserve">The only process found both to respond to WET and to change alongside symptoms was distress tolerance (DTS). The correlation between changes in DTS and symptoms during treatment was </w:t>
      </w:r>
      <w:r>
        <w:rPr>
          <w:i/>
          <w:iCs/>
        </w:rPr>
        <w:t>r</w:t>
      </w:r>
      <w:r>
        <w:rPr/>
        <w:t xml:space="preserve"> = -0.35, 89% CI [-0.61, -0.06], P(&gt;0) = 3%. Given that NIW actively </w:t>
      </w:r>
      <w:r>
        <w:rPr>
          <w:i/>
          <w:iCs/>
        </w:rPr>
        <w:t>decreased</w:t>
      </w:r>
      <w:r>
        <w:rPr/>
        <w:t xml:space="preserve"> distress tolerance, we investigated the effect of change in distress tolerance on change in symptoms within NIW as well. We found that in contrast with WET, in NIW an increase in distress tolerance was actually correlated with an increase in symptoms </w:t>
      </w:r>
      <w:r>
        <w:rPr>
          <w:i/>
          <w:iCs/>
        </w:rPr>
        <w:t>r</w:t>
      </w:r>
      <w:r>
        <w:rPr/>
        <w:t xml:space="preserve"> = 0.29, 89% CI [-0.03, 0.59], P(&gt;0) = 93%. This suggests a differential process where in WET distress tolerance decreases anxiety whereas in NIW anxiety is decreased via distraction and avoiding stress.</w:t>
      </w:r>
    </w:p>
    <w:p>
      <w:pPr>
        <w:pStyle w:val="TextBody"/>
        <w:rPr/>
      </w:pPr>
      <w:r>
        <w:rPr/>
        <w:t>No processes were significantly predictive of change at follow-up. However, improvements in positive self-schema (</w:t>
      </w:r>
      <w:r>
        <w:rPr>
          <w:i/>
          <w:iCs/>
        </w:rPr>
        <w:t>r</w:t>
      </w:r>
      <w:r>
        <w:rPr/>
        <w:t xml:space="preserve"> = -0.30, 89% CI [-0.63, 0.07], P(&gt;0) = 10%), cognitive confidence (</w:t>
      </w:r>
      <w:r>
        <w:rPr>
          <w:i/>
          <w:iCs/>
        </w:rPr>
        <w:t>r</w:t>
      </w:r>
      <w:r>
        <w:rPr/>
        <w:t xml:space="preserve"> = -0.28, 89% CI [-0.64, 0.11], P(&gt;0) = 13%), and a reduction in negative beliefs about uncontrollability and danger (</w:t>
      </w:r>
      <w:r>
        <w:rPr>
          <w:i/>
          <w:iCs/>
        </w:rPr>
        <w:t>r</w:t>
      </w:r>
      <w:r>
        <w:rPr/>
        <w:t xml:space="preserve"> = -0.42, 89% CI [-0.78, 0.06], P(&gt;0) = 7%) all weakly predicted change at follow-up.</w:t>
      </w:r>
    </w:p>
    <w:p>
      <w:pPr>
        <w:pStyle w:val="TextBody"/>
        <w:rPr/>
      </w:pPr>
      <w:r>
        <w:rPr/>
        <w:t>Thus, these four processes warrant additional research when investigating the mechanisms of WET.</w:t>
      </w:r>
    </w:p>
    <w:p>
      <w:pPr>
        <w:pStyle w:val="TableCaption"/>
        <w:rPr/>
      </w:pPr>
      <w:r>
        <w:rPr/>
        <w:t>(#tab:mechanisms.table) Proposed</w:t>
        <w:br/>
      </w:r>
      <w:r>
        <w:rPr>
          <w:i/>
          <w:iCs/>
        </w:rPr>
        <w:t>mechanisms of change. Correlations between symptom change (during treatment and follow-up) and processes that have been found to change in WET.</w:t>
      </w:r>
    </w:p>
    <w:tbl>
      <w:tblPr>
        <w:tblStyle w:val="Table"/>
        <w:tblW w:w="7917"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131"/>
        <w:gridCol w:w="1130"/>
        <w:gridCol w:w="1132"/>
        <w:gridCol w:w="1130"/>
        <w:gridCol w:w="1132"/>
        <w:gridCol w:w="1130"/>
        <w:gridCol w:w="1131"/>
      </w:tblGrid>
      <w:tr>
        <w:trPr>
          <w:tblHeader w:val="true"/>
        </w:trPr>
        <w:tc>
          <w:tcPr>
            <w:tcW w:w="1131"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Measure</w:t>
            </w:r>
          </w:p>
        </w:tc>
        <w:tc>
          <w:tcPr>
            <w:tcW w:w="1130"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m:oMathPara xmlns:m="http://schemas.openxmlformats.org/officeDocument/2006/math">
              <m:oMathParaPr>
                <m:jc m:val="left"/>
              </m:oMathParaPr>
              <m:oMath>
                <m:r>
                  <w:rPr>
                    <w:rFonts w:ascii="Cambria Math" w:hAnsi="Cambria Math"/>
                  </w:rPr>
                  <m:t xml:space="preserve">r</m:t>
                </m:r>
              </m:oMath>
            </m:oMathPara>
          </w:p>
        </w:tc>
        <w:tc>
          <w:tcPr>
            <w:tcW w:w="1132"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89% CI</w:t>
            </w:r>
          </w:p>
        </w:tc>
        <w:tc>
          <w:tcPr>
            <w:tcW w:w="1130"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P(&lt;0)</w:t>
            </w:r>
          </w:p>
        </w:tc>
        <w:tc>
          <w:tcPr>
            <w:tcW w:w="1132"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m:oMathPara xmlns:m="http://schemas.openxmlformats.org/officeDocument/2006/math">
              <m:oMathParaPr>
                <m:jc m:val="left"/>
              </m:oMathParaPr>
              <m:oMath>
                <m:r>
                  <w:rPr>
                    <w:rFonts w:ascii="Cambria Math" w:hAnsi="Cambria Math"/>
                  </w:rPr>
                  <m:t xml:space="preserve">r</m:t>
                </m:r>
              </m:oMath>
            </m:oMathPara>
          </w:p>
        </w:tc>
        <w:tc>
          <w:tcPr>
            <w:tcW w:w="1130"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89% CI</w:t>
            </w:r>
          </w:p>
        </w:tc>
        <w:tc>
          <w:tcPr>
            <w:tcW w:w="1131" w:type="dxa"/>
            <w:tcBorders>
              <w:top w:val="single" w:sz="8" w:space="0" w:color="000000"/>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P(&gt;0)</w:t>
            </w:r>
          </w:p>
        </w:tc>
      </w:tr>
      <w:tr>
        <w:trPr/>
        <w:tc>
          <w:tcPr>
            <w:tcW w:w="113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DTS †</w:t>
            </w:r>
          </w:p>
        </w:tc>
        <w:tc>
          <w:tcPr>
            <w:tcW w:w="113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-0.37</w:t>
            </w:r>
          </w:p>
        </w:tc>
        <w:tc>
          <w:tcPr>
            <w:tcW w:w="1132"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[-0.39, -0.34]</w:t>
            </w:r>
          </w:p>
        </w:tc>
        <w:tc>
          <w:tcPr>
            <w:tcW w:w="113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0.03*</w:t>
            </w:r>
          </w:p>
        </w:tc>
        <w:tc>
          <w:tcPr>
            <w:tcW w:w="1132"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0.13</w:t>
            </w:r>
          </w:p>
        </w:tc>
        <w:tc>
          <w:tcPr>
            <w:tcW w:w="113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[0.11, 0.16]</w:t>
            </w:r>
          </w:p>
        </w:tc>
        <w:tc>
          <w:tcPr>
            <w:tcW w:w="113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0.74</w:t>
            </w:r>
          </w:p>
        </w:tc>
      </w:tr>
      <w:tr>
        <w:trPr/>
        <w:tc>
          <w:tcPr>
            <w:tcW w:w="113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BCSS Self positive</w:t>
            </w:r>
          </w:p>
        </w:tc>
        <w:tc>
          <w:tcPr>
            <w:tcW w:w="113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-0.23</w:t>
            </w:r>
          </w:p>
        </w:tc>
        <w:tc>
          <w:tcPr>
            <w:tcW w:w="1132"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[-0.25, -0.20]</w:t>
            </w:r>
          </w:p>
        </w:tc>
        <w:tc>
          <w:tcPr>
            <w:tcW w:w="113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0.15</w:t>
            </w:r>
          </w:p>
        </w:tc>
        <w:tc>
          <w:tcPr>
            <w:tcW w:w="1132"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-0.31</w:t>
            </w:r>
          </w:p>
        </w:tc>
        <w:tc>
          <w:tcPr>
            <w:tcW w:w="113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[-0.34, -0.27]</w:t>
            </w:r>
          </w:p>
        </w:tc>
        <w:tc>
          <w:tcPr>
            <w:tcW w:w="113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0.10</w:t>
            </w:r>
          </w:p>
        </w:tc>
      </w:tr>
      <w:tr>
        <w:trPr/>
        <w:tc>
          <w:tcPr>
            <w:tcW w:w="113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IFES</w:t>
            </w:r>
          </w:p>
        </w:tc>
        <w:tc>
          <w:tcPr>
            <w:tcW w:w="113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0.26</w:t>
            </w:r>
          </w:p>
        </w:tc>
        <w:tc>
          <w:tcPr>
            <w:tcW w:w="1132"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[0.23, 0.29]</w:t>
            </w:r>
          </w:p>
        </w:tc>
        <w:tc>
          <w:tcPr>
            <w:tcW w:w="113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0.92</w:t>
            </w:r>
          </w:p>
        </w:tc>
        <w:tc>
          <w:tcPr>
            <w:tcW w:w="1132"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-0.07</w:t>
            </w:r>
          </w:p>
        </w:tc>
        <w:tc>
          <w:tcPr>
            <w:tcW w:w="113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[-0.10, -0.04]</w:t>
            </w:r>
          </w:p>
        </w:tc>
        <w:tc>
          <w:tcPr>
            <w:tcW w:w="113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0.37</w:t>
            </w:r>
          </w:p>
        </w:tc>
      </w:tr>
      <w:tr>
        <w:trPr/>
        <w:tc>
          <w:tcPr>
            <w:tcW w:w="113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(Lack of) Cognitive Confidence</w:t>
            </w:r>
          </w:p>
        </w:tc>
        <w:tc>
          <w:tcPr>
            <w:tcW w:w="113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0.13</w:t>
            </w:r>
          </w:p>
        </w:tc>
        <w:tc>
          <w:tcPr>
            <w:tcW w:w="1132"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[0.10, 0.16]</w:t>
            </w:r>
          </w:p>
        </w:tc>
        <w:tc>
          <w:tcPr>
            <w:tcW w:w="113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0.72</w:t>
            </w:r>
          </w:p>
        </w:tc>
        <w:tc>
          <w:tcPr>
            <w:tcW w:w="1132"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-0.29</w:t>
            </w:r>
          </w:p>
        </w:tc>
        <w:tc>
          <w:tcPr>
            <w:tcW w:w="1130"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[-0.32, -0.26]</w:t>
            </w:r>
          </w:p>
        </w:tc>
        <w:tc>
          <w:tcPr>
            <w:tcW w:w="1131" w:type="dxa"/>
            <w:tcBorders>
              <w:top w:val="nil"/>
              <w:bottom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0.13</w:t>
            </w:r>
          </w:p>
        </w:tc>
      </w:tr>
      <w:tr>
        <w:trPr/>
        <w:tc>
          <w:tcPr>
            <w:tcW w:w="1131"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Uncontrollability and Danger</w:t>
            </w:r>
          </w:p>
        </w:tc>
        <w:tc>
          <w:tcPr>
            <w:tcW w:w="1130"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0.42</w:t>
            </w:r>
          </w:p>
        </w:tc>
        <w:tc>
          <w:tcPr>
            <w:tcW w:w="1132"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[0.39, 0.46]</w:t>
            </w:r>
          </w:p>
        </w:tc>
        <w:tc>
          <w:tcPr>
            <w:tcW w:w="1130"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0.91</w:t>
            </w:r>
          </w:p>
        </w:tc>
        <w:tc>
          <w:tcPr>
            <w:tcW w:w="1132"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-0.45</w:t>
            </w:r>
          </w:p>
        </w:tc>
        <w:tc>
          <w:tcPr>
            <w:tcW w:w="1130"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[-0.48, -0.41]</w:t>
            </w:r>
          </w:p>
        </w:tc>
        <w:tc>
          <w:tcPr>
            <w:tcW w:w="1131" w:type="dxa"/>
            <w:tcBorders>
              <w:top w:val="nil"/>
            </w:tcBorders>
            <w:vAlign w:val="center"/>
          </w:tcPr>
          <w:p>
            <w:pPr>
              <w:pStyle w:val="Compact"/>
              <w:widowControl/>
              <w:suppressLineNumbers/>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0.07</w:t>
            </w:r>
          </w:p>
        </w:tc>
      </w:tr>
    </w:tbl>
    <w:p>
      <w:pPr>
        <w:pStyle w:val="Tablenote"/>
        <w:rPr/>
      </w:pPr>
      <w:r>
        <w:rPr>
          <w:i/>
          <w:iCs/>
        </w:rPr>
        <w:t>Note.</w:t>
      </w:r>
      <w:r>
        <w:rPr/>
        <w:t xml:space="preserve"> † Indicates a measure of strength or positive attributes, and negative correlation should be interpreted as alignment</w:t>
      </w:r>
    </w:p>
    <w:p>
      <w:pPr>
        <w:pStyle w:val="TextBody"/>
        <w:rPr/>
      </w:pPr>
      <w:bookmarkStart w:id="34" w:name="mechanisms-of-change"/>
      <w:r>
        <w:rPr/>
        <w:t> </w:t>
      </w:r>
      <w:bookmarkEnd w:id="34"/>
    </w:p>
    <w:p>
      <w:pPr>
        <w:pStyle w:val="Heading2"/>
        <w:rPr/>
      </w:pPr>
      <w:bookmarkStart w:id="35" w:name="response-to-core-threats"/>
      <w:r>
        <w:rPr/>
        <w:t>Response to Core Threats</w:t>
      </w:r>
    </w:p>
    <w:p>
      <w:pPr>
        <w:pStyle w:val="FirstParagraph"/>
        <w:rPr/>
      </w:pPr>
      <w:r>
        <w:rPr/>
        <w:t>Alongside global mechanisms and metacognitions, we explored how participants’ threat responses changed in relation to their core threat. To investigate this, we examined state anxiety before and after each writing session using the BSAM. Participants rated their state anxiety while vividly imagining their core threat script. This approach allowed us to assess both within-session and between-session changes in anxiety levels (see Figure 3).</w:t>
      </w:r>
    </w:p>
    <w:p>
      <w:pPr>
        <w:pStyle w:val="CaptionedFigure"/>
        <w:rPr/>
      </w:pPr>
      <w:r>
        <w:rPr/>
        <w:drawing>
          <wp:inline distT="0" distB="0" distL="0" distR="0">
            <wp:extent cx="4587240" cy="3669665"/>
            <wp:effectExtent l="0" t="0" r="0" b="0"/>
            <wp:docPr id="3" name="Image3" descr="Figure 3: Trajectory of state anxiety as a function of time. Dashed lines are the trajectory of pre intervention measurements. Arrows are within session changes, pointing at the post intervention mea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Figure 3: Trajectory of state anxiety as a function of time. Dashed lines are the trajectory of pre intervention measurements. Arrows are within session changes, pointing at the post intervention measure."/>
                    <pic:cNvPicPr>
                      <a:picLocks noChangeAspect="1" noChangeArrowheads="1"/>
                    </pic:cNvPicPr>
                  </pic:nvPicPr>
                  <pic:blipFill>
                    <a:blip r:embed="rId7"/>
                    <a:stretch>
                      <a:fillRect/>
                    </a:stretch>
                  </pic:blipFill>
                  <pic:spPr bwMode="auto">
                    <a:xfrm>
                      <a:off x="0" y="0"/>
                      <a:ext cx="4587240" cy="3669665"/>
                    </a:xfrm>
                    <a:prstGeom prst="rect">
                      <a:avLst/>
                    </a:prstGeom>
                  </pic:spPr>
                </pic:pic>
              </a:graphicData>
            </a:graphic>
          </wp:inline>
        </w:drawing>
      </w:r>
    </w:p>
    <w:p>
      <w:pPr>
        <w:pStyle w:val="ImageCaption"/>
        <w:rPr/>
      </w:pPr>
      <w:bookmarkStart w:id="36" w:name="fig%3Astateanx"/>
      <w:bookmarkEnd w:id="36"/>
      <w:r>
        <w:rPr/>
        <w:t>Figure 3: Trajectory of state anxiety as a function of time. Dashed lines are the trajectory of pre intervention measurements. Arrows are within session changes, pointing at the post intervention measure.</w:t>
      </w:r>
    </w:p>
    <w:p>
      <w:pPr>
        <w:pStyle w:val="TextBody"/>
        <w:rPr/>
      </w:pPr>
      <w:r>
        <w:rPr/>
        <w:t>Our findings revealed distinct differences between the groups. Both began with similarly high levels of state anxiety. During the first session, the NIW group experienced a significant reduction in anxiety, reflecting their instruction to distract themselves from the threat. In contrast, the WET group’s anxiety levels remained high and stable, consistent with their instruction to focus on the core threat.</w:t>
      </w:r>
    </w:p>
    <w:p>
      <w:pPr>
        <w:pStyle w:val="TextBody"/>
        <w:rPr/>
      </w:pPr>
      <w:r>
        <w:rPr/>
        <w:t>By the second session, both groups had established new patterns: the NIW group maintained the reduced anxiety achieved after session one, while the WET group experienced a significant reduction in anxiety even below that of the NIW group. This between-session reduction in state anxiety predicted improvements in trait anxiety (OASIS), in line with meta-analysis showing that between session habituation is correlated with treatment outcome (e.g., Rupp et al., 2017). However, stronger correlations were found in the WET group (</w:t>
      </w:r>
      <w:r>
        <w:rPr>
          <w:i/>
          <w:iCs/>
        </w:rPr>
        <w:t>r</w:t>
      </w:r>
      <w:r>
        <w:rPr/>
        <w:t xml:space="preserve"> = 0.39, 89% CI [0.13, 0.61], P(&gt;0) = 99%) than in the NIW group (</w:t>
      </w:r>
      <w:r>
        <w:rPr>
          <w:i/>
          <w:iCs/>
        </w:rPr>
        <w:t>r</w:t>
      </w:r>
      <w:r>
        <w:rPr/>
        <w:t xml:space="preserve"> = 0.28, 89% CI [-0.04, 0.58], P(&gt;0) = 92%). It is reasonable to hypothesize that the reduction in trait anxiety in response to the core threat is caused by decrease in DTS, as seen above. However, no correlation was found between change in DTS and change in state anxiety (</w:t>
      </w:r>
      <w:r>
        <w:rPr>
          <w:i/>
          <w:iCs/>
        </w:rPr>
        <w:t>r</w:t>
      </w:r>
      <w:r>
        <w:rPr/>
        <w:t xml:space="preserve"> = -0.03, 89% CI [-0.32, 0.26], P(&gt;0) = 43%).</w:t>
      </w:r>
    </w:p>
    <w:p>
      <w:pPr>
        <w:pStyle w:val="TextBody"/>
        <w:rPr/>
      </w:pPr>
      <w:r>
        <w:rPr/>
        <w:t>The distinct trajectory of state anxiety in the WET group suggests a unique mechanism of change. Specifically, the larger decrease in state anxiety between sessions in the WET group may indicate deeper processing of core threats, which in turn is associated with more robust symptom improvements.</w:t>
      </w:r>
    </w:p>
    <w:p>
      <w:pPr>
        <w:pStyle w:val="TextBody"/>
        <w:rPr/>
      </w:pPr>
      <w:r>
        <w:rPr/>
        <w:t>Furthermore, within-session patterns diverged between the groups. For the NIW group, writing reduced state anxiety, while for the WET group, it increased state anxiety. This result serves as a manipulation check and aligns with the interventions’ instructions: WET participants were encouraged to actively engage with their fears, while NIW participants were guided to distract themselves from them.</w:t>
      </w:r>
    </w:p>
    <w:p>
      <w:pPr>
        <w:pStyle w:val="TextBody"/>
        <w:rPr/>
      </w:pPr>
      <w:bookmarkStart w:id="37" w:name="results"/>
      <w:bookmarkStart w:id="38" w:name="response-to-core-threats"/>
      <w:r>
        <w:rPr/>
        <w:t>Interestingly, there was evidence of a slight reduction in the magnitude of within-session anxiety increases over time in the WET group. This trend suggests that participants may have become more accustomed to the task, potentially reflecting a process of habituation.</w:t>
      </w:r>
      <w:bookmarkEnd w:id="37"/>
      <w:bookmarkEnd w:id="38"/>
    </w:p>
    <w:p>
      <w:pPr>
        <w:pStyle w:val="Heading1"/>
        <w:rPr/>
      </w:pPr>
      <w:bookmarkStart w:id="39" w:name="discussion"/>
      <w:bookmarkEnd w:id="39"/>
      <w:r>
        <w:rPr/>
        <w:t>Discussion</w:t>
      </w:r>
    </w:p>
    <w:p>
      <w:pPr>
        <w:pStyle w:val="FirstParagraph"/>
        <w:rPr/>
      </w:pPr>
      <w:r>
        <w:rPr/>
        <w:t>The results of this study suggest that self-guided, future-oriented WET is an effective and scalable intervention for treating transdiagnostic anxiety. Moreover, they highlight distress tolerance and anxiety levels regarding one’s core threat as key mechanisms of change.</w:t>
      </w:r>
    </w:p>
    <w:p>
      <w:pPr>
        <w:pStyle w:val="Heading2"/>
        <w:rPr/>
      </w:pPr>
      <w:bookmarkStart w:id="40" w:name="effectiveness-of-wet"/>
      <w:r>
        <w:rPr/>
        <w:t>Effectiveness of WET</w:t>
      </w:r>
    </w:p>
    <w:p>
      <w:pPr>
        <w:pStyle w:val="FirstParagraph"/>
        <w:rPr/>
      </w:pPr>
      <w:r>
        <w:rPr/>
        <w:t>Recent years have seen a growing interest in evidence-based self-help interventions, including unguided (e.g., Morgan et al., 2017) and guided online treatments (Andersson et al., 2019). These interventions often achieve effect sizes comparable to face-to-face therapy (Esfandiari et al., 2021). Our findings contribute to this literature by demonstrating that self-guided, online, future-oriented WET can achieve meaningful improvements. Participants can achieve depth and personal engagement with thoughtfully designed prompts and structured guidance. This raises potential for the incorporation of WET in transdiagnostic or specific online protocols.</w:t>
      </w:r>
    </w:p>
    <w:p>
      <w:pPr>
        <w:pStyle w:val="TextBody"/>
        <w:rPr/>
      </w:pPr>
      <w:r>
        <w:rPr/>
        <w:t>In a meta-analysis of online unguided self-help interventions, Wang and colleagues (2023) reported small effects when treating anxiety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0.35</m:t>
        </m:r>
      </m:oMath>
      <w:r>
        <w:rPr/>
        <w:t>, 95% CI [0.22, 0.48]). Whereas in the current study, WET demonstrated a small effect size compared to waitlist control during treatment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0.35</m:t>
        </m:r>
      </m:oMath>
      <w:r>
        <w:rPr/>
        <w:t>) it developed into a medium effect size at one week follow-up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0.69</m:t>
        </m:r>
      </m:oMath>
      <w:r>
        <w:rPr/>
        <w:t>) and kept improving at the two month followup (</w:t>
      </w:r>
      <w:r>
        <w:rPr/>
      </w:r>
      <m:oMath xmlns:m="http://schemas.openxmlformats.org/officeDocument/2006/math">
        <m:r>
          <w:rPr>
            <w:rFonts w:ascii="Cambria Math" w:hAnsi="Cambria Math"/>
          </w:rPr>
          <m:t xml:space="preserve">0.85</m:t>
        </m:r>
      </m:oMath>
      <w:r>
        <w:rPr/>
        <w:t xml:space="preserve">). This change corresponds to approximately </w:t>
      </w:r>
      <w:r>
        <w:rPr/>
      </w:r>
      <m:oMath xmlns:m="http://schemas.openxmlformats.org/officeDocument/2006/math">
        <m:r>
          <w:rPr>
            <w:rFonts w:ascii="Cambria Math" w:hAnsi="Cambria Math"/>
          </w:rPr>
          <m:t xml:space="preserve">3.16</m:t>
        </m:r>
      </m:oMath>
      <w:r>
        <w:rPr/>
        <w:t xml:space="preserve"> points on the OASIS, which is more than half the reliable change threshold of </w:t>
      </w:r>
      <w:r>
        <w:rPr/>
      </w:r>
      <m:oMath xmlns:m="http://schemas.openxmlformats.org/officeDocument/2006/math">
        <m:r>
          <w:rPr>
            <w:rFonts w:ascii="Cambria Math" w:hAnsi="Cambria Math"/>
          </w:rPr>
          <m:t xml:space="preserve">4.41</m:t>
        </m:r>
      </m:oMath>
      <w:r>
        <w:rPr/>
        <w:t xml:space="preserve"> (Moore et al., 2015). Alongside the reduction in anxiety, we observed a small but significant improvement in functional impairment, corroborating the clinical relevance of the intervention. These results suggest that while the current version of future-oriented WET is effective, it should not be viewed as a standalone intervention. Instead, it should be integrated as part of a larger, multi-component treatment framework and examined to see if it improves outcomes.</w:t>
      </w:r>
    </w:p>
    <w:p>
      <w:pPr>
        <w:pStyle w:val="TextBody"/>
        <w:rPr/>
      </w:pPr>
      <w:r>
        <w:rPr/>
        <w:t>Previous research has established WET’s efficacy for specific disorders. For example, Sloan and Marx demonstrated (when focusing on a past trauma) non-inferiority to best-practice treatments for PTSD (Sloan et al., 2023; Thompson-Hollands et al., 2019). Similarly, future-oriented WET has shown promise for treating generalized anxiety disorder (Goldman et al., 2007; Ovanessian et al., 2019). Our findings extend these principles to anxiety as a transdiagnostic phenomenon. Moreover, consistent with previous studies (Sloan et al., 2018; Thompson-Hollands et al., 2018), we observed continued improvements post-intervention, highlighting WET’s potential for sustained effects. The diversity of our sample and standardized online delivery suggest these findings should generalize well to other populations. However, our unusually low dropout rates may be influenced by participant compensation, and cultural differences or technology limitations could affect the intervention’s effectiveness in other contexts.</w:t>
      </w:r>
    </w:p>
    <w:p>
      <w:pPr>
        <w:pStyle w:val="TextBody"/>
        <w:rPr/>
      </w:pPr>
      <w:bookmarkStart w:id="41" w:name="effectiveness-of-wet"/>
      <w:r>
        <w:rPr/>
        <w:t>The effectiveness of WET supports the notion that writing about one’s future threats enables emotional processing. Furthermore, it highlights that individuals are capable of engaging in this process without the active guidance of a therapist. Beyond the implications as an inexpensive and accessible intervention, WET provides a scalable method to investigate therapeutic processes in exposure and other interventions. It offers a relatively simple intervention that can easily be adjusted to emphasize different aspects of the intervention process, such as focusing on the first or third person, varying levels of immersion, or addressing past versus future events. Additionally, WET generates rich textual data that can offer further insights into the cognitive and emotional dynamics at play during emotional processing Thus, wet serves as an important tool in the psychotherapy researcher’s toolbox.</w:t>
      </w:r>
      <w:bookmarkEnd w:id="41"/>
    </w:p>
    <w:p>
      <w:pPr>
        <w:pStyle w:val="Heading2"/>
        <w:rPr/>
      </w:pPr>
      <w:bookmarkStart w:id="42" w:name="notes-on-technique"/>
      <w:r>
        <w:rPr/>
        <w:t>Notes on Technique</w:t>
      </w:r>
    </w:p>
    <w:p>
      <w:pPr>
        <w:pStyle w:val="FirstParagraph"/>
        <w:rPr/>
      </w:pPr>
      <w:r>
        <w:rPr/>
        <w:t>The WET protocol differs significantly from traditional, future-oriented imaginal exposure flooding methods, introducing both key innovations and trade-offs (see Asnaani et al., 2016). Traditional imaginal exposure typically involves recording a fixed threat script that patients listen to repeatedly, emphasizing repetition and fostering immersion by encouraging patients to close their eyes and focus inward. In contrast, the WET protocol requires participants to rewrite their threat script during each session, sometimes multiple times. This approach creates a dynamic, evolving narrative that may facilitate deeper processing of the personal meanings associated with the threat. This technique is explicitly encouraged in the WET manual for PTSD (Sloan &amp; Marx, 2019).</w:t>
      </w:r>
    </w:p>
    <w:p>
      <w:pPr>
        <w:pStyle w:val="TextBody"/>
        <w:rPr/>
      </w:pPr>
      <w:r>
        <w:rPr/>
        <w:t>This approach introduces a tradeoff between immersion and reflective distance. While traditional imaginal exposure enhances immersion through closing ones’ eyes, WET requires writing with ones’ eyes open, which may reduce immersion but adds a layer of reflective distance. This act of writing allows participants to examine their feared experiences from new perspectives, encouraging deeper cognitive and emotional processing, even if it lacks the intense focus of imaginal exposure. To address this, participants are instructed to remain attuned to their emotions and sensations, and if they run out of content, briefly close their eyes to regain immersion.</w:t>
      </w:r>
    </w:p>
    <w:p>
      <w:pPr>
        <w:pStyle w:val="TextBody"/>
        <w:rPr/>
      </w:pPr>
      <w:bookmarkStart w:id="43" w:name="notes-on-technique"/>
      <w:r>
        <w:rPr/>
        <w:t>Additionally, a unique challenge in imaginal exposure is the difficulty in assessing participants’ levels of engagement and immersion. WET addresses this issue by creating a concrete, written record of participants’ thoughts and experiences during exposure. Clinically, this written documentation provides valuable feedback, allowing therapists to guide participants on specific aspects to enhance (for example, advising them to focus more on physical sensations if needed). The written records are also useful for research, enabling analysis of factors like exposure duration, narrative detail, and the specific language used to describe the threat. This objective data allows for more nuanced understanding of how individuals process their fears and the therapeutic impact of the exposure.</w:t>
      </w:r>
      <w:bookmarkEnd w:id="43"/>
    </w:p>
    <w:p>
      <w:pPr>
        <w:pStyle w:val="Heading2"/>
        <w:rPr/>
      </w:pPr>
      <w:bookmarkStart w:id="44" w:name="niw-as-an-intervention"/>
      <w:r>
        <w:rPr/>
        <w:t>NIW as an Intervention</w:t>
      </w:r>
    </w:p>
    <w:p>
      <w:pPr>
        <w:pStyle w:val="FirstParagraph"/>
        <w:rPr/>
      </w:pPr>
      <w:r>
        <w:rPr/>
        <w:t xml:space="preserve">At first glance, WET appears to have failed to improve immediate outcomes beyond the control condition. However, we argue that this interpretation may overlook a key factor: NIW itself demonstrated significant effects, raising questions about its role as an inert placebo. Designed as a control condition, NIW produced unexpectedly robust outcomes. Active control conditions in psychological interventions typically demonstrate moderate effects. For example, research on internet-based cognitive behavioral therapy for anxiety has shown that active control groups yield effect sizes around </w:t>
      </w:r>
      <w:r>
        <w:rPr/>
      </w:r>
      <m:oMath xmlns:m="http://schemas.openxmlformats.org/officeDocument/2006/math">
        <m:r>
          <w:rPr>
            <w:rFonts w:ascii="Cambria Math" w:hAnsi="Cambria Math"/>
          </w:rPr>
          <m:t xml:space="preserve">0.5</m:t>
        </m:r>
      </m:oMath>
      <w:r>
        <w:rPr/>
        <w:t xml:space="preserve">, using interventions such as relaxation tasks or forum participation (Carlbring et al., 2011; Johansson et al., 2012; Newby et al., 2018). The average effect size of expressive writing interventions is even lower at </w:t>
      </w:r>
      <w:r>
        <w:rPr/>
      </w:r>
      <m:oMath xmlns:m="http://schemas.openxmlformats.org/officeDocument/2006/math">
        <m:r>
          <w:rPr>
            <w:rFonts w:ascii="Cambria Math" w:hAnsi="Cambria Math"/>
          </w:rPr>
          <m:t xml:space="preserve">0.075</m:t>
        </m:r>
      </m:oMath>
      <w:r>
        <w:rPr/>
        <w:t xml:space="preserve"> (Frattaroli, 2006). By contrast, NIW had an absolute effect size of </w:t>
      </w:r>
      <w:r>
        <w:rPr/>
      </w:r>
      <m:oMath xmlns:m="http://schemas.openxmlformats.org/officeDocument/2006/math">
        <m:r>
          <w:rPr>
            <w:rFonts w:ascii="Cambria Math" w:hAnsi="Cambria Math"/>
          </w:rPr>
          <m:t xml:space="preserve">0.86</m:t>
        </m:r>
      </m:oMath>
      <w:r>
        <w:rPr/>
        <w:t xml:space="preserve"> at the one week follow-up. This level of effectiveness suggests that NIW should not be dismissed as simply placebo.</w:t>
      </w:r>
    </w:p>
    <w:p>
      <w:pPr>
        <w:pStyle w:val="TextBody"/>
        <w:rPr/>
      </w:pPr>
      <w:r>
        <w:rPr/>
        <w:t xml:space="preserve">Several mechanisms may explain NIW’s unexpected efficacy. One possibility is the role of </w:t>
      </w:r>
      <w:r>
        <w:rPr>
          <w:i/>
          <w:iCs/>
        </w:rPr>
        <w:t>distancing</w:t>
      </w:r>
      <w:r>
        <w:rPr/>
        <w:t>, a well-documented emotion regulation strategy (Kross &amp; Ayduk, 2017; Powers &amp; LaBar, 2019). Writing about non-distressing topics may have helped participants practice disengaging from threatening cognitions, facilitating emotional recovery. Indeed, evidence suggests that such training reduces distress (Denny &amp; Ochsner, 2014), and this was the faux rationale given in the psychoeducation section. Alternatively, participants were asked to evaluate their response to the core threat script twice every session in order to evaluate their state anxiety. This could have acted as a form of exposure. Additionally, preliminary analyses of NIW scripts revealed that participants often produced highly positive or meditative content. This suggests that mindfulness processes or the generation of positive imagery may have contributed to the observed outcomes, consistent with findings that these strategies improve emotional well-being (Hofmann et al., 2010; Pile et al., 2021). Similarly, rehearsing positive ideation, even when unrelated to personal worries, has been shown to counteract worry in individuals with generalized anxiety disorder (Eagleson et al., 2016).</w:t>
      </w:r>
    </w:p>
    <w:p>
      <w:pPr>
        <w:pStyle w:val="TextBody"/>
        <w:rPr/>
      </w:pPr>
      <w:r>
        <w:rPr/>
        <w:t>Finally, baseline anxiety levels may also have influenced NIW’s apparent effectiveness. Participants in the NIW group started with slightly higher (though not significant) average anxiety scores, which may have amplified their therapeutic gains. Greater baseline severity is often associated with larger improvements due to regression to the mean (Barnett et al., 2005) or the presence of more accessible pathology (Driessen et al., 2010). Thus, although the baseline difference was not statistically significant, it remains a potential confounder in interpreting the results.</w:t>
      </w:r>
    </w:p>
    <w:p>
      <w:pPr>
        <w:pStyle w:val="TextBody"/>
        <w:rPr/>
      </w:pPr>
      <w:r>
        <w:rPr/>
        <w:t>Ultimately, the effectiveness of NIW highlights its potential as a therapeutic tool for training skills such as distancing, distraction, or disengagement. This experiment revealed contrasting trajectories between NIW and WET. NIW produced a rapid initial reduction in anxiety symptoms, demonstrating its utility as a short-term intervention. However, these gains plateaued over time. In contrast, WET showed slower initial progress but continued to reduce symptoms steadily, ultimately achieving greater long-term effectiveness.</w:t>
      </w:r>
    </w:p>
    <w:p>
      <w:pPr>
        <w:pStyle w:val="TextBody"/>
        <w:rPr/>
      </w:pPr>
      <w:bookmarkStart w:id="45" w:name="niw-as-an-intervention"/>
      <w:r>
        <w:rPr/>
        <w:t>These findings suggest that NIW may be valuable for immediate symptom relief, whereas WET provides more sustained benefits. The small sample size in the NIW condition (29 participants) limits the generalizability of these results, emphasizing the need for further research to confirm these effects and determine the optimal contexts for each approach.</w:t>
      </w:r>
      <w:bookmarkEnd w:id="45"/>
    </w:p>
    <w:p>
      <w:pPr>
        <w:pStyle w:val="Heading2"/>
        <w:rPr/>
      </w:pPr>
      <w:bookmarkStart w:id="46" w:name="how-wet-works"/>
      <w:r>
        <w:rPr/>
        <w:t>How WET Works</w:t>
      </w:r>
    </w:p>
    <w:p>
      <w:pPr>
        <w:pStyle w:val="FirstParagraph"/>
        <w:rPr/>
      </w:pPr>
      <w:r>
        <w:rPr/>
        <w:t>It is clear that a greater understanding of the underlying mechanisms of interventions is needed (Niv et al., 2021), as is a holistic theory (Brewin, 1996; Hofmann &amp; Hayes, 2019; Huppert et al., 2020). The current study aims to advance our understanding of treatment mechanisms by identifying potential mediators. Kraemer (2002) emphasizes that mediators are potential pathways linking treatment to outcomes, though not all mediators qualify as true causal mechanisms.</w:t>
      </w:r>
    </w:p>
    <w:p>
      <w:pPr>
        <w:pStyle w:val="TextBody"/>
        <w:rPr/>
      </w:pPr>
      <w:r>
        <w:rPr/>
        <w:t>We surveyed multiple potential mechanisms to identify candidates for change in WET. Among those that significantly changed—distress tolerance, positive self-schema, perceived impact of future events, and metacognitive processes (lack of cognitive confidence, negative beliefs about uncontrollability and danger)—only distress tolerance was significantly correlated with symptom reduction, suggesting it as a key mechanism. Additionally, change in the anxious response to core threats predicted symptom change.</w:t>
      </w:r>
    </w:p>
    <w:p>
      <w:pPr>
        <w:pStyle w:val="Heading3"/>
        <w:rPr/>
      </w:pPr>
      <w:bookmarkStart w:id="47" w:name="distress-tolerance"/>
      <w:r>
        <w:rPr/>
        <w:t>Distress Tolerance.</w:t>
      </w:r>
    </w:p>
    <w:p>
      <w:pPr>
        <w:pStyle w:val="FirstParagraph"/>
        <w:rPr/>
      </w:pPr>
      <w:r>
        <w:rPr/>
        <w:t>Distress tolerance, defined as an individual’s ability to endure negative emotional states (Simons &amp; Gaher, 2005), is increasingly recognized as a transdiagnostic factor implicated in emotional disorders. It has been linked to symptom severity and treatment outcome in conditions including depression (Lass &amp; Winer, 2020), anxiety (Michel et al., 2016), PTSD (Boffa et al., 2018), and substance use disorders (Leyro et al., 2010). Psychotherapies that enhance distress tolerance, such as dialectical behavior therapy, often improve patients’ capacity to engage with distressing emotions, reducing avoidance behaviors and promoting resilience (Leyro et al., 2010). Indeed, prior research has demonstrated that distress tolerance mediates change in mindfulness-based interventions (Li et al., 2023, 2024).</w:t>
      </w:r>
    </w:p>
    <w:p>
      <w:pPr>
        <w:pStyle w:val="TextBody"/>
        <w:rPr/>
      </w:pPr>
      <w:r>
        <w:rPr/>
        <w:t>Our findings suggest that WET fosters distress tolerance presumably by encouraging participants to engage with distressing thoughts and emotions. While these results support the role of distress tolerance as a mechanism of change in WET, further research is needed to establish a causal connection between changes in DTS and symptom reduction (Kraemer et al., 2002). Specifically, longitudinal studies could clarify whether improvements in distress tolerance precede or occur concurrently with symptom changes.</w:t>
      </w:r>
    </w:p>
    <w:p>
      <w:pPr>
        <w:pStyle w:val="TextBody"/>
        <w:rPr/>
      </w:pPr>
      <w:bookmarkStart w:id="48" w:name="distress-tolerance"/>
      <w:r>
        <w:rPr/>
        <w:t>Research suggests that specific subtypes of distress tolerance, such as intolerance of uncertainty and anxiety sensitivity, predict change better than general DTS (Michel et al., 2016). This highlights the need to refine our understanding of how WET influences distress tolerance and its role in symptom reduction. Future research should explore these subdomains to clarify how WET enhances specific facets of distress tolerance and their contribution to therapeutic outcomes. A more nuanced approach may reveal distinct pathways of change, informing tailored interventions that maximize impact across emotional disorders.</w:t>
      </w:r>
      <w:bookmarkEnd w:id="48"/>
    </w:p>
    <w:p>
      <w:pPr>
        <w:pStyle w:val="Heading3"/>
        <w:rPr/>
      </w:pPr>
      <w:bookmarkStart w:id="49" w:name="responses-to-core-threats"/>
      <w:r>
        <w:rPr/>
        <w:t>Responses to Core Threats.</w:t>
      </w:r>
    </w:p>
    <w:p>
      <w:pPr>
        <w:pStyle w:val="FirstParagraph"/>
        <w:rPr/>
      </w:pPr>
      <w:r>
        <w:rPr/>
        <w:t>Central to pathological fear is the inflated sense of threat, making perceived threat reduction a key mechanism for alleviating anxiety symptoms (Zlotnick &amp; Huppert, 2025a). Our findings showed that WET not only reduced response to core threats but did so more effectively than NIW. Notably, the rate of threat reduction between the first and second sessions predicted symptom improvement by the fourth session, supporting the idea of temporal precedence.</w:t>
      </w:r>
    </w:p>
    <w:p>
      <w:pPr>
        <w:pStyle w:val="TextBody"/>
        <w:rPr/>
      </w:pPr>
      <w:r>
        <w:rPr/>
        <w:t>The majority of threat reduction in WET occurred between sessions one and two, with minimal change thereafter despite ongoing symptom improvements. This pattern suggests that repeated engagement with the core threat might exert its effects through other mechanisms, such as distress tolerance as seen above. Alternatively, there might be benefits from continued perturbation of the core threats via repeated activation. Further research should explore whether improving the writing script at each session to further engage in “hot spots” could improve threat reduction across sessions. This approach aligns with practices in WET for PTSD, where scripts are progressively refined each session (Sloan &amp; Marx, 2019).</w:t>
      </w:r>
    </w:p>
    <w:p>
      <w:pPr>
        <w:pStyle w:val="TextBody"/>
        <w:rPr/>
      </w:pPr>
      <w:r>
        <w:rPr/>
        <w:t>In this context, emotional engagement seems to be a prime target for improvement. Evidence suggests that focusing on emotional rather than cognitive aspects of writing enhances outcomes (Sloan et al., 2007). Future iterations of WET could integrate techniques to deepen emotional processing at each session such as explicitly encouraging emotional engagement or enhancing imagery realism (Holmes &amp; Mathews, 2005, 2010). Furthermore, improving the threat script itself, by better reflecting the core threat and decreasing avoidance may also be important (Zlotnick &amp; Huppert, 2025a).</w:t>
      </w:r>
    </w:p>
    <w:p>
      <w:pPr>
        <w:pStyle w:val="TextBody"/>
        <w:rPr/>
      </w:pPr>
      <w:r>
        <w:rPr/>
        <w:t>The distinct threat-response trajectories observed in WET and NIW illustrate their divergent mechanisms. In WET, sessions elevated threat-response, but the between-session reduction led to lower overall threat-response and to symptom improvement. In contrast, NIW provided short-term threat-response relief with smaller long-term benefits, likely reflecting its strategy of distraction rather than engagement with the core threat. This highlights the importance of targeting core threats in interventions designed to reduce anxiety.</w:t>
      </w:r>
    </w:p>
    <w:p>
      <w:pPr>
        <w:pStyle w:val="TextBody"/>
        <w:rPr/>
      </w:pPr>
      <w:bookmarkStart w:id="50" w:name="how-wet-works"/>
      <w:bookmarkStart w:id="51" w:name="responses-to-core-threats"/>
      <w:r>
        <w:rPr/>
        <w:t>Changes in both response to threats and distress tolerance predicted symptom reduction. It could be hypothesized that these two processes are related—for example, that a decrease in threat response results from an increase in distress tolerance. However, we found no significant correlation between these variables, suggesting that they operate as independent processes. This distinction highlights two complementary mechanisms underlying WET. First, distress tolerance represents a generic skill that applies across a wide range of distressing situations. In contrast, changes in threat response are more specific, addressing a particular threat that may manifest across various contexts. This is supported by the observed decrease in symptomatology, which is not tied to any single situation. Future research should investigate how these two processes interact to influence treatment outcomes. Exploring these complementary aspects could provide broader insights into therapeutic mechanisms beyond WET.</w:t>
      </w:r>
      <w:bookmarkEnd w:id="50"/>
      <w:bookmarkEnd w:id="51"/>
    </w:p>
    <w:p>
      <w:pPr>
        <w:pStyle w:val="Heading2"/>
        <w:rPr/>
      </w:pPr>
      <w:bookmarkStart w:id="52" w:name="Xe2b067ee59b06d78adc3990c4e6cd963ede6858"/>
      <w:bookmarkEnd w:id="52"/>
      <w:r>
        <w:rPr/>
        <w:t>Advancing Mechanism-Driven Research with Transdiagnostic WET</w:t>
      </w:r>
    </w:p>
    <w:p>
      <w:pPr>
        <w:pStyle w:val="FirstParagraph"/>
        <w:rPr/>
      </w:pPr>
      <w:r>
        <w:rPr/>
        <w:t>This study demonstrates the efficacy of self-guided, online transdiagnostic WET, showing its superiority over both a waitlist control and an active writing control condition. With just four 20-minute writing sessions, WET achieved large effect sizes at follow-up. Furthermore, the study identified two potential mechanisms through which WET appears to work: increasing distress tolerance and reducing distress associated with activated core threats.</w:t>
      </w:r>
    </w:p>
    <w:p>
      <w:pPr>
        <w:pStyle w:val="TextBody"/>
        <w:rPr/>
      </w:pPr>
      <w:r>
        <w:rPr/>
        <w:t>As clinical psychology shifts from studies focused on outcomes to hypothesis-driven research targeting specific mechanisms (see Hofmann &amp; Hayes, 2019), there is an increasing demand for scalable, flexible methodologies capable of exploring these mechanisms in depth. To address this need, the current study applies WET to a transdiagnostic phenomenon: anxiety. Transdiagnostic WET is a concise, self-administered intervention that is easily delivered online. Beyond its proven effectiveness in reducing anxiety and functional impairment, WET’s adaptability is its true strength. Its structured yet flexible instructions can be tailored to test various interventions, target different mechanisms, and assess their effects on a range of outcomes, positioning it as a valuable tool for mechanism-focused research.</w:t>
      </w:r>
    </w:p>
    <w:p>
      <w:pPr>
        <w:pStyle w:val="TextBody"/>
        <w:rPr/>
      </w:pPr>
      <w:r>
        <w:rPr/>
        <w:t>WET enables researchers to investigate both processes and outcomes across diverse populations and settings. It thus moves the field closer to realizing the vision of process-focused, mechanism-driven research (Hofmann &amp; Hayes, 2019) while offering a scalable, accessible transdiagnostic intervention.</w:t>
      </w:r>
    </w:p>
    <w:p>
      <w:pPr>
        <w:pStyle w:val="Normal"/>
        <w:rPr/>
      </w:pPr>
      <w:r>
        <w:rPr/>
      </w:r>
      <w:r>
        <w:br w:type="page"/>
      </w:r>
    </w:p>
    <w:p>
      <w:pPr>
        <w:pStyle w:val="Heading3"/>
        <w:rPr/>
      </w:pPr>
      <w:bookmarkStart w:id="53" w:name="author-contributions"/>
      <w:r>
        <w:rPr/>
        <w:t>Author Contributions.</w:t>
      </w:r>
    </w:p>
    <w:p>
      <w:pPr>
        <w:pStyle w:val="Compact"/>
        <w:numPr>
          <w:ilvl w:val="0"/>
          <w:numId w:val="1"/>
        </w:numPr>
        <w:rPr/>
      </w:pPr>
      <w:r>
        <w:rPr>
          <w:b/>
          <w:bCs/>
        </w:rPr>
        <w:t>Elad Zlotnick:</w:t>
      </w:r>
      <w:r>
        <w:rPr/>
        <w:t xml:space="preserve"> Conceptualization, Methodology, Data collection, Formal analysis, Writing - Original Draft Preparation, Writing - Review &amp; Editing</w:t>
      </w:r>
    </w:p>
    <w:p>
      <w:pPr>
        <w:pStyle w:val="Compact"/>
        <w:numPr>
          <w:ilvl w:val="0"/>
          <w:numId w:val="1"/>
        </w:numPr>
        <w:rPr/>
      </w:pPr>
      <w:r>
        <w:rPr>
          <w:b/>
          <w:bCs/>
        </w:rPr>
        <w:t>Hila Sorka:</w:t>
      </w:r>
      <w:r>
        <w:rPr/>
        <w:t xml:space="preserve"> Conceptualization, Data collection, Writing - Review &amp; Editing</w:t>
      </w:r>
    </w:p>
    <w:p>
      <w:pPr>
        <w:pStyle w:val="Compact"/>
        <w:numPr>
          <w:ilvl w:val="0"/>
          <w:numId w:val="1"/>
        </w:numPr>
        <w:rPr/>
      </w:pPr>
      <w:r>
        <w:rPr>
          <w:b/>
          <w:bCs/>
        </w:rPr>
        <w:t>Snir Barzilay:</w:t>
      </w:r>
      <w:r>
        <w:rPr/>
        <w:t xml:space="preserve"> Conceptualization, Writing - Review &amp; Editing</w:t>
      </w:r>
    </w:p>
    <w:p>
      <w:pPr>
        <w:pStyle w:val="Compact"/>
        <w:numPr>
          <w:ilvl w:val="0"/>
          <w:numId w:val="1"/>
        </w:numPr>
        <w:rPr/>
      </w:pPr>
      <w:r>
        <w:rPr>
          <w:b/>
          <w:bCs/>
        </w:rPr>
        <w:t>Jonathan D. Huppert:</w:t>
      </w:r>
      <w:r>
        <w:rPr/>
        <w:t xml:space="preserve"> Conceptualization, Supervision, Resources, Writing - Review &amp; Editing, Funding acquisition</w:t>
      </w:r>
      <w:bookmarkEnd w:id="53"/>
    </w:p>
    <w:p>
      <w:pPr>
        <w:pStyle w:val="Heading3"/>
        <w:rPr/>
      </w:pPr>
      <w:bookmarkStart w:id="54" w:name="conflicts-of-interest"/>
      <w:r>
        <w:rPr/>
        <w:t>Conflicts of Interest.</w:t>
      </w:r>
    </w:p>
    <w:p>
      <w:pPr>
        <w:pStyle w:val="FirstParagraph"/>
        <w:rPr/>
      </w:pPr>
      <w:bookmarkStart w:id="55" w:name="conflicts-of-interest"/>
      <w:r>
        <w:rPr/>
        <w:t>The authors declare that there were no conflicts of interest with respect to the authorship or the publication of this article.</w:t>
      </w:r>
      <w:bookmarkEnd w:id="55"/>
    </w:p>
    <w:p>
      <w:pPr>
        <w:pStyle w:val="Heading3"/>
        <w:rPr/>
      </w:pPr>
      <w:bookmarkStart w:id="56" w:name="funding"/>
      <w:bookmarkEnd w:id="56"/>
      <w:r>
        <w:rPr/>
        <w:t>Funding.</w:t>
      </w:r>
    </w:p>
    <w:p>
      <w:pPr>
        <w:pStyle w:val="FirstParagraph"/>
        <w:rPr/>
      </w:pPr>
      <w:r>
        <w:rPr/>
        <w:t>This work was supported by the Israel Science Foundation (ISF 1905/20) awarded to Jonathan Huppert, Sam and Helen Beber Chair of Clinical Psychology, and by the Society for Psychotherapy Research (SPR) small research grant 2023 awarded to Elad Zlotnick.</w:t>
      </w:r>
    </w:p>
    <w:p>
      <w:pPr>
        <w:pStyle w:val="Normal"/>
        <w:rPr/>
      </w:pPr>
      <w:r>
        <w:rPr/>
      </w:r>
      <w:bookmarkStart w:id="57" w:name="discussion"/>
      <w:bookmarkStart w:id="58" w:name="Xe2b067ee59b06d78adc3990c4e6cd963ede6858"/>
      <w:bookmarkStart w:id="59" w:name="funding"/>
      <w:bookmarkStart w:id="60" w:name="discussion"/>
      <w:bookmarkStart w:id="61" w:name="Xe2b067ee59b06d78adc3990c4e6cd963ede6858"/>
      <w:bookmarkStart w:id="62" w:name="funding"/>
      <w:bookmarkEnd w:id="60"/>
      <w:bookmarkEnd w:id="61"/>
      <w:bookmarkEnd w:id="62"/>
      <w:r>
        <w:br w:type="page"/>
      </w:r>
    </w:p>
    <w:p>
      <w:pPr>
        <w:pStyle w:val="Heading1"/>
        <w:rPr/>
      </w:pPr>
      <w:bookmarkStart w:id="63" w:name="references"/>
      <w:r>
        <w:rPr/>
        <w:t>References</w:t>
      </w:r>
    </w:p>
    <w:p>
      <w:pPr>
        <w:pStyle w:val="Bibliography"/>
        <w:rPr/>
      </w:pPr>
      <w:bookmarkStart w:id="64" w:name="refs"/>
      <w:bookmarkStart w:id="65" w:name="X73fc2fa593475e0be5d24e144e64fbbb1fb8941"/>
      <w:r>
        <w:rPr/>
        <w:t xml:space="preserve">Abramowitz, J. S. (2006). The Psychological Treatment of Obsessive—Compulsive Disorder. </w:t>
      </w:r>
      <w:r>
        <w:rPr>
          <w:i/>
          <w:iCs/>
        </w:rPr>
        <w:t>The Canadian Journal of Psychiatry</w:t>
      </w:r>
      <w:r>
        <w:rPr/>
        <w:t xml:space="preserve">, </w:t>
      </w:r>
      <w:r>
        <w:rPr>
          <w:i/>
          <w:iCs/>
        </w:rPr>
        <w:t>51</w:t>
      </w:r>
      <w:r>
        <w:rPr/>
        <w:t>(7), 407–416.</w:t>
      </w:r>
      <w:bookmarkEnd w:id="65"/>
    </w:p>
    <w:p>
      <w:pPr>
        <w:pStyle w:val="Bibliography"/>
        <w:rPr/>
      </w:pPr>
      <w:bookmarkStart w:id="66" w:name="X79acd31114d03a90c69c782e48c113887a33fec"/>
      <w:r>
        <w:rPr/>
        <w:t xml:space="preserve">Andersson, G., Hesser, H., Hummerdal, D., Bergman-Nordgren, L., &amp; Carlbring, P. (2013). A 3.5-year follow-up of Internet-delivered cognitive behavior therapy for major depression. </w:t>
      </w:r>
      <w:r>
        <w:rPr>
          <w:i/>
          <w:iCs/>
        </w:rPr>
        <w:t>Journal of Mental Health</w:t>
      </w:r>
      <w:r>
        <w:rPr/>
        <w:t xml:space="preserve">, </w:t>
      </w:r>
      <w:r>
        <w:rPr>
          <w:i/>
          <w:iCs/>
        </w:rPr>
        <w:t>22</w:t>
      </w:r>
      <w:r>
        <w:rPr/>
        <w:t xml:space="preserve">(2), 155–164. </w:t>
      </w:r>
      <w:hyperlink r:id="rId8">
        <w:r>
          <w:rPr>
            <w:rStyle w:val="InternetLink"/>
          </w:rPr>
          <w:t>https://doi.org/10.3109/09638237.2011.608747</w:t>
        </w:r>
      </w:hyperlink>
      <w:bookmarkEnd w:id="66"/>
    </w:p>
    <w:p>
      <w:pPr>
        <w:pStyle w:val="Bibliography"/>
        <w:rPr/>
      </w:pPr>
      <w:bookmarkStart w:id="67" w:name="X0917e160e1f40ce705d4e2e3369a61c883c1f8d"/>
      <w:r>
        <w:rPr/>
        <w:t xml:space="preserve">Andersson, G., Titov, N., Dear, B. F., Rozental, A., &amp; Carlbring, P. (2019). Internet-delivered psychological treatments: from innovation to implementation. </w:t>
      </w:r>
      <w:r>
        <w:rPr>
          <w:i/>
          <w:iCs/>
        </w:rPr>
        <w:t>World psychiatry: official journal of the World Psychiatric Association (WPA)</w:t>
      </w:r>
      <w:r>
        <w:rPr/>
        <w:t xml:space="preserve">, </w:t>
      </w:r>
      <w:r>
        <w:rPr>
          <w:i/>
          <w:iCs/>
        </w:rPr>
        <w:t>18</w:t>
      </w:r>
      <w:r>
        <w:rPr/>
        <w:t xml:space="preserve">(1), 20–28. </w:t>
      </w:r>
      <w:hyperlink r:id="rId9">
        <w:r>
          <w:rPr>
            <w:rStyle w:val="InternetLink"/>
          </w:rPr>
          <w:t>https://doi.org/10.1002/wps.20610</w:t>
        </w:r>
      </w:hyperlink>
      <w:bookmarkEnd w:id="67"/>
    </w:p>
    <w:p>
      <w:pPr>
        <w:pStyle w:val="Bibliography"/>
        <w:rPr/>
      </w:pPr>
      <w:bookmarkStart w:id="68" w:name="ref-asnaaniUpdatingWatsonMarks2016"/>
      <w:r>
        <w:rPr/>
        <w:t xml:space="preserve">Asnaani, A., McLean, C. P., &amp; Foa, E. B. (2016). Updating Watson &amp; Marks (1971): How Has Our Understanding of the Mechanisms of Extinction Learning Evolved and Where Is Our Field Going Next? </w:t>
      </w:r>
      <w:r>
        <w:rPr>
          <w:i/>
          <w:iCs/>
        </w:rPr>
        <w:t>Behavior Therapy</w:t>
      </w:r>
      <w:r>
        <w:rPr/>
        <w:t xml:space="preserve">, </w:t>
      </w:r>
      <w:r>
        <w:rPr>
          <w:i/>
          <w:iCs/>
        </w:rPr>
        <w:t>47</w:t>
      </w:r>
      <w:r>
        <w:rPr/>
        <w:t xml:space="preserve">(5), 654–668. </w:t>
      </w:r>
      <w:hyperlink r:id="rId10">
        <w:r>
          <w:rPr>
            <w:rStyle w:val="InternetLink"/>
          </w:rPr>
          <w:t>https://doi.org/10.1016/j.beth.2016.02.003</w:t>
        </w:r>
      </w:hyperlink>
      <w:bookmarkEnd w:id="68"/>
    </w:p>
    <w:p>
      <w:pPr>
        <w:pStyle w:val="Bibliography"/>
        <w:rPr/>
      </w:pPr>
      <w:bookmarkStart w:id="69" w:name="ref-baldwinAnalyzingMultipleOutcomes2014"/>
      <w:r>
        <w:rPr/>
        <w:t xml:space="preserve">Baldwin, S. A., Imel, Z. E., Braithwaite, S. R., &amp; Atkins, D. C. (2014). Analyzing multiple outcomes in clinical research using multivariate multilevel models. </w:t>
      </w:r>
      <w:r>
        <w:rPr>
          <w:i/>
          <w:iCs/>
        </w:rPr>
        <w:t>Journal of Consulting and Clinical Psychology</w:t>
      </w:r>
      <w:r>
        <w:rPr/>
        <w:t xml:space="preserve">, </w:t>
      </w:r>
      <w:r>
        <w:rPr>
          <w:i/>
          <w:iCs/>
        </w:rPr>
        <w:t>82</w:t>
      </w:r>
      <w:r>
        <w:rPr/>
        <w:t xml:space="preserve">(5), 920–930. </w:t>
      </w:r>
      <w:hyperlink r:id="rId11">
        <w:r>
          <w:rPr>
            <w:rStyle w:val="InternetLink"/>
          </w:rPr>
          <w:t>https://doi.org/10.1037/a0035628</w:t>
        </w:r>
      </w:hyperlink>
      <w:bookmarkEnd w:id="69"/>
    </w:p>
    <w:p>
      <w:pPr>
        <w:pStyle w:val="Bibliography"/>
        <w:rPr/>
      </w:pPr>
      <w:bookmarkStart w:id="70" w:name="ref-barnettRegressionMeanWhat2005"/>
      <w:r>
        <w:rPr/>
        <w:t xml:space="preserve">Barnett, A. G., van der Pols, J. C., &amp; Dobson, A. J. (2005). Regression to the mean: what it is and how to deal with it. </w:t>
      </w:r>
      <w:r>
        <w:rPr>
          <w:i/>
          <w:iCs/>
        </w:rPr>
        <w:t>International Journal of Epidemiology</w:t>
      </w:r>
      <w:r>
        <w:rPr/>
        <w:t xml:space="preserve">, </w:t>
      </w:r>
      <w:r>
        <w:rPr>
          <w:i/>
          <w:iCs/>
        </w:rPr>
        <w:t>34</w:t>
      </w:r>
      <w:r>
        <w:rPr/>
        <w:t xml:space="preserve">(1), 215–220. </w:t>
      </w:r>
      <w:hyperlink r:id="rId12">
        <w:r>
          <w:rPr>
            <w:rStyle w:val="InternetLink"/>
          </w:rPr>
          <w:t>https://doi.org/10.1093/ije/dyh299</w:t>
        </w:r>
      </w:hyperlink>
      <w:bookmarkEnd w:id="70"/>
    </w:p>
    <w:p>
      <w:pPr>
        <w:pStyle w:val="Bibliography"/>
        <w:rPr/>
      </w:pPr>
      <w:bookmarkStart w:id="71" w:name="Xb1f908e9c2fec413b0337dc08ef7717b94bcd98"/>
      <w:r>
        <w:rPr/>
        <w:t xml:space="preserve">Becker, B. J. (1988). Synthesizing standardized mean-change measures. </w:t>
      </w:r>
      <w:r>
        <w:rPr>
          <w:i/>
          <w:iCs/>
        </w:rPr>
        <w:t>British Journal of Mathematical and Statistical Psychology</w:t>
      </w:r>
      <w:r>
        <w:rPr/>
        <w:t xml:space="preserve">, </w:t>
      </w:r>
      <w:r>
        <w:rPr>
          <w:i/>
          <w:iCs/>
        </w:rPr>
        <w:t>41</w:t>
      </w:r>
      <w:r>
        <w:rPr/>
        <w:t xml:space="preserve">(2), 257–278. </w:t>
      </w:r>
      <w:hyperlink r:id="rId13">
        <w:r>
          <w:rPr>
            <w:rStyle w:val="InternetLink"/>
          </w:rPr>
          <w:t>https://doi.org/10.1111/j.2044-8317.1988.tb00901.x</w:t>
        </w:r>
      </w:hyperlink>
      <w:bookmarkEnd w:id="71"/>
    </w:p>
    <w:p>
      <w:pPr>
        <w:pStyle w:val="Bibliography"/>
        <w:rPr/>
      </w:pPr>
      <w:bookmarkStart w:id="72" w:name="ref-bergAreEmotionsFrightening1998"/>
      <w:r>
        <w:rPr/>
        <w:t xml:space="preserve">Berg, C. Z., Shapiro, N., Chambless, D. L., &amp; Ahrens, A. H. (1998). Are emotions frightening? II: an analogue study of fear of emotion, interpersonal conflict, and panic onset1. </w:t>
      </w:r>
      <w:r>
        <w:rPr>
          <w:i/>
          <w:iCs/>
        </w:rPr>
        <w:t>Behaviour Research and Therapy</w:t>
      </w:r>
      <w:r>
        <w:rPr/>
        <w:t xml:space="preserve">, </w:t>
      </w:r>
      <w:r>
        <w:rPr>
          <w:i/>
          <w:iCs/>
        </w:rPr>
        <w:t>36</w:t>
      </w:r>
      <w:r>
        <w:rPr/>
        <w:t xml:space="preserve">(1), 3–15. </w:t>
      </w:r>
      <w:hyperlink r:id="rId14">
        <w:r>
          <w:rPr>
            <w:rStyle w:val="InternetLink"/>
          </w:rPr>
          <w:t>https://doi.org/10.1016/S0005-7967(97)10027-4</w:t>
        </w:r>
      </w:hyperlink>
      <w:bookmarkEnd w:id="72"/>
    </w:p>
    <w:p>
      <w:pPr>
        <w:pStyle w:val="Bibliography"/>
        <w:rPr/>
      </w:pPr>
      <w:bookmarkStart w:id="73" w:name="X3e51b155404fd89f2a0d5d95946086a9b3346f9"/>
      <w:r>
        <w:rPr/>
        <w:t xml:space="preserve">Bodner, T. E., &amp; Bliese, P. D. (2018). Detecting and differentiating the direction of change and intervention effects in randomized trials. </w:t>
      </w:r>
      <w:r>
        <w:rPr>
          <w:i/>
          <w:iCs/>
        </w:rPr>
        <w:t>The Journal of Applied Psychology</w:t>
      </w:r>
      <w:r>
        <w:rPr/>
        <w:t xml:space="preserve">, </w:t>
      </w:r>
      <w:r>
        <w:rPr>
          <w:i/>
          <w:iCs/>
        </w:rPr>
        <w:t>103</w:t>
      </w:r>
      <w:r>
        <w:rPr/>
        <w:t xml:space="preserve">(1), 37–53. </w:t>
      </w:r>
      <w:hyperlink r:id="rId15">
        <w:r>
          <w:rPr>
            <w:rStyle w:val="InternetLink"/>
          </w:rPr>
          <w:t>https://doi.org/10.1037/apl0000251</w:t>
        </w:r>
      </w:hyperlink>
      <w:bookmarkEnd w:id="73"/>
    </w:p>
    <w:p>
      <w:pPr>
        <w:pStyle w:val="Bibliography"/>
        <w:rPr/>
      </w:pPr>
      <w:bookmarkStart w:id="74" w:name="ref-boffaDistressToleranceMechanism2018"/>
      <w:r>
        <w:rPr/>
        <w:t xml:space="preserve">Boffa, J. W., Short, N. A., Gibby, B. A., Stentz, L. A., &amp; Schmidt, N. B. (2018). Distress tolerance as a mechanism of PTSD symptom change: Evidence for mediation in a treatment-seeking sample. </w:t>
      </w:r>
      <w:r>
        <w:rPr>
          <w:i/>
          <w:iCs/>
        </w:rPr>
        <w:t>Psychiatry Research</w:t>
      </w:r>
      <w:r>
        <w:rPr/>
        <w:t xml:space="preserve">, </w:t>
      </w:r>
      <w:r>
        <w:rPr>
          <w:i/>
          <w:iCs/>
        </w:rPr>
        <w:t>267</w:t>
      </w:r>
      <w:r>
        <w:rPr/>
        <w:t xml:space="preserve">, 400–408. </w:t>
      </w:r>
      <w:hyperlink r:id="rId16">
        <w:r>
          <w:rPr>
            <w:rStyle w:val="InternetLink"/>
          </w:rPr>
          <w:t>https://doi.org/10.1016/j.psychres.2018.03.085</w:t>
        </w:r>
      </w:hyperlink>
      <w:bookmarkEnd w:id="74"/>
    </w:p>
    <w:p>
      <w:pPr>
        <w:pStyle w:val="Bibliography"/>
        <w:rPr/>
      </w:pPr>
      <w:bookmarkStart w:id="75" w:name="ref-bollenLatentCurveModels2006"/>
      <w:r>
        <w:rPr/>
        <w:t xml:space="preserve">Bollen, K. A., &amp; Curran, P. J. (2006). </w:t>
      </w:r>
      <w:r>
        <w:rPr>
          <w:i/>
          <w:iCs/>
        </w:rPr>
        <w:t>Latent Curve Models: A Structural Equation Perspective</w:t>
      </w:r>
      <w:r>
        <w:rPr/>
        <w:t>. Wiley.</w:t>
      </w:r>
      <w:bookmarkEnd w:id="75"/>
    </w:p>
    <w:p>
      <w:pPr>
        <w:pStyle w:val="Bibliography"/>
        <w:rPr/>
      </w:pPr>
      <w:bookmarkStart w:id="76" w:name="Xbb6d03f241d06c5e9092425f9ecf94c418d656b"/>
      <w:r>
        <w:rPr/>
        <w:t xml:space="preserve">Brewin, C. R. (1996). THEORETICAL FOUNDATIONS OF COGNITIVE-BEHAVIOR THERAPY FOR ANXIETY AND DEPRESSION. </w:t>
      </w:r>
      <w:r>
        <w:rPr>
          <w:i/>
          <w:iCs/>
        </w:rPr>
        <w:t>Annual Review of Psychology</w:t>
      </w:r>
      <w:r>
        <w:rPr/>
        <w:t xml:space="preserve">, </w:t>
      </w:r>
      <w:r>
        <w:rPr>
          <w:i/>
          <w:iCs/>
        </w:rPr>
        <w:t>47</w:t>
      </w:r>
      <w:r>
        <w:rPr/>
        <w:t xml:space="preserve">(Volume 47, 1996), 33–57. </w:t>
      </w:r>
      <w:hyperlink r:id="rId17">
        <w:r>
          <w:rPr>
            <w:rStyle w:val="InternetLink"/>
          </w:rPr>
          <w:t>https://doi.org/10.1146/annurev.psych.47.1.33</w:t>
        </w:r>
      </w:hyperlink>
      <w:bookmarkEnd w:id="76"/>
    </w:p>
    <w:p>
      <w:pPr>
        <w:pStyle w:val="Bibliography"/>
        <w:rPr/>
      </w:pPr>
      <w:bookmarkStart w:id="77" w:name="X3628d52f6d53f4963630904fef9699bc3c446da"/>
      <w:r>
        <w:rPr/>
        <w:t xml:space="preserve">Cáncer, P. F., Estrada, E., Ollero, M. J. F., &amp; Ferrer, E. (2021). Dynamical Properties and Conceptual Interpretation of Latent Change Score Models. </w:t>
      </w:r>
      <w:r>
        <w:rPr>
          <w:i/>
          <w:iCs/>
        </w:rPr>
        <w:t>Frontiers in Psychology</w:t>
      </w:r>
      <w:r>
        <w:rPr/>
        <w:t xml:space="preserve">, </w:t>
      </w:r>
      <w:r>
        <w:rPr>
          <w:i/>
          <w:iCs/>
        </w:rPr>
        <w:t>12</w:t>
      </w:r>
      <w:r>
        <w:rPr/>
        <w:t xml:space="preserve">. </w:t>
      </w:r>
      <w:hyperlink r:id="rId18">
        <w:r>
          <w:rPr>
            <w:rStyle w:val="InternetLink"/>
          </w:rPr>
          <w:t>https://doi.org/10.3389/fpsyg.2021.696419</w:t>
        </w:r>
      </w:hyperlink>
      <w:bookmarkEnd w:id="77"/>
    </w:p>
    <w:p>
      <w:pPr>
        <w:pStyle w:val="Bibliography"/>
        <w:rPr/>
      </w:pPr>
      <w:bookmarkStart w:id="78" w:name="X604ac676f5a8d24ace559cb51b30c214cb317f7"/>
      <w:r>
        <w:rPr/>
        <w:t xml:space="preserve">Carlbring, P., Maurin, L., Törngren, C., Linna, E., Eriksson, T., Sparthan, E., Strååt, M., Marquez von Hage, C., Bergman-Nordgren, L., &amp; Andersson, G. (2011). Individually-tailored, Internet-based treatment for anxiety disorders: A randomized controlled trial. </w:t>
      </w:r>
      <w:r>
        <w:rPr>
          <w:i/>
          <w:iCs/>
        </w:rPr>
        <w:t>Behaviour Research and Therapy</w:t>
      </w:r>
      <w:r>
        <w:rPr/>
        <w:t xml:space="preserve">, </w:t>
      </w:r>
      <w:r>
        <w:rPr>
          <w:i/>
          <w:iCs/>
        </w:rPr>
        <w:t>49</w:t>
      </w:r>
      <w:r>
        <w:rPr/>
        <w:t xml:space="preserve">(1), 18–24. </w:t>
      </w:r>
      <w:hyperlink r:id="rId19">
        <w:r>
          <w:rPr>
            <w:rStyle w:val="InternetLink"/>
          </w:rPr>
          <w:t>https://doi.org/10.1016/j.brat.2010.10.002</w:t>
        </w:r>
      </w:hyperlink>
      <w:bookmarkEnd w:id="78"/>
    </w:p>
    <w:p>
      <w:pPr>
        <w:pStyle w:val="Bibliography"/>
        <w:rPr/>
      </w:pPr>
      <w:bookmarkStart w:id="79" w:name="Xd5adaec9c66633dc31ea31fdd5fcf25aef87367"/>
      <w:r>
        <w:rPr/>
        <w:t xml:space="preserve">Carpenter, B., Gelman, A., Hoffman, M. D., Lee, D., Goodrich, B., Betancourt, M., Brubaker, M. A., Guo, J., Li, P., &amp; Riddell, A. (2017). Stan: A Probabilistic Programming Language. </w:t>
      </w:r>
      <w:r>
        <w:rPr>
          <w:i/>
          <w:iCs/>
        </w:rPr>
        <w:t>Journal of Statistical Software</w:t>
      </w:r>
      <w:r>
        <w:rPr/>
        <w:t xml:space="preserve">, </w:t>
      </w:r>
      <w:r>
        <w:rPr>
          <w:i/>
          <w:iCs/>
        </w:rPr>
        <w:t>76</w:t>
      </w:r>
      <w:r>
        <w:rPr/>
        <w:t xml:space="preserve">, 1. </w:t>
      </w:r>
      <w:hyperlink r:id="rId20">
        <w:r>
          <w:rPr>
            <w:rStyle w:val="InternetLink"/>
          </w:rPr>
          <w:t>https://doi.org/10.18637/jss.v076.i01</w:t>
        </w:r>
      </w:hyperlink>
      <w:bookmarkEnd w:id="79"/>
    </w:p>
    <w:p>
      <w:pPr>
        <w:pStyle w:val="Bibliography"/>
        <w:rPr/>
      </w:pPr>
      <w:bookmarkStart w:id="80" w:name="ref-cooperEmpiricalReviewPotential2017"/>
      <w:r>
        <w:rPr/>
        <w:t xml:space="preserve">Cooper, A. A., Clifton, E. G., &amp; Feeny, N. C. (2017). An empirical review of potential mediators and mechanisms of prolonged exposure therapy. </w:t>
      </w:r>
      <w:r>
        <w:rPr>
          <w:i/>
          <w:iCs/>
        </w:rPr>
        <w:t>Clinical Psychology Review</w:t>
      </w:r>
      <w:r>
        <w:rPr/>
        <w:t xml:space="preserve">, </w:t>
      </w:r>
      <w:r>
        <w:rPr>
          <w:i/>
          <w:iCs/>
        </w:rPr>
        <w:t>56</w:t>
      </w:r>
      <w:r>
        <w:rPr/>
        <w:t xml:space="preserve">, 106–121. </w:t>
      </w:r>
      <w:hyperlink r:id="rId21">
        <w:r>
          <w:rPr>
            <w:rStyle w:val="InternetLink"/>
          </w:rPr>
          <w:t>https://doi.org/10.1016/j.cpr.2017.07.003</w:t>
        </w:r>
      </w:hyperlink>
      <w:bookmarkEnd w:id="80"/>
    </w:p>
    <w:p>
      <w:pPr>
        <w:pStyle w:val="Bibliography"/>
        <w:rPr/>
      </w:pPr>
      <w:bookmarkStart w:id="81" w:name="X87bb2bd46be58214e25748c38635a099ba430db"/>
      <w:r>
        <w:rPr/>
        <w:t xml:space="preserve">Craske, M. G., Kircanski, K., Zelikowsky, M., Mystkowski, J., Chowdhury, N., &amp; Baker, A. (2008). Optimizing inhibitory learning during exposure therapy. </w:t>
      </w:r>
      <w:r>
        <w:rPr>
          <w:i/>
          <w:iCs/>
        </w:rPr>
        <w:t>Behaviour Research and Therapy</w:t>
      </w:r>
      <w:r>
        <w:rPr/>
        <w:t xml:space="preserve">, </w:t>
      </w:r>
      <w:r>
        <w:rPr>
          <w:i/>
          <w:iCs/>
        </w:rPr>
        <w:t>46</w:t>
      </w:r>
      <w:r>
        <w:rPr/>
        <w:t xml:space="preserve">(1), 5–27. </w:t>
      </w:r>
      <w:hyperlink r:id="rId22">
        <w:r>
          <w:rPr>
            <w:rStyle w:val="InternetLink"/>
          </w:rPr>
          <w:t>https://doi.org/10.1016/j.brat.2007.10.003</w:t>
        </w:r>
      </w:hyperlink>
      <w:bookmarkEnd w:id="81"/>
    </w:p>
    <w:p>
      <w:pPr>
        <w:pStyle w:val="Bibliography"/>
        <w:rPr/>
      </w:pPr>
      <w:bookmarkStart w:id="82" w:name="ref-damianDoesVariabilityHuman2010"/>
      <w:r>
        <w:rPr/>
        <w:t xml:space="preserve">Damian, M. F. (2010). Does variability in human performance outweigh imprecision in response devices such as computer keyboards? </w:t>
      </w:r>
      <w:r>
        <w:rPr>
          <w:i/>
          <w:iCs/>
        </w:rPr>
        <w:t>Behavior Research Methods</w:t>
      </w:r>
      <w:r>
        <w:rPr/>
        <w:t xml:space="preserve">, </w:t>
      </w:r>
      <w:r>
        <w:rPr>
          <w:i/>
          <w:iCs/>
        </w:rPr>
        <w:t>42</w:t>
      </w:r>
      <w:r>
        <w:rPr/>
        <w:t xml:space="preserve">(1), 205–211. </w:t>
      </w:r>
      <w:hyperlink r:id="rId23">
        <w:r>
          <w:rPr>
            <w:rStyle w:val="InternetLink"/>
          </w:rPr>
          <w:t>https://doi.org/10.3758/BRM.42.1.205</w:t>
        </w:r>
      </w:hyperlink>
      <w:bookmarkEnd w:id="82"/>
    </w:p>
    <w:p>
      <w:pPr>
        <w:pStyle w:val="Bibliography"/>
        <w:rPr/>
      </w:pPr>
      <w:bookmarkStart w:id="83" w:name="X46258ef6afb2444ed491cd7ba0e79ce9d8537ce"/>
      <w:r>
        <w:rPr/>
        <w:t xml:space="preserve">Deeprose, C., Malik, A., &amp; Holmes, E. A. (2011). Measuring Intrusive Prospective Imagery using the Impact of Future Events Scale (IFES): Psychometric properties and relation to risk for Bipolar Disorder. </w:t>
      </w:r>
      <w:r>
        <w:rPr>
          <w:i/>
          <w:iCs/>
        </w:rPr>
        <w:t>International Journal of Cognitive Therapy</w:t>
      </w:r>
      <w:r>
        <w:rPr/>
        <w:t xml:space="preserve">, </w:t>
      </w:r>
      <w:r>
        <w:rPr>
          <w:i/>
          <w:iCs/>
        </w:rPr>
        <w:t>4</w:t>
      </w:r>
      <w:r>
        <w:rPr/>
        <w:t xml:space="preserve">(2), 187–196. </w:t>
      </w:r>
      <w:hyperlink r:id="rId24">
        <w:r>
          <w:rPr>
            <w:rStyle w:val="InternetLink"/>
          </w:rPr>
          <w:t>https://doi.org/10.1521/ijct.2011.4.2.187</w:t>
        </w:r>
      </w:hyperlink>
      <w:bookmarkEnd w:id="83"/>
    </w:p>
    <w:p>
      <w:pPr>
        <w:pStyle w:val="Bibliography"/>
        <w:rPr/>
      </w:pPr>
      <w:bookmarkStart w:id="84" w:name="Xe57d33cf6f0f31479c6ae173e21db6b8c64cab6"/>
      <w:r>
        <w:rPr/>
        <w:t xml:space="preserve">Denny, B. T., &amp; Ochsner, K. N. (2014). Behavioral effects of longitudinal training in cognitive reappraisal. </w:t>
      </w:r>
      <w:r>
        <w:rPr>
          <w:i/>
          <w:iCs/>
        </w:rPr>
        <w:t>Emotion (Washington, D.C.)</w:t>
      </w:r>
      <w:r>
        <w:rPr/>
        <w:t xml:space="preserve">, </w:t>
      </w:r>
      <w:r>
        <w:rPr>
          <w:i/>
          <w:iCs/>
        </w:rPr>
        <w:t>14</w:t>
      </w:r>
      <w:r>
        <w:rPr/>
        <w:t xml:space="preserve">(2), 425–433. </w:t>
      </w:r>
      <w:hyperlink r:id="rId25">
        <w:r>
          <w:rPr>
            <w:rStyle w:val="InternetLink"/>
          </w:rPr>
          <w:t>https://doi.org/10.1037/a0035276</w:t>
        </w:r>
      </w:hyperlink>
      <w:bookmarkEnd w:id="84"/>
    </w:p>
    <w:p>
      <w:pPr>
        <w:pStyle w:val="Bibliography"/>
        <w:rPr/>
      </w:pPr>
      <w:bookmarkStart w:id="85" w:name="X58cb50eee1b9001eedacbd2a77d127b0550d028"/>
      <w:r>
        <w:rPr/>
        <w:t xml:space="preserve">Devilly, G. J., &amp; Borkovec, T. D. (2000). Psychometric properties of the credibility/expectancy questionnaire. </w:t>
      </w:r>
      <w:r>
        <w:rPr>
          <w:i/>
          <w:iCs/>
        </w:rPr>
        <w:t>Journal of Behavior Therapy and Experimental Psychiatry</w:t>
      </w:r>
      <w:r>
        <w:rPr/>
        <w:t xml:space="preserve">, </w:t>
      </w:r>
      <w:r>
        <w:rPr>
          <w:i/>
          <w:iCs/>
        </w:rPr>
        <w:t>31</w:t>
      </w:r>
      <w:r>
        <w:rPr/>
        <w:t xml:space="preserve">(2), 73–86. </w:t>
      </w:r>
      <w:hyperlink r:id="rId26">
        <w:r>
          <w:rPr>
            <w:rStyle w:val="InternetLink"/>
          </w:rPr>
          <w:t>https://doi.org/10.1016/s0005-7916(00)00012-4</w:t>
        </w:r>
      </w:hyperlink>
      <w:bookmarkEnd w:id="85"/>
    </w:p>
    <w:p>
      <w:pPr>
        <w:pStyle w:val="Bibliography"/>
        <w:rPr/>
      </w:pPr>
      <w:bookmarkStart w:id="86" w:name="ref-driessenDoesPretreatmentSeverity2010"/>
      <w:r>
        <w:rPr/>
        <w:t xml:space="preserve">Driessen, E., Cuijpers, P., Hollon, S. D., &amp; Dekker, J. J. M. (2010). Does pretreatment severity moderate the efficacy of psychological treatment of adult outpatient depression? A meta-analysis. </w:t>
      </w:r>
      <w:r>
        <w:rPr>
          <w:i/>
          <w:iCs/>
        </w:rPr>
        <w:t>Journal of Consulting and Clinical Psychology</w:t>
      </w:r>
      <w:r>
        <w:rPr/>
        <w:t xml:space="preserve">, </w:t>
      </w:r>
      <w:r>
        <w:rPr>
          <w:i/>
          <w:iCs/>
        </w:rPr>
        <w:t>78</w:t>
      </w:r>
      <w:r>
        <w:rPr/>
        <w:t xml:space="preserve">(5), 668–680. </w:t>
      </w:r>
      <w:hyperlink r:id="rId27">
        <w:r>
          <w:rPr>
            <w:rStyle w:val="InternetLink"/>
          </w:rPr>
          <w:t>https://doi.org/10.1037/a0020570</w:t>
        </w:r>
      </w:hyperlink>
      <w:bookmarkEnd w:id="86"/>
    </w:p>
    <w:p>
      <w:pPr>
        <w:pStyle w:val="Bibliography"/>
        <w:rPr/>
      </w:pPr>
      <w:bookmarkStart w:id="87" w:name="ref-eaglesonPowerPositiveThinking2016"/>
      <w:r>
        <w:rPr/>
        <w:t xml:space="preserve">Eagleson, C., Hayes, S., Mathews, A., Perman, G., &amp; Hirsch, C. R. (2016). The power of positive thinking: Pathological worry is reduced by thought replacement in Generalized Anxiety Disorder. </w:t>
      </w:r>
      <w:r>
        <w:rPr>
          <w:i/>
          <w:iCs/>
        </w:rPr>
        <w:t>Behaviour Research and Therapy</w:t>
      </w:r>
      <w:r>
        <w:rPr/>
        <w:t xml:space="preserve">, </w:t>
      </w:r>
      <w:r>
        <w:rPr>
          <w:i/>
          <w:iCs/>
        </w:rPr>
        <w:t>78</w:t>
      </w:r>
      <w:r>
        <w:rPr/>
        <w:t xml:space="preserve">, 13–18. </w:t>
      </w:r>
      <w:hyperlink r:id="rId28">
        <w:r>
          <w:rPr>
            <w:rStyle w:val="InternetLink"/>
          </w:rPr>
          <w:t>https://doi.org/10.1016/j.brat.2015.12.017</w:t>
        </w:r>
      </w:hyperlink>
      <w:bookmarkEnd w:id="87"/>
    </w:p>
    <w:p>
      <w:pPr>
        <w:pStyle w:val="Bibliography"/>
        <w:rPr/>
      </w:pPr>
      <w:bookmarkStart w:id="88" w:name="ref-eronenCausalDiscoveryProblem2020"/>
      <w:r>
        <w:rPr/>
        <w:t xml:space="preserve">Eronen, M. I. (2020). Causal discovery and the problem of psychological interventions. </w:t>
      </w:r>
      <w:r>
        <w:rPr>
          <w:i/>
          <w:iCs/>
        </w:rPr>
        <w:t>New Ideas in Psychology</w:t>
      </w:r>
      <w:r>
        <w:rPr/>
        <w:t xml:space="preserve">, </w:t>
      </w:r>
      <w:r>
        <w:rPr>
          <w:i/>
          <w:iCs/>
        </w:rPr>
        <w:t>59</w:t>
      </w:r>
      <w:r>
        <w:rPr/>
        <w:t xml:space="preserve">, 100785. </w:t>
      </w:r>
      <w:hyperlink r:id="rId29">
        <w:r>
          <w:rPr>
            <w:rStyle w:val="InternetLink"/>
          </w:rPr>
          <w:t>https://doi.org/10.1016/j.newideapsych.2020.100785</w:t>
        </w:r>
      </w:hyperlink>
      <w:bookmarkEnd w:id="88"/>
    </w:p>
    <w:p>
      <w:pPr>
        <w:pStyle w:val="Bibliography"/>
        <w:rPr/>
      </w:pPr>
      <w:bookmarkStart w:id="89" w:name="Xca11ce1c540fbfa0d9497a79bd0bd2c57efd72e"/>
      <w:r>
        <w:rPr/>
        <w:t xml:space="preserve">Esfandiari, N., Mazaheri, M. A., Akbari-Zardkhaneh, S., Sadeghi-Firoozabadi, V., &amp; Cheraghi, M. (2021). Internet-Delivered Versus Face-to-Face Cognitive Behavior Therapy for Anxiety Disorders: Systematic Review and Meta-Analysis. </w:t>
      </w:r>
      <w:r>
        <w:rPr>
          <w:i/>
          <w:iCs/>
        </w:rPr>
        <w:t>International Journal of Preventive Medicine</w:t>
      </w:r>
      <w:r>
        <w:rPr/>
        <w:t xml:space="preserve">, </w:t>
      </w:r>
      <w:r>
        <w:rPr>
          <w:i/>
          <w:iCs/>
        </w:rPr>
        <w:t>12</w:t>
      </w:r>
      <w:r>
        <w:rPr/>
        <w:t xml:space="preserve">, 153. </w:t>
      </w:r>
      <w:hyperlink r:id="rId30">
        <w:r>
          <w:rPr>
            <w:rStyle w:val="InternetLink"/>
          </w:rPr>
          <w:t>https://doi.org/10.4103/ijpvm.ijpvm_208_21</w:t>
        </w:r>
      </w:hyperlink>
      <w:bookmarkEnd w:id="89"/>
    </w:p>
    <w:p>
      <w:pPr>
        <w:pStyle w:val="Bibliography"/>
        <w:rPr/>
      </w:pPr>
      <w:bookmarkStart w:id="90" w:name="ref-foaHabituationSubjectiveAnxiety1978"/>
      <w:r>
        <w:rPr/>
        <w:t xml:space="preserve">Foa, E. B., &amp; Chambless, D. L. (1978). Habituation of subjective anxiety during flooding in imagery. </w:t>
      </w:r>
      <w:r>
        <w:rPr>
          <w:i/>
          <w:iCs/>
        </w:rPr>
        <w:t>Behaviour Research and Therapy</w:t>
      </w:r>
      <w:r>
        <w:rPr/>
        <w:t xml:space="preserve">, </w:t>
      </w:r>
      <w:r>
        <w:rPr>
          <w:i/>
          <w:iCs/>
        </w:rPr>
        <w:t>16</w:t>
      </w:r>
      <w:r>
        <w:rPr/>
        <w:t xml:space="preserve">(6), 391–399. </w:t>
      </w:r>
      <w:hyperlink r:id="rId31">
        <w:r>
          <w:rPr>
            <w:rStyle w:val="InternetLink"/>
          </w:rPr>
          <w:t>https://doi.org/10.1016/0005-7967(78)90010-4</w:t>
        </w:r>
      </w:hyperlink>
      <w:bookmarkEnd w:id="90"/>
    </w:p>
    <w:p>
      <w:pPr>
        <w:pStyle w:val="Bibliography"/>
        <w:rPr/>
      </w:pPr>
      <w:bookmarkStart w:id="91" w:name="ref-foaEmotionalProcessingTheory2006"/>
      <w:r>
        <w:rPr/>
        <w:t xml:space="preserve">Foa, E. B., Huppert, J. D., Cahill, S. P., &amp; Rothbaum, B. O. (2006). Emotional Processing Theory: An Update. In </w:t>
      </w:r>
      <w:r>
        <w:rPr>
          <w:i/>
          <w:iCs/>
        </w:rPr>
        <w:t>Pathological anxiety: Emotional processing in etiology and treatment</w:t>
      </w:r>
      <w:r>
        <w:rPr/>
        <w:t xml:space="preserve"> (pp. pp. 3–24). Guilford Press.</w:t>
      </w:r>
      <w:bookmarkEnd w:id="91"/>
    </w:p>
    <w:p>
      <w:pPr>
        <w:pStyle w:val="Bibliography"/>
        <w:rPr/>
      </w:pPr>
      <w:bookmarkStart w:id="92" w:name="ref-foaEmotionalProcessingFear1986"/>
      <w:r>
        <w:rPr/>
        <w:t xml:space="preserve">Foa, E. B., &amp; Kozak, M. J. (1986). Emotional processing of fear: Exposure to corrective information. </w:t>
      </w:r>
      <w:r>
        <w:rPr>
          <w:i/>
          <w:iCs/>
        </w:rPr>
        <w:t>Psychological Bulletin</w:t>
      </w:r>
      <w:r>
        <w:rPr/>
        <w:t xml:space="preserve">, </w:t>
      </w:r>
      <w:r>
        <w:rPr>
          <w:i/>
          <w:iCs/>
        </w:rPr>
        <w:t>99</w:t>
      </w:r>
      <w:r>
        <w:rPr/>
        <w:t xml:space="preserve">(1), 20–35. </w:t>
      </w:r>
      <w:hyperlink r:id="rId32">
        <w:r>
          <w:rPr>
            <w:rStyle w:val="InternetLink"/>
          </w:rPr>
          <w:t>https://doi.org/10.1037/0033-2909.99.1.20</w:t>
        </w:r>
      </w:hyperlink>
      <w:bookmarkEnd w:id="92"/>
    </w:p>
    <w:p>
      <w:pPr>
        <w:pStyle w:val="Bibliography"/>
        <w:rPr/>
      </w:pPr>
      <w:bookmarkStart w:id="93" w:name="ref-foaTreatingYourOCD2012"/>
      <w:r>
        <w:rPr/>
        <w:t xml:space="preserve">Foa, E. B., Yadin, E., &amp; Lichner, T. K. (2012). </w:t>
      </w:r>
      <w:r>
        <w:rPr>
          <w:i/>
          <w:iCs/>
        </w:rPr>
        <w:t>Treating Your OCD with Exposure and Response (Ritual) Prevention Workbook</w:t>
      </w:r>
      <w:r>
        <w:rPr/>
        <w:t>. OUP USA.</w:t>
      </w:r>
      <w:bookmarkEnd w:id="93"/>
    </w:p>
    <w:p>
      <w:pPr>
        <w:pStyle w:val="Bibliography"/>
        <w:rPr/>
      </w:pPr>
      <w:bookmarkStart w:id="94" w:name="ref-fowlerBriefCoreSchema2006"/>
      <w:r>
        <w:rPr/>
        <w:t xml:space="preserve">Fowler, D., Freeman, D., Smith, B., Kuipers, E., Bebbington, P., Bashforth, H., Coker, S., Hodgekins, J., Gracie, A., Dunn, G., &amp; Garety, P. (2006). The Brief Core Schema Scales (BCSS): psychometric properties and associations with paranoia and grandiosity in non-clinical and psychosis samples. </w:t>
      </w:r>
      <w:r>
        <w:rPr>
          <w:i/>
          <w:iCs/>
        </w:rPr>
        <w:t>Psychological Medicine</w:t>
      </w:r>
      <w:r>
        <w:rPr/>
        <w:t xml:space="preserve">, </w:t>
      </w:r>
      <w:r>
        <w:rPr>
          <w:i/>
          <w:iCs/>
        </w:rPr>
        <w:t>36</w:t>
      </w:r>
      <w:r>
        <w:rPr/>
        <w:t xml:space="preserve">(6), 749–759. </w:t>
      </w:r>
      <w:hyperlink r:id="rId33">
        <w:r>
          <w:rPr>
            <w:rStyle w:val="InternetLink"/>
          </w:rPr>
          <w:t>https://doi.org/10.1017/S0033291706007355</w:t>
        </w:r>
      </w:hyperlink>
      <w:bookmarkEnd w:id="94"/>
    </w:p>
    <w:p>
      <w:pPr>
        <w:pStyle w:val="Bibliography"/>
        <w:rPr/>
      </w:pPr>
      <w:bookmarkStart w:id="95" w:name="Xe67165d4cefa06c8e58c09786d70e5f4d553129"/>
      <w:r>
        <w:rPr/>
        <w:t xml:space="preserve">Fracalanza, K., Koerner, N., &amp; Antony, M. M. (2014). Testing a procedural variant of written imaginal exposure for generalized anxiety disorder. </w:t>
      </w:r>
      <w:r>
        <w:rPr>
          <w:i/>
          <w:iCs/>
        </w:rPr>
        <w:t>Journal of Anxiety Disorders</w:t>
      </w:r>
      <w:r>
        <w:rPr/>
        <w:t xml:space="preserve">, </w:t>
      </w:r>
      <w:r>
        <w:rPr>
          <w:i/>
          <w:iCs/>
        </w:rPr>
        <w:t>28</w:t>
      </w:r>
      <w:r>
        <w:rPr/>
        <w:t xml:space="preserve">(6), 559–569. </w:t>
      </w:r>
      <w:hyperlink r:id="rId34">
        <w:r>
          <w:rPr>
            <w:rStyle w:val="InternetLink"/>
          </w:rPr>
          <w:t>https://doi.org/10.1016/j.janxdis.2014.05.011</w:t>
        </w:r>
      </w:hyperlink>
      <w:bookmarkEnd w:id="95"/>
    </w:p>
    <w:p>
      <w:pPr>
        <w:pStyle w:val="Bibliography"/>
        <w:rPr/>
      </w:pPr>
      <w:bookmarkStart w:id="96" w:name="X2188c16c6897c914b9180aa184db02e38a5d3e8"/>
      <w:r>
        <w:rPr/>
        <w:t xml:space="preserve">Frattaroli, J. (2006). Experimental disclosure and its moderators: A meta-analysis. </w:t>
      </w:r>
      <w:r>
        <w:rPr>
          <w:i/>
          <w:iCs/>
        </w:rPr>
        <w:t>Psychological Bulletin</w:t>
      </w:r>
      <w:r>
        <w:rPr/>
        <w:t xml:space="preserve">, </w:t>
      </w:r>
      <w:r>
        <w:rPr>
          <w:i/>
          <w:iCs/>
        </w:rPr>
        <w:t>132</w:t>
      </w:r>
      <w:r>
        <w:rPr/>
        <w:t xml:space="preserve">(6), 823–865. </w:t>
      </w:r>
      <w:hyperlink r:id="rId35">
        <w:r>
          <w:rPr>
            <w:rStyle w:val="InternetLink"/>
          </w:rPr>
          <w:t>https://doi.org/10.1037/0033-2909.132.6.823</w:t>
        </w:r>
      </w:hyperlink>
      <w:bookmarkEnd w:id="96"/>
    </w:p>
    <w:p>
      <w:pPr>
        <w:pStyle w:val="Bibliography"/>
        <w:rPr/>
      </w:pPr>
      <w:bookmarkStart w:id="97" w:name="ref-gillihanCommonPitfallsExposure2012"/>
      <w:r>
        <w:rPr/>
        <w:t xml:space="preserve">Gillihan, S. J., Williams, M. T., Malcoun, E., Yadin, E., &amp; Foa, E. B. (2012). Common pitfalls in exposure and response prevention (EX/RP) for OCD. </w:t>
      </w:r>
      <w:r>
        <w:rPr>
          <w:i/>
          <w:iCs/>
        </w:rPr>
        <w:t>Journal of Obsessive-Compulsive and Related Disorders</w:t>
      </w:r>
      <w:r>
        <w:rPr/>
        <w:t xml:space="preserve">, </w:t>
      </w:r>
      <w:r>
        <w:rPr>
          <w:i/>
          <w:iCs/>
        </w:rPr>
        <w:t>1</w:t>
      </w:r>
      <w:r>
        <w:rPr/>
        <w:t xml:space="preserve">(4), 251–257. </w:t>
      </w:r>
      <w:hyperlink r:id="rId36">
        <w:r>
          <w:rPr>
            <w:rStyle w:val="InternetLink"/>
          </w:rPr>
          <w:t>https://doi.org/10.1016/j.jocrd.2012.05.002</w:t>
        </w:r>
      </w:hyperlink>
      <w:bookmarkEnd w:id="97"/>
    </w:p>
    <w:p>
      <w:pPr>
        <w:pStyle w:val="Bibliography"/>
        <w:rPr/>
      </w:pPr>
      <w:bookmarkStart w:id="98" w:name="ref-goldmanImpactWrittenExposure2007"/>
      <w:r>
        <w:rPr/>
        <w:t xml:space="preserve">Goldman, N., Dugas, M. J., Sexton, K. A., &amp; Gervais, N. J. (2007). The Impact of Written Exposure on Worry: A Preliminary Investigation. </w:t>
      </w:r>
      <w:r>
        <w:rPr>
          <w:i/>
          <w:iCs/>
        </w:rPr>
        <w:t>Behavior Modification</w:t>
      </w:r>
      <w:r>
        <w:rPr/>
        <w:t xml:space="preserve">, </w:t>
      </w:r>
      <w:r>
        <w:rPr>
          <w:i/>
          <w:iCs/>
        </w:rPr>
        <w:t>31</w:t>
      </w:r>
      <w:r>
        <w:rPr/>
        <w:t xml:space="preserve">(4), 512–538. </w:t>
      </w:r>
      <w:hyperlink r:id="rId37">
        <w:r>
          <w:rPr>
            <w:rStyle w:val="InternetLink"/>
          </w:rPr>
          <w:t>https://doi.org/10.1177/0145445506298651</w:t>
        </w:r>
      </w:hyperlink>
      <w:bookmarkEnd w:id="98"/>
    </w:p>
    <w:p>
      <w:pPr>
        <w:pStyle w:val="Bibliography"/>
        <w:rPr/>
      </w:pPr>
      <w:bookmarkStart w:id="99" w:name="ref-hayesAcceptanceCommitmentTherapy1999"/>
      <w:r>
        <w:rPr/>
        <w:t xml:space="preserve">Hayes, S. C., Strosahl, K. D., &amp; Wilson, K. G. (1999). </w:t>
      </w:r>
      <w:r>
        <w:rPr>
          <w:i/>
          <w:iCs/>
        </w:rPr>
        <w:t>Acceptance and commitment therapy: An experiential approach to behavior change</w:t>
      </w:r>
      <w:r>
        <w:rPr/>
        <w:t>. Guilford Press.</w:t>
      </w:r>
      <w:bookmarkEnd w:id="99"/>
    </w:p>
    <w:p>
      <w:pPr>
        <w:pStyle w:val="Bibliography"/>
        <w:rPr/>
      </w:pPr>
      <w:bookmarkStart w:id="100" w:name="ref-hilleyDynamicChangeMeets2022"/>
      <w:r>
        <w:rPr/>
        <w:t xml:space="preserve">Hilley, C. D., &amp; O’Rourke, H. P. (2022). Dynamic change meets mechanisms of change: Examining mediators in the latent change score framework. </w:t>
      </w:r>
      <w:r>
        <w:rPr>
          <w:i/>
          <w:iCs/>
        </w:rPr>
        <w:t>International Journal of Behavioral Development</w:t>
      </w:r>
      <w:r>
        <w:rPr/>
        <w:t xml:space="preserve">. </w:t>
      </w:r>
      <w:hyperlink r:id="rId38">
        <w:r>
          <w:rPr>
            <w:rStyle w:val="InternetLink"/>
          </w:rPr>
          <w:t>https://doi.org/10.1177/01650254211064352</w:t>
        </w:r>
      </w:hyperlink>
      <w:bookmarkEnd w:id="100"/>
    </w:p>
    <w:p>
      <w:pPr>
        <w:pStyle w:val="Bibliography"/>
        <w:rPr/>
      </w:pPr>
      <w:bookmarkStart w:id="101" w:name="ref-hofmannFutureInterventionScience2019"/>
      <w:r>
        <w:rPr/>
        <w:t xml:space="preserve">Hofmann, S. G., &amp; Hayes, S. C. (2019). The Future of Intervention Science: Process-Based Therapy. </w:t>
      </w:r>
      <w:r>
        <w:rPr>
          <w:i/>
          <w:iCs/>
        </w:rPr>
        <w:t>Clinical Psychological Science</w:t>
      </w:r>
      <w:r>
        <w:rPr/>
        <w:t xml:space="preserve">, </w:t>
      </w:r>
      <w:r>
        <w:rPr>
          <w:i/>
          <w:iCs/>
        </w:rPr>
        <w:t>7</w:t>
      </w:r>
      <w:r>
        <w:rPr/>
        <w:t xml:space="preserve">(1), 37–50. </w:t>
      </w:r>
      <w:hyperlink r:id="rId39">
        <w:r>
          <w:rPr>
            <w:rStyle w:val="InternetLink"/>
          </w:rPr>
          <w:t>https://doi.org/10.1177/2167702618772296</w:t>
        </w:r>
      </w:hyperlink>
      <w:bookmarkEnd w:id="101"/>
    </w:p>
    <w:p>
      <w:pPr>
        <w:pStyle w:val="Bibliography"/>
        <w:rPr/>
      </w:pPr>
      <w:bookmarkStart w:id="102" w:name="X0f2ba6b4956de79d215435d26bfb839fa08ca7f"/>
      <w:r>
        <w:rPr/>
        <w:t xml:space="preserve">Hofmann, S. G., Sawyer, A. T., Witt, A. A., &amp; Oh, D. (2010). The Effect of Mindfulness-Based Therapy on Anxiety and Depression: A Meta-Analytic Review. </w:t>
      </w:r>
      <w:r>
        <w:rPr>
          <w:i/>
          <w:iCs/>
        </w:rPr>
        <w:t>Journal of Consulting and Clinical Psychology</w:t>
      </w:r>
      <w:r>
        <w:rPr/>
        <w:t xml:space="preserve">, </w:t>
      </w:r>
      <w:r>
        <w:rPr>
          <w:i/>
          <w:iCs/>
        </w:rPr>
        <w:t>78</w:t>
      </w:r>
      <w:r>
        <w:rPr/>
        <w:t xml:space="preserve">(2), 169–183. </w:t>
      </w:r>
      <w:hyperlink r:id="rId40">
        <w:r>
          <w:rPr>
            <w:rStyle w:val="InternetLink"/>
          </w:rPr>
          <w:t>https://doi.org/10.1037/a0018555</w:t>
        </w:r>
      </w:hyperlink>
      <w:bookmarkEnd w:id="102"/>
    </w:p>
    <w:p>
      <w:pPr>
        <w:pStyle w:val="Bibliography"/>
        <w:rPr/>
      </w:pPr>
      <w:bookmarkStart w:id="103" w:name="ref-holmesMentalImageryEmotion2005"/>
      <w:r>
        <w:rPr/>
        <w:t xml:space="preserve">Holmes, E. A., &amp; Mathews, A. (2005). Mental Imagery and Emotion: A Special Relationship? </w:t>
      </w:r>
      <w:r>
        <w:rPr>
          <w:i/>
          <w:iCs/>
        </w:rPr>
        <w:t>Emotion</w:t>
      </w:r>
      <w:r>
        <w:rPr/>
        <w:t xml:space="preserve">, </w:t>
      </w:r>
      <w:r>
        <w:rPr>
          <w:i/>
          <w:iCs/>
        </w:rPr>
        <w:t>5</w:t>
      </w:r>
      <w:r>
        <w:rPr/>
        <w:t xml:space="preserve">(4), 489–497. </w:t>
      </w:r>
      <w:hyperlink r:id="rId41">
        <w:r>
          <w:rPr>
            <w:rStyle w:val="InternetLink"/>
          </w:rPr>
          <w:t>https://doi.org/10.1037/1528-3542.5.4.489</w:t>
        </w:r>
      </w:hyperlink>
      <w:bookmarkEnd w:id="103"/>
    </w:p>
    <w:p>
      <w:pPr>
        <w:pStyle w:val="Bibliography"/>
        <w:rPr/>
      </w:pPr>
      <w:bookmarkStart w:id="104" w:name="ref-holmesMentalImageryEmotion2010"/>
      <w:r>
        <w:rPr/>
        <w:t xml:space="preserve">Holmes, E. A., &amp; Mathews, A. (2010). Mental imagery in emotion and emotional disorders. </w:t>
      </w:r>
      <w:r>
        <w:rPr>
          <w:i/>
          <w:iCs/>
        </w:rPr>
        <w:t>Clinical Psychology Review</w:t>
      </w:r>
      <w:r>
        <w:rPr/>
        <w:t xml:space="preserve">, </w:t>
      </w:r>
      <w:r>
        <w:rPr>
          <w:i/>
          <w:iCs/>
        </w:rPr>
        <w:t>30</w:t>
      </w:r>
      <w:r>
        <w:rPr/>
        <w:t xml:space="preserve">(3), 349–362. </w:t>
      </w:r>
      <w:hyperlink r:id="rId42">
        <w:r>
          <w:rPr>
            <w:rStyle w:val="InternetLink"/>
          </w:rPr>
          <w:t>https://doi.org/10.1016/j.cpr.2010.01.001</w:t>
        </w:r>
      </w:hyperlink>
      <w:bookmarkEnd w:id="104"/>
    </w:p>
    <w:p>
      <w:pPr>
        <w:pStyle w:val="Bibliography"/>
        <w:rPr/>
      </w:pPr>
      <w:bookmarkStart w:id="105" w:name="ref-huppertCBTAnxietyDisorders2020"/>
      <w:r>
        <w:rPr/>
        <w:t xml:space="preserve">Huppert, J. D., Fradkin, I., &amp; Cahill, S. P. (2020). CBT for anxiety disorders: Memory reconsolidation theory and its relationship to cognitive, emotional processing, and inhibitory models. In R. Lane &amp; L. Nadel (Eds.), </w:t>
      </w:r>
      <w:r>
        <w:rPr>
          <w:i/>
          <w:iCs/>
        </w:rPr>
        <w:t>Neuroscience of Enduring Change in Psychotherapy</w:t>
      </w:r>
      <w:r>
        <w:rPr/>
        <w:t>. Oxford University Press.</w:t>
      </w:r>
      <w:bookmarkEnd w:id="105"/>
    </w:p>
    <w:p>
      <w:pPr>
        <w:pStyle w:val="Bibliography"/>
        <w:rPr/>
      </w:pPr>
      <w:bookmarkStart w:id="106" w:name="ref-huppertCoreFearsValues2012"/>
      <w:r>
        <w:rPr/>
        <w:t xml:space="preserve">Huppert, J. D., &amp; Zlotnick, E. (2012). Core fears, values, and obsessive-compulsive disorder: a preliminary clinical-theoretical outlook. </w:t>
      </w:r>
      <w:r>
        <w:rPr>
          <w:i/>
          <w:iCs/>
        </w:rPr>
        <w:t>Psicoterapia Cognitiva e Comportamentale</w:t>
      </w:r>
      <w:r>
        <w:rPr/>
        <w:t xml:space="preserve">, </w:t>
      </w:r>
      <w:r>
        <w:rPr>
          <w:i/>
          <w:iCs/>
        </w:rPr>
        <w:t>18</w:t>
      </w:r>
      <w:r>
        <w:rPr/>
        <w:t>(1), 91–102.</w:t>
      </w:r>
      <w:bookmarkEnd w:id="106"/>
    </w:p>
    <w:p>
      <w:pPr>
        <w:pStyle w:val="Bibliography"/>
        <w:rPr/>
      </w:pPr>
      <w:bookmarkStart w:id="107" w:name="ref-johanssonTailoredVsStandardized2012"/>
      <w:r>
        <w:rPr/>
        <w:t xml:space="preserve">Johansson, R., Sjöberg, E., Sjögren, M., Johnsson, E., Carlbring, P., Andersson, T., Rousseau, A., &amp; Andersson, G. (2012). Tailored vs. Standardized Internet-Based Cognitive Behavior Therapy for Depression and Comorbid Symptoms: A Randomized Controlled Trial. </w:t>
      </w:r>
      <w:r>
        <w:rPr>
          <w:i/>
          <w:iCs/>
        </w:rPr>
        <w:t>PLOS ONE</w:t>
      </w:r>
      <w:r>
        <w:rPr/>
        <w:t xml:space="preserve">, </w:t>
      </w:r>
      <w:r>
        <w:rPr>
          <w:i/>
          <w:iCs/>
        </w:rPr>
        <w:t>7</w:t>
      </w:r>
      <w:r>
        <w:rPr/>
        <w:t xml:space="preserve">(5), e36905. </w:t>
      </w:r>
      <w:hyperlink r:id="rId43">
        <w:r>
          <w:rPr>
            <w:rStyle w:val="InternetLink"/>
          </w:rPr>
          <w:t>https://doi.org/10.1371/journal.pone.0036905</w:t>
        </w:r>
      </w:hyperlink>
      <w:bookmarkEnd w:id="107"/>
    </w:p>
    <w:p>
      <w:pPr>
        <w:pStyle w:val="Bibliography"/>
        <w:rPr/>
      </w:pPr>
      <w:bookmarkStart w:id="108" w:name="ref-kazdinMediatorsMechanismsChange2007"/>
      <w:r>
        <w:rPr/>
        <w:t xml:space="preserve">Kazdin, A. E. (2007). Mediators and mechanisms of change in psychotherapy research. </w:t>
      </w:r>
      <w:r>
        <w:rPr>
          <w:i/>
          <w:iCs/>
        </w:rPr>
        <w:t>Annual Review of Clinical Psychology</w:t>
      </w:r>
      <w:r>
        <w:rPr/>
        <w:t xml:space="preserve">, </w:t>
      </w:r>
      <w:r>
        <w:rPr>
          <w:i/>
          <w:iCs/>
        </w:rPr>
        <w:t>3</w:t>
      </w:r>
      <w:r>
        <w:rPr/>
        <w:t xml:space="preserve">, 1–27. </w:t>
      </w:r>
      <w:hyperlink r:id="rId44">
        <w:r>
          <w:rPr>
            <w:rStyle w:val="InternetLink"/>
          </w:rPr>
          <w:t>https://doi.org/10.1146/annurev.clinpsy.3.022806.091432</w:t>
        </w:r>
      </w:hyperlink>
      <w:bookmarkEnd w:id="108"/>
    </w:p>
    <w:p>
      <w:pPr>
        <w:pStyle w:val="Bibliography"/>
        <w:rPr/>
      </w:pPr>
      <w:bookmarkStart w:id="109" w:name="Xceed83dd85231a03caf5c3c280d092cd8ff0971"/>
      <w:r>
        <w:rPr/>
        <w:t xml:space="preserve">Kraemer, H. C., Wilson, G. T., Fairburn, C. G., &amp; Agras, W. S. (2002). Mediators and Moderators of Treatment Effects in Randomized Clinical Trials. </w:t>
      </w:r>
      <w:r>
        <w:rPr>
          <w:i/>
          <w:iCs/>
        </w:rPr>
        <w:t>Archives of General Psychiatry</w:t>
      </w:r>
      <w:r>
        <w:rPr/>
        <w:t xml:space="preserve">, </w:t>
      </w:r>
      <w:r>
        <w:rPr>
          <w:i/>
          <w:iCs/>
        </w:rPr>
        <w:t>59</w:t>
      </w:r>
      <w:r>
        <w:rPr/>
        <w:t xml:space="preserve">(10), 877–883. </w:t>
      </w:r>
      <w:hyperlink r:id="rId45">
        <w:r>
          <w:rPr>
            <w:rStyle w:val="InternetLink"/>
          </w:rPr>
          <w:t>https://doi.org/10.1001/archpsyc.59.10.877</w:t>
        </w:r>
      </w:hyperlink>
      <w:bookmarkEnd w:id="109"/>
    </w:p>
    <w:p>
      <w:pPr>
        <w:pStyle w:val="Bibliography"/>
        <w:rPr/>
      </w:pPr>
      <w:bookmarkStart w:id="110" w:name="ref-krakowClinicalManagementChronic2006"/>
      <w:r>
        <w:rPr/>
        <w:t xml:space="preserve">Krakow, B., &amp; Zadra, A. (2006). Clinical Management of Chronic Nightmares: Imagery Rehearsal Therapy. </w:t>
      </w:r>
      <w:r>
        <w:rPr>
          <w:i/>
          <w:iCs/>
        </w:rPr>
        <w:t>Behavioral Sleep Medicine</w:t>
      </w:r>
      <w:r>
        <w:rPr/>
        <w:t xml:space="preserve">, </w:t>
      </w:r>
      <w:r>
        <w:rPr>
          <w:i/>
          <w:iCs/>
        </w:rPr>
        <w:t>4</w:t>
      </w:r>
      <w:r>
        <w:rPr/>
        <w:t xml:space="preserve">(1), 45–70. </w:t>
      </w:r>
      <w:hyperlink r:id="rId46">
        <w:r>
          <w:rPr>
            <w:rStyle w:val="InternetLink"/>
          </w:rPr>
          <w:t>https://doi.org/10.1207/s15402010bsm0401_4</w:t>
        </w:r>
      </w:hyperlink>
      <w:bookmarkEnd w:id="110"/>
    </w:p>
    <w:p>
      <w:pPr>
        <w:pStyle w:val="Bibliography"/>
        <w:rPr/>
      </w:pPr>
      <w:bookmarkStart w:id="111" w:name="ref-kroenkePHQ8MeasureCurrent2009"/>
      <w:r>
        <w:rPr/>
        <w:t xml:space="preserve">Kroenke, K., Strine, T. W., Spitzer, R. L., Williams, J. B. W., Berry, J. T., &amp; Mokdad, A. H. (2009). The PHQ-8 as a measure of current depression in the general population. </w:t>
      </w:r>
      <w:r>
        <w:rPr>
          <w:i/>
          <w:iCs/>
        </w:rPr>
        <w:t>Journal of Affective Disorders</w:t>
      </w:r>
      <w:r>
        <w:rPr/>
        <w:t xml:space="preserve">, </w:t>
      </w:r>
      <w:r>
        <w:rPr>
          <w:i/>
          <w:iCs/>
        </w:rPr>
        <w:t>114</w:t>
      </w:r>
      <w:r>
        <w:rPr/>
        <w:t xml:space="preserve">(1), 163–173. </w:t>
      </w:r>
      <w:hyperlink r:id="rId47">
        <w:r>
          <w:rPr>
            <w:rStyle w:val="InternetLink"/>
          </w:rPr>
          <w:t>https://doi.org/10.1016/j.jad.2008.06.026</w:t>
        </w:r>
      </w:hyperlink>
      <w:bookmarkEnd w:id="111"/>
    </w:p>
    <w:p>
      <w:pPr>
        <w:pStyle w:val="Bibliography"/>
        <w:rPr/>
      </w:pPr>
      <w:bookmarkStart w:id="112" w:name="X6790e94a8f70bf44367056bdb6274ca065aebb3"/>
      <w:r>
        <w:rPr/>
        <w:t xml:space="preserve">Kross, E., &amp; Ayduk, O. (2017). Self-distancing: Theory, research, and current directions. In </w:t>
      </w:r>
      <w:r>
        <w:rPr>
          <w:i/>
          <w:iCs/>
        </w:rPr>
        <w:t>Advances in experimental social psychology</w:t>
      </w:r>
      <w:r>
        <w:rPr/>
        <w:t xml:space="preserve"> (pp. 81–136). Elsevier Academic Press. </w:t>
      </w:r>
      <w:hyperlink r:id="rId48">
        <w:r>
          <w:rPr>
            <w:rStyle w:val="InternetLink"/>
          </w:rPr>
          <w:t>https://doi.org/10.1016/bs.aesp.2016.10.002</w:t>
        </w:r>
      </w:hyperlink>
      <w:bookmarkEnd w:id="112"/>
    </w:p>
    <w:p>
      <w:pPr>
        <w:pStyle w:val="Bibliography"/>
        <w:rPr/>
      </w:pPr>
      <w:bookmarkStart w:id="113" w:name="ref-langImageryTherapyInformation1977"/>
      <w:r>
        <w:rPr/>
        <w:t xml:space="preserve">Lang, P. J. (1977). Imagery in therapy: an information processing analysis of fear. </w:t>
      </w:r>
      <w:r>
        <w:rPr>
          <w:i/>
          <w:iCs/>
        </w:rPr>
        <w:t>Behavior Therapy</w:t>
      </w:r>
      <w:r>
        <w:rPr/>
        <w:t xml:space="preserve">, </w:t>
      </w:r>
      <w:r>
        <w:rPr>
          <w:i/>
          <w:iCs/>
        </w:rPr>
        <w:t>8</w:t>
      </w:r>
      <w:r>
        <w:rPr/>
        <w:t xml:space="preserve">(5), 862–886. </w:t>
      </w:r>
      <w:hyperlink r:id="rId49">
        <w:r>
          <w:rPr>
            <w:rStyle w:val="InternetLink"/>
          </w:rPr>
          <w:t>https://doi.org/10.1016/S0005-7894(77)80157-3</w:t>
        </w:r>
      </w:hyperlink>
      <w:bookmarkEnd w:id="113"/>
    </w:p>
    <w:p>
      <w:pPr>
        <w:pStyle w:val="Bibliography"/>
        <w:rPr/>
      </w:pPr>
      <w:bookmarkStart w:id="114" w:name="ref-lassDistressToleranceSymptoms2020"/>
      <w:r>
        <w:rPr/>
        <w:t xml:space="preserve">Lass, A. N. S., &amp; Winer, E. S. (2020). Distress tolerance and symptoms of depression: A review and integration of literatures. </w:t>
      </w:r>
      <w:r>
        <w:rPr>
          <w:i/>
          <w:iCs/>
        </w:rPr>
        <w:t>Clinical Psychology: Science and Practice</w:t>
      </w:r>
      <w:r>
        <w:rPr/>
        <w:t xml:space="preserve">, </w:t>
      </w:r>
      <w:r>
        <w:rPr>
          <w:i/>
          <w:iCs/>
        </w:rPr>
        <w:t>27</w:t>
      </w:r>
      <w:r>
        <w:rPr/>
        <w:t xml:space="preserve">(3). </w:t>
      </w:r>
      <w:hyperlink r:id="rId50">
        <w:r>
          <w:rPr>
            <w:rStyle w:val="InternetLink"/>
          </w:rPr>
          <w:t>https://doi.org/10.1037/h0101778</w:t>
        </w:r>
      </w:hyperlink>
      <w:bookmarkEnd w:id="114"/>
    </w:p>
    <w:p>
      <w:pPr>
        <w:pStyle w:val="Bibliography"/>
        <w:rPr/>
      </w:pPr>
      <w:bookmarkStart w:id="115" w:name="Xb5e67b4b1317d16238b28d72d8d29fc381617f5"/>
      <w:r>
        <w:rPr/>
        <w:t xml:space="preserve">Leyro, T. M., Zvolensky, M. J., &amp; Bernstein, A. (2010). Distress Tolerance and Psychopathological Symptoms and Disorders: A Review of the Empirical Literature among Adults. </w:t>
      </w:r>
      <w:r>
        <w:rPr>
          <w:i/>
          <w:iCs/>
        </w:rPr>
        <w:t>Psychological Bulletin</w:t>
      </w:r>
      <w:r>
        <w:rPr/>
        <w:t xml:space="preserve">, </w:t>
      </w:r>
      <w:r>
        <w:rPr>
          <w:i/>
          <w:iCs/>
        </w:rPr>
        <w:t>136</w:t>
      </w:r>
      <w:r>
        <w:rPr/>
        <w:t xml:space="preserve">(4), 576–600. </w:t>
      </w:r>
      <w:hyperlink r:id="rId51">
        <w:r>
          <w:rPr>
            <w:rStyle w:val="InternetLink"/>
          </w:rPr>
          <w:t>https://doi.org/10.1037/a0019712</w:t>
        </w:r>
      </w:hyperlink>
      <w:bookmarkEnd w:id="115"/>
    </w:p>
    <w:p>
      <w:pPr>
        <w:pStyle w:val="Bibliography"/>
        <w:rPr/>
      </w:pPr>
      <w:bookmarkStart w:id="116" w:name="ref-liDistressToleranceMediator2024"/>
      <w:r>
        <w:rPr/>
        <w:t xml:space="preserve">Li, Y., He, M., Wang, Z., Hofmann, S. G., &amp; Liu, X. (2024). Distress tolerance as a mediator of mindfulness-based intervention for anxiety and depression: Evidence from two randomized controlled trials. </w:t>
      </w:r>
      <w:r>
        <w:rPr>
          <w:i/>
          <w:iCs/>
        </w:rPr>
        <w:t>International Journal of Clinical and Health Psychology</w:t>
      </w:r>
      <w:r>
        <w:rPr/>
        <w:t xml:space="preserve">, </w:t>
      </w:r>
      <w:r>
        <w:rPr>
          <w:i/>
          <w:iCs/>
        </w:rPr>
        <w:t>24</w:t>
      </w:r>
      <w:r>
        <w:rPr/>
        <w:t xml:space="preserve">(2), 100445. </w:t>
      </w:r>
      <w:hyperlink r:id="rId52">
        <w:r>
          <w:rPr>
            <w:rStyle w:val="InternetLink"/>
          </w:rPr>
          <w:t>https://doi.org/10.1016/j.ijchp.2024.100445</w:t>
        </w:r>
      </w:hyperlink>
      <w:bookmarkEnd w:id="116"/>
    </w:p>
    <w:p>
      <w:pPr>
        <w:pStyle w:val="Bibliography"/>
        <w:rPr/>
      </w:pPr>
      <w:bookmarkStart w:id="117" w:name="ref-liDistressToleranceMechanism2023"/>
      <w:r>
        <w:rPr/>
        <w:t xml:space="preserve">Li, Y., Ju, R., Hofmann, S. G., Chiu, W., Guan, Y., Leng, Y., &amp; Liu, X. (2023). Distress tolerance as a mechanism of mindfulness for depression and anxiety: Cross-sectional and diary evidence. </w:t>
      </w:r>
      <w:r>
        <w:rPr>
          <w:i/>
          <w:iCs/>
        </w:rPr>
        <w:t>International Journal of Clinical and Health Psychology</w:t>
      </w:r>
      <w:r>
        <w:rPr/>
        <w:t xml:space="preserve">, </w:t>
      </w:r>
      <w:r>
        <w:rPr>
          <w:i/>
          <w:iCs/>
        </w:rPr>
        <w:t>23</w:t>
      </w:r>
      <w:r>
        <w:rPr/>
        <w:t xml:space="preserve">(4), 100392. </w:t>
      </w:r>
      <w:hyperlink r:id="rId53">
        <w:r>
          <w:rPr>
            <w:rStyle w:val="InternetLink"/>
          </w:rPr>
          <w:t>https://doi.org/10.1016/j.ijchp.2023.100392</w:t>
        </w:r>
      </w:hyperlink>
      <w:bookmarkEnd w:id="117"/>
    </w:p>
    <w:p>
      <w:pPr>
        <w:pStyle w:val="Bibliography"/>
        <w:rPr/>
      </w:pPr>
      <w:bookmarkStart w:id="118" w:name="X46ccc09322e61e887e1e4fce365734c787b73c4"/>
      <w:r>
        <w:rPr/>
        <w:t xml:space="preserve">MacCallum, R. C., Kim, C., Malarkey, W. B., &amp; Kiecolt-Glaser, J. K. (1997). Studying Multivariate Change Using Multilevel Models and Latent Curve Models. </w:t>
      </w:r>
      <w:r>
        <w:rPr>
          <w:i/>
          <w:iCs/>
        </w:rPr>
        <w:t>Multivariate Behavioral Research</w:t>
      </w:r>
      <w:r>
        <w:rPr/>
        <w:t xml:space="preserve">, </w:t>
      </w:r>
      <w:r>
        <w:rPr>
          <w:i/>
          <w:iCs/>
        </w:rPr>
        <w:t>32</w:t>
      </w:r>
      <w:r>
        <w:rPr/>
        <w:t xml:space="preserve">(3), 215–253. </w:t>
      </w:r>
      <w:hyperlink r:id="rId54">
        <w:r>
          <w:rPr>
            <w:rStyle w:val="InternetLink"/>
          </w:rPr>
          <w:t>https://doi.org/10.1207/s15327906mbr3203_1</w:t>
        </w:r>
      </w:hyperlink>
      <w:bookmarkEnd w:id="118"/>
    </w:p>
    <w:p>
      <w:pPr>
        <w:pStyle w:val="Bibliography"/>
        <w:rPr/>
      </w:pPr>
      <w:bookmarkStart w:id="119" w:name="ref-makowskiIndicesEffectExistence2019"/>
      <w:r>
        <w:rPr/>
        <w:t xml:space="preserve">Makowski, D., Ben-Shachar, M. S., Chen, S. H. A., &amp; Lüdecke, D. (2019). Indices of Effect Existence and Significance in the Bayesian Framework. </w:t>
      </w:r>
      <w:r>
        <w:rPr>
          <w:i/>
          <w:iCs/>
        </w:rPr>
        <w:t>Frontiers in Psychology</w:t>
      </w:r>
      <w:r>
        <w:rPr/>
        <w:t xml:space="preserve">, </w:t>
      </w:r>
      <w:r>
        <w:rPr>
          <w:i/>
          <w:iCs/>
        </w:rPr>
        <w:t>10</w:t>
      </w:r>
      <w:r>
        <w:rPr/>
        <w:t xml:space="preserve">, 2767. </w:t>
      </w:r>
      <w:hyperlink r:id="rId55">
        <w:r>
          <w:rPr>
            <w:rStyle w:val="InternetLink"/>
          </w:rPr>
          <w:t>https://doi.org/10.3389/fpsyg.2019.02767</w:t>
        </w:r>
      </w:hyperlink>
      <w:bookmarkEnd w:id="119"/>
    </w:p>
    <w:p>
      <w:pPr>
        <w:pStyle w:val="Bibliography"/>
        <w:rPr/>
      </w:pPr>
      <w:bookmarkStart w:id="120" w:name="ref-mcardleLatentVariableModeling2009"/>
      <w:r>
        <w:rPr/>
        <w:t xml:space="preserve">McArdle, J. J. (2009). Latent variable modeling of differences and changes with longitudinal data. </w:t>
      </w:r>
      <w:r>
        <w:rPr>
          <w:i/>
          <w:iCs/>
        </w:rPr>
        <w:t>Annual Review of Psychology</w:t>
      </w:r>
      <w:r>
        <w:rPr/>
        <w:t xml:space="preserve">, </w:t>
      </w:r>
      <w:r>
        <w:rPr>
          <w:i/>
          <w:iCs/>
        </w:rPr>
        <w:t>60</w:t>
      </w:r>
      <w:r>
        <w:rPr/>
        <w:t xml:space="preserve">, 577–605. </w:t>
      </w:r>
      <w:hyperlink r:id="rId56">
        <w:r>
          <w:rPr>
            <w:rStyle w:val="InternetLink"/>
          </w:rPr>
          <w:t>https://doi.org/10.1146/annurev.psych.60.110707.163612</w:t>
        </w:r>
      </w:hyperlink>
      <w:bookmarkEnd w:id="120"/>
    </w:p>
    <w:p>
      <w:pPr>
        <w:pStyle w:val="Bibliography"/>
        <w:rPr/>
      </w:pPr>
      <w:bookmarkStart w:id="121" w:name="ref-mccullaghRegressionModelsOrdinal1980"/>
      <w:r>
        <w:rPr/>
        <w:t xml:space="preserve">McCullagh, P. (1980). Regression Models for Ordinal Data. </w:t>
      </w:r>
      <w:r>
        <w:rPr>
          <w:i/>
          <w:iCs/>
        </w:rPr>
        <w:t>Journal of the Royal Statistical Society: Series B (Methodological)</w:t>
      </w:r>
      <w:r>
        <w:rPr/>
        <w:t xml:space="preserve">, </w:t>
      </w:r>
      <w:r>
        <w:rPr>
          <w:i/>
          <w:iCs/>
        </w:rPr>
        <w:t>42</w:t>
      </w:r>
      <w:r>
        <w:rPr/>
        <w:t xml:space="preserve">(2), 109–127. </w:t>
      </w:r>
      <w:hyperlink r:id="rId57">
        <w:r>
          <w:rPr>
            <w:rStyle w:val="InternetLink"/>
          </w:rPr>
          <w:t>https://doi.org/10.1111/j.2517-6161.1980.tb01109.x</w:t>
        </w:r>
      </w:hyperlink>
      <w:bookmarkEnd w:id="121"/>
    </w:p>
    <w:p>
      <w:pPr>
        <w:pStyle w:val="Bibliography"/>
        <w:rPr/>
      </w:pPr>
      <w:bookmarkStart w:id="122" w:name="X7e5fcb01483c46ceec3804400aa01747d15580c"/>
      <w:r>
        <w:rPr/>
        <w:t xml:space="preserve">McElreath, R. (2020). </w:t>
      </w:r>
      <w:r>
        <w:rPr>
          <w:i/>
          <w:iCs/>
        </w:rPr>
        <w:t>Statistical Rethinking: A Bayesian Course with Examples in R and STAN</w:t>
      </w:r>
      <w:r>
        <w:rPr/>
        <w:t>. CRC Press.</w:t>
      </w:r>
      <w:bookmarkEnd w:id="122"/>
    </w:p>
    <w:p>
      <w:pPr>
        <w:pStyle w:val="Bibliography"/>
        <w:rPr/>
      </w:pPr>
      <w:bookmarkStart w:id="123" w:name="ref-michelEmotionalDistressTolerance2016"/>
      <w:r>
        <w:rPr/>
        <w:t xml:space="preserve">Michel, N. M., Rowa, K., Young, L., &amp; McCabe, R. E. (2016). Emotional distress tolerance across anxiety disorders. </w:t>
      </w:r>
      <w:r>
        <w:rPr>
          <w:i/>
          <w:iCs/>
        </w:rPr>
        <w:t>Journal of Anxiety Disorders</w:t>
      </w:r>
      <w:r>
        <w:rPr/>
        <w:t xml:space="preserve">, </w:t>
      </w:r>
      <w:r>
        <w:rPr>
          <w:i/>
          <w:iCs/>
        </w:rPr>
        <w:t>40</w:t>
      </w:r>
      <w:r>
        <w:rPr/>
        <w:t xml:space="preserve">, 94–103. </w:t>
      </w:r>
      <w:hyperlink r:id="rId58">
        <w:r>
          <w:rPr>
            <w:rStyle w:val="InternetLink"/>
          </w:rPr>
          <w:t>https://doi.org/10.1016/j.janxdis.2016.04.009</w:t>
        </w:r>
      </w:hyperlink>
      <w:bookmarkEnd w:id="123"/>
    </w:p>
    <w:p>
      <w:pPr>
        <w:pStyle w:val="Bibliography"/>
        <w:rPr/>
      </w:pPr>
      <w:bookmarkStart w:id="124" w:name="X115d132523851d90907c16df6f34cdb814368ff"/>
      <w:r>
        <w:rPr/>
        <w:t xml:space="preserve">Moore, S. A., Welch, S. S., Michonski, J., Poquiz, J., Osborne, T. L., Sayrs, J., &amp; Spanos, A. (2015). Psychometric evaluation of the Overall Anxiety Severity And Impairment Scale (OASIS) in individuals seeking outpatient specialty treatment for anxiety-related disorders. </w:t>
      </w:r>
      <w:r>
        <w:rPr>
          <w:i/>
          <w:iCs/>
        </w:rPr>
        <w:t>Journal of Affective Disorders</w:t>
      </w:r>
      <w:r>
        <w:rPr/>
        <w:t xml:space="preserve">, </w:t>
      </w:r>
      <w:r>
        <w:rPr>
          <w:i/>
          <w:iCs/>
        </w:rPr>
        <w:t>175</w:t>
      </w:r>
      <w:r>
        <w:rPr/>
        <w:t xml:space="preserve">, 463–470. </w:t>
      </w:r>
      <w:hyperlink r:id="rId59">
        <w:r>
          <w:rPr>
            <w:rStyle w:val="InternetLink"/>
          </w:rPr>
          <w:t>https://doi.org/10.1016/j.jad.2015.01.041</w:t>
        </w:r>
      </w:hyperlink>
      <w:bookmarkEnd w:id="124"/>
    </w:p>
    <w:p>
      <w:pPr>
        <w:pStyle w:val="Bibliography"/>
        <w:rPr/>
      </w:pPr>
      <w:bookmarkStart w:id="125" w:name="Xf5947b64f20ece1d7a044a12b60d118440a0346"/>
      <w:r>
        <w:rPr/>
        <w:t xml:space="preserve">Morgan, C., Mason, E., Newby, J. M., Mahoney, A. E. J., Hobbs, M. J., McAloon, J., &amp; Andrews, G. (2017). The effectiveness of unguided internet cognitive behavioural therapy for mixed anxiety and depression. </w:t>
      </w:r>
      <w:r>
        <w:rPr>
          <w:i/>
          <w:iCs/>
        </w:rPr>
        <w:t>Internet Interventions</w:t>
      </w:r>
      <w:r>
        <w:rPr/>
        <w:t xml:space="preserve">, </w:t>
      </w:r>
      <w:r>
        <w:rPr>
          <w:i/>
          <w:iCs/>
        </w:rPr>
        <w:t>10</w:t>
      </w:r>
      <w:r>
        <w:rPr/>
        <w:t xml:space="preserve">, 47–53. </w:t>
      </w:r>
      <w:hyperlink r:id="rId60">
        <w:r>
          <w:rPr>
            <w:rStyle w:val="InternetLink"/>
          </w:rPr>
          <w:t>https://doi.org/10.1016/j.invent.2017.10.003</w:t>
        </w:r>
      </w:hyperlink>
      <w:bookmarkEnd w:id="125"/>
    </w:p>
    <w:p>
      <w:pPr>
        <w:pStyle w:val="Bibliography"/>
        <w:rPr/>
      </w:pPr>
      <w:bookmarkStart w:id="126" w:name="ref-mundtWorkSocialAdjustment2002"/>
      <w:r>
        <w:rPr/>
        <w:t xml:space="preserve">Mundt, J. C., Marks, I. M., Shear, M. K., &amp; Greist, J. M. (2002). The Work and Social Adjustment Scale: a simple measure of impairment in functioning. </w:t>
      </w:r>
      <w:r>
        <w:rPr>
          <w:i/>
          <w:iCs/>
        </w:rPr>
        <w:t>The British Journal of Psychiatry</w:t>
      </w:r>
      <w:r>
        <w:rPr/>
        <w:t xml:space="preserve">, </w:t>
      </w:r>
      <w:r>
        <w:rPr>
          <w:i/>
          <w:iCs/>
        </w:rPr>
        <w:t>180</w:t>
      </w:r>
      <w:r>
        <w:rPr/>
        <w:t xml:space="preserve">(5), 461–464. </w:t>
      </w:r>
      <w:hyperlink r:id="rId61">
        <w:r>
          <w:rPr>
            <w:rStyle w:val="InternetLink"/>
          </w:rPr>
          <w:t>https://doi.org/10.1192/bjp.180.5.461</w:t>
        </w:r>
      </w:hyperlink>
      <w:bookmarkEnd w:id="126"/>
    </w:p>
    <w:p>
      <w:pPr>
        <w:pStyle w:val="Bibliography"/>
        <w:rPr/>
      </w:pPr>
      <w:bookmarkStart w:id="127" w:name="ref-murrayDissectingCoreFear2016"/>
      <w:r>
        <w:rPr/>
        <w:t xml:space="preserve">Murray, S. B., Loeb, K. L., &amp; Grange, D. L. (2016). Dissecting the Core Fear in Anorexia Nervosa: Can We Optimize Treatment Mechanisms? </w:t>
      </w:r>
      <w:r>
        <w:rPr>
          <w:i/>
          <w:iCs/>
        </w:rPr>
        <w:t>JAMA Psychiatry</w:t>
      </w:r>
      <w:r>
        <w:rPr/>
        <w:t xml:space="preserve">, </w:t>
      </w:r>
      <w:r>
        <w:rPr>
          <w:i/>
          <w:iCs/>
        </w:rPr>
        <w:t>73</w:t>
      </w:r>
      <w:r>
        <w:rPr/>
        <w:t xml:space="preserve">(9), 891–892. </w:t>
      </w:r>
      <w:hyperlink r:id="rId62">
        <w:r>
          <w:rPr>
            <w:rStyle w:val="InternetLink"/>
          </w:rPr>
          <w:t>https://doi.org/10.1001/jamapsychiatry.2016.1623</w:t>
        </w:r>
      </w:hyperlink>
      <w:bookmarkEnd w:id="127"/>
    </w:p>
    <w:p>
      <w:pPr>
        <w:pStyle w:val="Bibliography"/>
        <w:rPr/>
      </w:pPr>
      <w:bookmarkStart w:id="128" w:name="X5df5a30f1297fea53a849061d3bacdd83b11e05"/>
      <w:r>
        <w:rPr/>
        <w:t xml:space="preserve">Newby, J. M., Smith, J., Uppal, S., Mason, E., Mahoney, A. E. J., &amp; Andrews, G. (2018). Internet-based cognitive behavioral therapy versus psychoeducation control for illness anxiety disorder and somatic symptom disorder: A randomized controlled trial. </w:t>
      </w:r>
      <w:r>
        <w:rPr>
          <w:i/>
          <w:iCs/>
        </w:rPr>
        <w:t>Journal of Consulting and Clinical Psychology</w:t>
      </w:r>
      <w:r>
        <w:rPr/>
        <w:t xml:space="preserve">, </w:t>
      </w:r>
      <w:r>
        <w:rPr>
          <w:i/>
          <w:iCs/>
        </w:rPr>
        <w:t>86</w:t>
      </w:r>
      <w:r>
        <w:rPr/>
        <w:t xml:space="preserve">(1), 89–98. </w:t>
      </w:r>
      <w:hyperlink r:id="rId63">
        <w:r>
          <w:rPr>
            <w:rStyle w:val="InternetLink"/>
          </w:rPr>
          <w:t>https://doi.org/10.1037/ccp0000248</w:t>
        </w:r>
      </w:hyperlink>
      <w:bookmarkEnd w:id="128"/>
    </w:p>
    <w:p>
      <w:pPr>
        <w:pStyle w:val="Bibliography"/>
        <w:rPr/>
      </w:pPr>
      <w:bookmarkStart w:id="129" w:name="ref-nivPrecisionCognitiveBehavioral2021"/>
      <w:r>
        <w:rPr/>
        <w:t xml:space="preserve">Niv, Y., Hitchcock, P., Berwian, I. M., &amp; Schoen, G. (2021). Toward Precision Cognitive Behavioral Therapy via Reinforcement Learning Theory. In </w:t>
      </w:r>
      <w:r>
        <w:rPr>
          <w:i/>
          <w:iCs/>
        </w:rPr>
        <w:t>Precision Psychiatry: Using Neuroscience Insights to Inform Personally Tailored, Measurement-Based Care</w:t>
      </w:r>
      <w:r>
        <w:rPr/>
        <w:t>. American Psychiatric Pub.</w:t>
      </w:r>
      <w:bookmarkEnd w:id="129"/>
    </w:p>
    <w:p>
      <w:pPr>
        <w:pStyle w:val="Bibliography"/>
        <w:rPr/>
      </w:pPr>
      <w:bookmarkStart w:id="130" w:name="Xdef3573e3af1bd968d5e820b3a66e34465deb92"/>
      <w:r>
        <w:rPr/>
        <w:t xml:space="preserve">Norman, S. B., Hami Cissell, S., Means-Christensen, A. J., &amp; Stein, M. B. (2006). Development and validation of an Overall Anxiety Severity And Impairment Scale (OASIS). </w:t>
      </w:r>
      <w:r>
        <w:rPr>
          <w:i/>
          <w:iCs/>
        </w:rPr>
        <w:t>Depression and Anxiety</w:t>
      </w:r>
      <w:r>
        <w:rPr/>
        <w:t xml:space="preserve">, </w:t>
      </w:r>
      <w:r>
        <w:rPr>
          <w:i/>
          <w:iCs/>
        </w:rPr>
        <w:t>23</w:t>
      </w:r>
      <w:r>
        <w:rPr/>
        <w:t xml:space="preserve">(4), 245–249. </w:t>
      </w:r>
      <w:hyperlink r:id="rId64">
        <w:r>
          <w:rPr>
            <w:rStyle w:val="InternetLink"/>
          </w:rPr>
          <w:t>https://doi.org/10.1002/da.20182</w:t>
        </w:r>
      </w:hyperlink>
      <w:bookmarkEnd w:id="130"/>
    </w:p>
    <w:p>
      <w:pPr>
        <w:pStyle w:val="Bibliography"/>
        <w:rPr/>
      </w:pPr>
      <w:bookmarkStart w:id="131" w:name="Xf515d6510b7c85994cbad121157df47ce476420"/>
      <w:r>
        <w:rPr/>
        <w:t xml:space="preserve">Ovanessian, M. M., Koerner, N., Antony, M. M., &amp; Dugas, M. J. (2019). A preliminary test of the therapeutic potential of written exposure with rescripting for generalized anxiety disorder. </w:t>
      </w:r>
      <w:r>
        <w:rPr>
          <w:i/>
          <w:iCs/>
        </w:rPr>
        <w:t>Journal of Experimental Psychopathology</w:t>
      </w:r>
      <w:r>
        <w:rPr/>
        <w:t xml:space="preserve">, </w:t>
      </w:r>
      <w:r>
        <w:rPr>
          <w:i/>
          <w:iCs/>
        </w:rPr>
        <w:t>10</w:t>
      </w:r>
      <w:r>
        <w:rPr/>
        <w:t xml:space="preserve">(2), 2043808719841529. </w:t>
      </w:r>
      <w:hyperlink r:id="rId65">
        <w:r>
          <w:rPr>
            <w:rStyle w:val="InternetLink"/>
          </w:rPr>
          <w:t>https://doi.org/10.1177/2043808719841529</w:t>
        </w:r>
      </w:hyperlink>
      <w:bookmarkEnd w:id="131"/>
    </w:p>
    <w:p>
      <w:pPr>
        <w:pStyle w:val="Bibliography"/>
        <w:rPr/>
      </w:pPr>
      <w:bookmarkStart w:id="132" w:name="X5b06ed36b0aa464b64f14af1938bee8c59e4d44"/>
      <w:r>
        <w:rPr/>
        <w:t xml:space="preserve">Pennebaker, J. W. (1997). Writing about emotional experiences as a therapeutic process. </w:t>
      </w:r>
      <w:r>
        <w:rPr>
          <w:i/>
          <w:iCs/>
        </w:rPr>
        <w:t>Psychological Science</w:t>
      </w:r>
      <w:r>
        <w:rPr/>
        <w:t xml:space="preserve">, </w:t>
      </w:r>
      <w:r>
        <w:rPr>
          <w:i/>
          <w:iCs/>
        </w:rPr>
        <w:t>8</w:t>
      </w:r>
      <w:r>
        <w:rPr/>
        <w:t>(3), 162–166.</w:t>
      </w:r>
      <w:bookmarkEnd w:id="132"/>
    </w:p>
    <w:p>
      <w:pPr>
        <w:pStyle w:val="Bibliography"/>
        <w:rPr/>
      </w:pPr>
      <w:bookmarkStart w:id="133" w:name="ref-pileHarnessingEmotionalMental2021"/>
      <w:r>
        <w:rPr/>
        <w:t xml:space="preserve">Pile, V., Williamson, G., Saunders, A., Holmes, E. A., &amp; Lau, J. Y. F. (2021). Harnessing emotional mental imagery to reduce anxiety and depression in young people: an integrative review of progress and promise. </w:t>
      </w:r>
      <w:r>
        <w:rPr>
          <w:i/>
          <w:iCs/>
        </w:rPr>
        <w:t>The Lancet Psychiatry</w:t>
      </w:r>
      <w:r>
        <w:rPr/>
        <w:t xml:space="preserve">, </w:t>
      </w:r>
      <w:r>
        <w:rPr>
          <w:i/>
          <w:iCs/>
        </w:rPr>
        <w:t>8</w:t>
      </w:r>
      <w:r>
        <w:rPr/>
        <w:t xml:space="preserve">(9), 836–852. </w:t>
      </w:r>
      <w:hyperlink r:id="rId66">
        <w:r>
          <w:rPr>
            <w:rStyle w:val="InternetLink"/>
          </w:rPr>
          <w:t>https://doi.org/10.1016/S2215-0366(21)00195-4</w:t>
        </w:r>
      </w:hyperlink>
      <w:bookmarkEnd w:id="133"/>
    </w:p>
    <w:p>
      <w:pPr>
        <w:pStyle w:val="Bibliography"/>
        <w:rPr/>
      </w:pPr>
      <w:bookmarkStart w:id="134" w:name="Xca100c6b249bb8c22c7d2de68c16d31c4aa3e21"/>
      <w:r>
        <w:rPr/>
        <w:t xml:space="preserve">Powers, J. P., &amp; LaBar, K. S. (2019). Regulating Emotion Through Distancing:A Taxonomy, Neurocognitive Model, and Supporting Meta-Analysis. </w:t>
      </w:r>
      <w:r>
        <w:rPr>
          <w:i/>
          <w:iCs/>
        </w:rPr>
        <w:t>Neuroscience and Biobehavioral Reviews</w:t>
      </w:r>
      <w:r>
        <w:rPr/>
        <w:t xml:space="preserve">, </w:t>
      </w:r>
      <w:r>
        <w:rPr>
          <w:i/>
          <w:iCs/>
        </w:rPr>
        <w:t>96</w:t>
      </w:r>
      <w:r>
        <w:rPr/>
        <w:t xml:space="preserve">, 155–173. </w:t>
      </w:r>
      <w:hyperlink r:id="rId67">
        <w:r>
          <w:rPr>
            <w:rStyle w:val="InternetLink"/>
          </w:rPr>
          <w:t>https://doi.org/10.1016/j.neubiorev.2018.04.023</w:t>
        </w:r>
      </w:hyperlink>
      <w:bookmarkEnd w:id="134"/>
    </w:p>
    <w:p>
      <w:pPr>
        <w:pStyle w:val="Bibliography"/>
        <w:rPr/>
      </w:pPr>
      <w:bookmarkStart w:id="135" w:name="ref-prielerProblemsMeasurementChange2008"/>
      <w:r>
        <w:rPr/>
        <w:t xml:space="preserve">Prieler, J., &amp; Raven, J. (2008). Problems in the Measurement of Change (with Particular Reference to Individual Change [Gain] Scores) and their Potential Solution Using IRT. In </w:t>
      </w:r>
      <w:r>
        <w:rPr>
          <w:i/>
          <w:iCs/>
        </w:rPr>
        <w:t>Uses and Abuses of Intelligence: Studies Advancing Spearman and Raven’s Quest for Non-Arbitrary Metrics.</w:t>
      </w:r>
      <w:r>
        <w:rPr/>
        <w:t xml:space="preserve"> (pp. 173–210). Royal Fireworks Press.</w:t>
      </w:r>
      <w:bookmarkEnd w:id="135"/>
    </w:p>
    <w:p>
      <w:pPr>
        <w:pStyle w:val="Bibliography"/>
        <w:rPr/>
      </w:pPr>
      <w:bookmarkStart w:id="136" w:name="X46c1c9eb724a2a363774abb48413fd0adbf69ad"/>
      <w:r>
        <w:rPr/>
        <w:t xml:space="preserve">Raes, F., Pommier, E., Neff, K. D., &amp; Van Gucht, D. (2011). Construction and factorial validation of a short form of the Self-Compassion Scale. </w:t>
      </w:r>
      <w:r>
        <w:rPr>
          <w:i/>
          <w:iCs/>
        </w:rPr>
        <w:t>Clinical Psychology &amp; Psychotherapy</w:t>
      </w:r>
      <w:r>
        <w:rPr/>
        <w:t xml:space="preserve">, </w:t>
      </w:r>
      <w:r>
        <w:rPr>
          <w:i/>
          <w:iCs/>
        </w:rPr>
        <w:t>18</w:t>
      </w:r>
      <w:r>
        <w:rPr/>
        <w:t xml:space="preserve">(3), 250–255. </w:t>
      </w:r>
      <w:hyperlink r:id="rId68">
        <w:r>
          <w:rPr>
            <w:rStyle w:val="InternetLink"/>
          </w:rPr>
          <w:t>https://doi.org/10.1002/cpp.702</w:t>
        </w:r>
      </w:hyperlink>
      <w:bookmarkEnd w:id="136"/>
    </w:p>
    <w:p>
      <w:pPr>
        <w:pStyle w:val="Bibliography"/>
        <w:rPr/>
      </w:pPr>
      <w:bookmarkStart w:id="137" w:name="ref-rassinThoughtactionFusionCausal1999"/>
      <w:r>
        <w:rPr/>
        <w:t xml:space="preserve">Rassin, E., Merckelbach, H., Muris, P., &amp; Spaan, V. (1999). Thought-action fusion as a causal factor in the development of intrusions. </w:t>
      </w:r>
      <w:r>
        <w:rPr>
          <w:i/>
          <w:iCs/>
        </w:rPr>
        <w:t>Behaviour Research and Therapy</w:t>
      </w:r>
      <w:r>
        <w:rPr/>
        <w:t xml:space="preserve">, </w:t>
      </w:r>
      <w:r>
        <w:rPr>
          <w:i/>
          <w:iCs/>
        </w:rPr>
        <w:t>37</w:t>
      </w:r>
      <w:r>
        <w:rPr/>
        <w:t xml:space="preserve">(3), 231–237. </w:t>
      </w:r>
      <w:hyperlink r:id="rId69">
        <w:r>
          <w:rPr>
            <w:rStyle w:val="InternetLink"/>
          </w:rPr>
          <w:t>https://doi.org/10.1016/s0005-7967(98)00140-5</w:t>
        </w:r>
      </w:hyperlink>
      <w:bookmarkEnd w:id="137"/>
    </w:p>
    <w:p>
      <w:pPr>
        <w:pStyle w:val="Bibliography"/>
        <w:rPr/>
      </w:pPr>
      <w:bookmarkStart w:id="138" w:name="Xc58e1751a8baa9c5b40200f27b4eda63237e4bf"/>
      <w:r>
        <w:rPr/>
        <w:t xml:space="preserve">Raudenbush, S. W., &amp; Bryk, A. S. (2002). </w:t>
      </w:r>
      <w:r>
        <w:rPr>
          <w:i/>
          <w:iCs/>
        </w:rPr>
        <w:t>Hierarchical Linear Models: Applications and Data Analysis Methods</w:t>
      </w:r>
      <w:r>
        <w:rPr/>
        <w:t>. SAGE.</w:t>
      </w:r>
      <w:bookmarkEnd w:id="138"/>
    </w:p>
    <w:p>
      <w:pPr>
        <w:pStyle w:val="Bibliography"/>
        <w:rPr/>
      </w:pPr>
      <w:bookmarkStart w:id="139" w:name="ref-reinholdEffectsExpressiveWriting2018"/>
      <w:r>
        <w:rPr/>
        <w:t xml:space="preserve">Reinhold, M., Bürkner, P.-C., &amp; Holling, H. (2018). Effects of expressive writing on depressive symptoms—A meta-analysis. </w:t>
      </w:r>
      <w:r>
        <w:rPr>
          <w:i/>
          <w:iCs/>
        </w:rPr>
        <w:t>Clinical Psychology: Science and Practice</w:t>
      </w:r>
      <w:r>
        <w:rPr/>
        <w:t xml:space="preserve">, </w:t>
      </w:r>
      <w:r>
        <w:rPr>
          <w:i/>
          <w:iCs/>
        </w:rPr>
        <w:t>25</w:t>
      </w:r>
      <w:r>
        <w:rPr/>
        <w:t xml:space="preserve">(1), e12224. </w:t>
      </w:r>
      <w:hyperlink r:id="rId70">
        <w:r>
          <w:rPr>
            <w:rStyle w:val="InternetLink"/>
          </w:rPr>
          <w:t>https://doi.org/10.1111/cpsp.12224</w:t>
        </w:r>
      </w:hyperlink>
      <w:bookmarkEnd w:id="139"/>
    </w:p>
    <w:p>
      <w:pPr>
        <w:pStyle w:val="Bibliography"/>
        <w:rPr/>
      </w:pPr>
      <w:bookmarkStart w:id="140" w:name="X64446423bc358ad13cd1d74868d05f60782b823"/>
      <w:r>
        <w:rPr/>
        <w:t xml:space="preserve">Riordan, R. J. (1996). Scriptotherapy: Therapeutic Writing as a Counseling Adjunct. </w:t>
      </w:r>
      <w:r>
        <w:rPr>
          <w:i/>
          <w:iCs/>
        </w:rPr>
        <w:t>Journal of Counseling &amp; Development</w:t>
      </w:r>
      <w:r>
        <w:rPr/>
        <w:t xml:space="preserve">, </w:t>
      </w:r>
      <w:r>
        <w:rPr>
          <w:i/>
          <w:iCs/>
        </w:rPr>
        <w:t>74</w:t>
      </w:r>
      <w:r>
        <w:rPr/>
        <w:t xml:space="preserve">(3), 263–269. </w:t>
      </w:r>
      <w:hyperlink r:id="rId71">
        <w:r>
          <w:rPr>
            <w:rStyle w:val="InternetLink"/>
          </w:rPr>
          <w:t>https://doi.org/10.1002/j.1556-6676.1996.tb01863.x</w:t>
        </w:r>
      </w:hyperlink>
      <w:bookmarkEnd w:id="140"/>
    </w:p>
    <w:p>
      <w:pPr>
        <w:pStyle w:val="Bibliography"/>
        <w:rPr/>
      </w:pPr>
      <w:bookmarkStart w:id="141" w:name="ref-roch-gagneFeasibilityOpenTrial2019"/>
      <w:r>
        <w:rPr/>
        <w:t xml:space="preserve">Roch-Gagné, M., &amp; Talbot, F. (2019). A Feasibility Open Trial of a Brief Internet-Delivered Written Exposure Therapy for Worry. </w:t>
      </w:r>
      <w:r>
        <w:rPr>
          <w:i/>
          <w:iCs/>
        </w:rPr>
        <w:t>Behavioural and Cognitive Psychotherapy</w:t>
      </w:r>
      <w:r>
        <w:rPr/>
        <w:t xml:space="preserve">, </w:t>
      </w:r>
      <w:r>
        <w:rPr>
          <w:i/>
          <w:iCs/>
        </w:rPr>
        <w:t>47</w:t>
      </w:r>
      <w:r>
        <w:rPr/>
        <w:t xml:space="preserve">(4), 462–477. </w:t>
      </w:r>
      <w:hyperlink r:id="rId72">
        <w:r>
          <w:rPr>
            <w:rStyle w:val="InternetLink"/>
          </w:rPr>
          <w:t>https://doi.org/10.1017/S1352465818000693</w:t>
        </w:r>
      </w:hyperlink>
      <w:bookmarkEnd w:id="141"/>
    </w:p>
    <w:p>
      <w:pPr>
        <w:pStyle w:val="Bibliography"/>
        <w:rPr/>
      </w:pPr>
      <w:bookmarkStart w:id="142" w:name="Xf8343849d0f8c2f1569805448e558b702b7b46a"/>
      <w:r>
        <w:rPr/>
        <w:t xml:space="preserve">Rodebaugh, T. L., Scullin, R. B., Langer, J. K., Dixon, D. J., Huppert, J. D., Bernstein, A., Zvielli, A., &amp; Lenze, E. J. (2016). Unreliability as a Threat to Understanding Psychopathology: The Cautionary Tale of Attentional Bias. </w:t>
      </w:r>
      <w:r>
        <w:rPr>
          <w:i/>
          <w:iCs/>
        </w:rPr>
        <w:t>Journal of Abnormal Psychology</w:t>
      </w:r>
      <w:r>
        <w:rPr/>
        <w:t xml:space="preserve">, </w:t>
      </w:r>
      <w:r>
        <w:rPr>
          <w:i/>
          <w:iCs/>
        </w:rPr>
        <w:t>125</w:t>
      </w:r>
      <w:r>
        <w:rPr/>
        <w:t xml:space="preserve">(6), 840–851. </w:t>
      </w:r>
      <w:hyperlink r:id="rId73">
        <w:r>
          <w:rPr>
            <w:rStyle w:val="InternetLink"/>
          </w:rPr>
          <w:t>https://doi.org/10.1037/abn0000184</w:t>
        </w:r>
      </w:hyperlink>
      <w:bookmarkEnd w:id="142"/>
    </w:p>
    <w:p>
      <w:pPr>
        <w:pStyle w:val="Bibliography"/>
        <w:rPr/>
      </w:pPr>
      <w:bookmarkStart w:id="143" w:name="Xcd520d52ddf0732c77bcb872078555af52e244c"/>
      <w:r>
        <w:rPr/>
        <w:t xml:space="preserve">Rousseau, A., &amp; Belleville, G. (2018). The mechanisms of action underlying the efficacy of psychological nightmare treatments: A systematic review and thematic analysis of discussed hypotheses. </w:t>
      </w:r>
      <w:r>
        <w:rPr>
          <w:i/>
          <w:iCs/>
        </w:rPr>
        <w:t>Sleep Medicine Reviews</w:t>
      </w:r>
      <w:r>
        <w:rPr/>
        <w:t xml:space="preserve">, </w:t>
      </w:r>
      <w:r>
        <w:rPr>
          <w:i/>
          <w:iCs/>
        </w:rPr>
        <w:t>39</w:t>
      </w:r>
      <w:r>
        <w:rPr/>
        <w:t xml:space="preserve">, 122–133. </w:t>
      </w:r>
      <w:hyperlink r:id="rId74">
        <w:r>
          <w:rPr>
            <w:rStyle w:val="InternetLink"/>
          </w:rPr>
          <w:t>https://doi.org/10.1016/j.smrv.2017.08.004</w:t>
        </w:r>
      </w:hyperlink>
      <w:bookmarkEnd w:id="143"/>
    </w:p>
    <w:p>
      <w:pPr>
        <w:pStyle w:val="Bibliography"/>
        <w:rPr/>
      </w:pPr>
      <w:bookmarkStart w:id="144" w:name="X58179c8d42924c45f426f2859adb43eb9763571"/>
      <w:r>
        <w:rPr/>
        <w:t xml:space="preserve">Ruini, C., &amp; Mortara, C. C. (2022). Writing Technique Across Psychotherapies—From Traditional Expressive Writing to New Positive Psychology Interventions: A Narrative Review. </w:t>
      </w:r>
      <w:r>
        <w:rPr>
          <w:i/>
          <w:iCs/>
        </w:rPr>
        <w:t>Journal of Contemporary Psychotherapy</w:t>
      </w:r>
      <w:r>
        <w:rPr/>
        <w:t xml:space="preserve">, </w:t>
      </w:r>
      <w:r>
        <w:rPr>
          <w:i/>
          <w:iCs/>
        </w:rPr>
        <w:t>52</w:t>
      </w:r>
      <w:r>
        <w:rPr/>
        <w:t xml:space="preserve">(1), 23–34. </w:t>
      </w:r>
      <w:hyperlink r:id="rId75">
        <w:r>
          <w:rPr>
            <w:rStyle w:val="InternetLink"/>
          </w:rPr>
          <w:t>https://doi.org/10.1007/s10879-021-09520-9</w:t>
        </w:r>
      </w:hyperlink>
      <w:bookmarkEnd w:id="144"/>
    </w:p>
    <w:p>
      <w:pPr>
        <w:pStyle w:val="Bibliography"/>
        <w:rPr/>
      </w:pPr>
      <w:bookmarkStart w:id="145" w:name="ref-ruppEmotionalProcessingTheory2017"/>
      <w:r>
        <w:rPr/>
        <w:t xml:space="preserve">Rupp, C., Doebler, P., Ehring, T., &amp; Vossbeck-Elsebusch, A. N. (2017). Emotional Processing Theory Put to Test: A Meta-Analysis on the Association Between Process and Outcome Measures in Exposure Therapy. </w:t>
      </w:r>
      <w:r>
        <w:rPr>
          <w:i/>
          <w:iCs/>
        </w:rPr>
        <w:t>Clinical Psychology &amp; Psychotherapy</w:t>
      </w:r>
      <w:r>
        <w:rPr/>
        <w:t xml:space="preserve">, </w:t>
      </w:r>
      <w:r>
        <w:rPr>
          <w:i/>
          <w:iCs/>
        </w:rPr>
        <w:t>24</w:t>
      </w:r>
      <w:r>
        <w:rPr/>
        <w:t xml:space="preserve">(3), 697–711. </w:t>
      </w:r>
      <w:hyperlink r:id="rId76">
        <w:r>
          <w:rPr>
            <w:rStyle w:val="InternetLink"/>
          </w:rPr>
          <w:t>https://doi.org/10.1002/cpp.2039</w:t>
        </w:r>
      </w:hyperlink>
      <w:bookmarkEnd w:id="145"/>
    </w:p>
    <w:p>
      <w:pPr>
        <w:pStyle w:val="Bibliography"/>
        <w:rPr/>
      </w:pPr>
      <w:bookmarkStart w:id="146" w:name="ref-samejimaGradedResponseModels2016"/>
      <w:r>
        <w:rPr/>
        <w:t xml:space="preserve">Samejima, F. (2016). Graded Response Models. In </w:t>
      </w:r>
      <w:r>
        <w:rPr>
          <w:i/>
          <w:iCs/>
        </w:rPr>
        <w:t>Handbook of Item Response Theory</w:t>
      </w:r>
      <w:r>
        <w:rPr/>
        <w:t>. Chapman and Hall/CRC.</w:t>
      </w:r>
      <w:bookmarkEnd w:id="146"/>
    </w:p>
    <w:p>
      <w:pPr>
        <w:pStyle w:val="Bibliography"/>
        <w:rPr/>
      </w:pPr>
      <w:bookmarkStart w:id="147" w:name="Xaec84f9c77cdbd42034d8c720b2484a0fed6bc3"/>
      <w:r>
        <w:rPr/>
        <w:t xml:space="preserve">Shafran, R., Thordarson, D. S., &amp; Rachman, S. (1996). Thought-action fusion in obsessive compulsive disorder. </w:t>
      </w:r>
      <w:r>
        <w:rPr>
          <w:i/>
          <w:iCs/>
        </w:rPr>
        <w:t>Journal of Anxiety Disorders</w:t>
      </w:r>
      <w:r>
        <w:rPr/>
        <w:t xml:space="preserve">, </w:t>
      </w:r>
      <w:r>
        <w:rPr>
          <w:i/>
          <w:iCs/>
        </w:rPr>
        <w:t>10</w:t>
      </w:r>
      <w:r>
        <w:rPr/>
        <w:t xml:space="preserve">(5), 379–391. </w:t>
      </w:r>
      <w:hyperlink r:id="rId77">
        <w:r>
          <w:rPr>
            <w:rStyle w:val="InternetLink"/>
          </w:rPr>
          <w:t>https://doi.org/10.1016/0887-6185(96)00018-7</w:t>
        </w:r>
      </w:hyperlink>
      <w:bookmarkEnd w:id="147"/>
    </w:p>
    <w:p>
      <w:pPr>
        <w:pStyle w:val="Bibliography"/>
        <w:rPr/>
      </w:pPr>
      <w:bookmarkStart w:id="148" w:name="ref-simonsDistressToleranceScale2005"/>
      <w:r>
        <w:rPr/>
        <w:t xml:space="preserve">Simons, J. S., &amp; Gaher, R. M. (2005). The Distress Tolerance Scale: Development and Validation of a Self-Report Measure. </w:t>
      </w:r>
      <w:r>
        <w:rPr>
          <w:i/>
          <w:iCs/>
        </w:rPr>
        <w:t>Motivation and Emotion</w:t>
      </w:r>
      <w:r>
        <w:rPr/>
        <w:t xml:space="preserve">, </w:t>
      </w:r>
      <w:r>
        <w:rPr>
          <w:i/>
          <w:iCs/>
        </w:rPr>
        <w:t>29</w:t>
      </w:r>
      <w:r>
        <w:rPr/>
        <w:t xml:space="preserve">(2), 83–102. </w:t>
      </w:r>
      <w:hyperlink r:id="rId78">
        <w:r>
          <w:rPr>
            <w:rStyle w:val="InternetLink"/>
          </w:rPr>
          <w:t>https://doi.org/10.1007/s11031-005-7955-3</w:t>
        </w:r>
      </w:hyperlink>
      <w:bookmarkEnd w:id="148"/>
    </w:p>
    <w:p>
      <w:pPr>
        <w:pStyle w:val="Bibliography"/>
        <w:rPr/>
      </w:pPr>
      <w:bookmarkStart w:id="149" w:name="ref-sloanWrittenExposureTherapy2019"/>
      <w:r>
        <w:rPr/>
        <w:t xml:space="preserve">Sloan, D. M., &amp; Marx, B. P. (2019). </w:t>
      </w:r>
      <w:r>
        <w:rPr>
          <w:i/>
          <w:iCs/>
        </w:rPr>
        <w:t>Written exposure therapy for PTSD: A brief treatment approach for mental health professionals</w:t>
      </w:r>
      <w:r>
        <w:rPr/>
        <w:t xml:space="preserve"> (pp. xiii, 115). American Psychological Association. </w:t>
      </w:r>
      <w:hyperlink r:id="rId79">
        <w:r>
          <w:rPr>
            <w:rStyle w:val="InternetLink"/>
          </w:rPr>
          <w:t>https://doi.org/10.1037/0000139-000</w:t>
        </w:r>
      </w:hyperlink>
      <w:bookmarkEnd w:id="149"/>
    </w:p>
    <w:p>
      <w:pPr>
        <w:pStyle w:val="Bibliography"/>
        <w:rPr/>
      </w:pPr>
      <w:bookmarkStart w:id="150" w:name="ref-sloanWrittenExposureTherapy2023"/>
      <w:r>
        <w:rPr/>
        <w:t xml:space="preserve">Sloan, D. M., Marx, B. P., Acierno, R., Messina, M., Muzzy, W., Gallagher, M. W., Litwack, S., &amp; Sloan, C. (2023). Written Exposure Therapy vs Prolonged Exposure Therapy in the Treatment of Posttraumatic Stress Disorder: A Randomized Clinical Trial. </w:t>
      </w:r>
      <w:r>
        <w:rPr>
          <w:i/>
          <w:iCs/>
        </w:rPr>
        <w:t>JAMA Psychiatry</w:t>
      </w:r>
      <w:r>
        <w:rPr/>
        <w:t xml:space="preserve">. </w:t>
      </w:r>
      <w:hyperlink r:id="rId80">
        <w:r>
          <w:rPr>
            <w:rStyle w:val="InternetLink"/>
          </w:rPr>
          <w:t>https://doi.org/10.1001/jamapsychiatry.2023.2810</w:t>
        </w:r>
      </w:hyperlink>
      <w:bookmarkEnd w:id="150"/>
    </w:p>
    <w:p>
      <w:pPr>
        <w:pStyle w:val="Bibliography"/>
        <w:rPr/>
      </w:pPr>
      <w:bookmarkStart w:id="151" w:name="ref-sloanWrittenExposureIntervention2012"/>
      <w:r>
        <w:rPr/>
        <w:t xml:space="preserve">Sloan, D. M., Marx, B. P., Bovin, M. J., Feinstein, B. A., &amp; Gallagher, M. W. (2012). Written exposure as an intervention for PTSD: A randomized clinical trial with motor vehicle accident survivors. </w:t>
      </w:r>
      <w:r>
        <w:rPr>
          <w:i/>
          <w:iCs/>
        </w:rPr>
        <w:t>Behaviour Research and Therapy</w:t>
      </w:r>
      <w:r>
        <w:rPr/>
        <w:t xml:space="preserve">, </w:t>
      </w:r>
      <w:r>
        <w:rPr>
          <w:i/>
          <w:iCs/>
        </w:rPr>
        <w:t>50</w:t>
      </w:r>
      <w:r>
        <w:rPr/>
        <w:t xml:space="preserve">(10), 627–635. </w:t>
      </w:r>
      <w:hyperlink r:id="rId81">
        <w:r>
          <w:rPr>
            <w:rStyle w:val="InternetLink"/>
          </w:rPr>
          <w:t>https://doi.org/10.1016/j.brat.2012.07.001</w:t>
        </w:r>
      </w:hyperlink>
      <w:bookmarkEnd w:id="151"/>
    </w:p>
    <w:p>
      <w:pPr>
        <w:pStyle w:val="Bibliography"/>
        <w:rPr/>
      </w:pPr>
      <w:bookmarkStart w:id="152" w:name="ref-sloanFurtherExaminationExposure2005"/>
      <w:r>
        <w:rPr/>
        <w:t xml:space="preserve">Sloan, D. M., Marx, B. P., &amp; Epstein, E. M. (2005). Further examination of the exposure model underlying the efficacy of written emotional disclosure. </w:t>
      </w:r>
      <w:r>
        <w:rPr>
          <w:i/>
          <w:iCs/>
        </w:rPr>
        <w:t>Journal of Consulting and Clinical Psychology</w:t>
      </w:r>
      <w:r>
        <w:rPr/>
        <w:t xml:space="preserve">, </w:t>
      </w:r>
      <w:r>
        <w:rPr>
          <w:i/>
          <w:iCs/>
        </w:rPr>
        <w:t>73</w:t>
      </w:r>
      <w:r>
        <w:rPr/>
        <w:t xml:space="preserve">(3), 549–554. </w:t>
      </w:r>
      <w:hyperlink r:id="rId82">
        <w:r>
          <w:rPr>
            <w:rStyle w:val="InternetLink"/>
          </w:rPr>
          <w:t>https://doi.org/10.1037/0022-006X.73.3.549</w:t>
        </w:r>
      </w:hyperlink>
      <w:bookmarkEnd w:id="152"/>
    </w:p>
    <w:p>
      <w:pPr>
        <w:pStyle w:val="Bibliography"/>
        <w:rPr/>
      </w:pPr>
      <w:bookmarkStart w:id="153" w:name="ref-sloanDoesAlteringWriting2007"/>
      <w:r>
        <w:rPr/>
        <w:t xml:space="preserve">Sloan, D. M., Marx, B. P., Epstein, E. M., &amp; Lexington, J. M. (2007). Does Altering the Writing Instructions Influence Outcome Associated With Written Disclosure? </w:t>
      </w:r>
      <w:r>
        <w:rPr>
          <w:i/>
          <w:iCs/>
        </w:rPr>
        <w:t>Behavior Therapy</w:t>
      </w:r>
      <w:r>
        <w:rPr/>
        <w:t xml:space="preserve">, </w:t>
      </w:r>
      <w:r>
        <w:rPr>
          <w:i/>
          <w:iCs/>
        </w:rPr>
        <w:t>38</w:t>
      </w:r>
      <w:r>
        <w:rPr/>
        <w:t xml:space="preserve">(2), 155–168. </w:t>
      </w:r>
      <w:hyperlink r:id="rId83">
        <w:r>
          <w:rPr>
            <w:rStyle w:val="InternetLink"/>
          </w:rPr>
          <w:t>https://doi.org/10.1016/j.beth.2006.06.005</w:t>
        </w:r>
      </w:hyperlink>
      <w:bookmarkEnd w:id="153"/>
    </w:p>
    <w:p>
      <w:pPr>
        <w:pStyle w:val="Bibliography"/>
        <w:rPr/>
      </w:pPr>
      <w:bookmarkStart w:id="154" w:name="ref-sloanBriefExposureBasedTreatment2018"/>
      <w:r>
        <w:rPr/>
        <w:t xml:space="preserve">Sloan, D. M., Marx, B. P., Lee, D. J., &amp; Resick, P. A. (2018). A Brief Exposure-Based Treatment vs Cognitive Processing Therapy for Posttraumatic Stress Disorder: A Randomized Noninferiority Clinical Trial. </w:t>
      </w:r>
      <w:r>
        <w:rPr>
          <w:i/>
          <w:iCs/>
        </w:rPr>
        <w:t>JAMA Psychiatry</w:t>
      </w:r>
      <w:r>
        <w:rPr/>
        <w:t xml:space="preserve">, </w:t>
      </w:r>
      <w:r>
        <w:rPr>
          <w:i/>
          <w:iCs/>
        </w:rPr>
        <w:t>75</w:t>
      </w:r>
      <w:r>
        <w:rPr/>
        <w:t xml:space="preserve">(3), 233–239. </w:t>
      </w:r>
      <w:hyperlink r:id="rId84">
        <w:r>
          <w:rPr>
            <w:rStyle w:val="InternetLink"/>
          </w:rPr>
          <w:t>https://doi.org/10.1001/jamapsychiatry.2017.4249</w:t>
        </w:r>
      </w:hyperlink>
      <w:bookmarkEnd w:id="154"/>
    </w:p>
    <w:p>
      <w:pPr>
        <w:pStyle w:val="Bibliography"/>
        <w:rPr/>
      </w:pPr>
      <w:bookmarkStart w:id="155" w:name="ref-smythExpressiveWritingClinical2008"/>
      <w:r>
        <w:rPr/>
        <w:t xml:space="preserve">Smyth, J. M., Nazarian, D., &amp; Arigo, D. (2008). Expressive Writing in the Clinical Context. In A. J. J. M. Vingerhoets, I. Nyklíček, &amp; J. Denollet (Eds.), </w:t>
      </w:r>
      <w:r>
        <w:rPr>
          <w:i/>
          <w:iCs/>
        </w:rPr>
        <w:t>Emotion Regulation: Conceptual and Clinical Issues</w:t>
      </w:r>
      <w:r>
        <w:rPr/>
        <w:t xml:space="preserve"> (pp. 215–233). Springer US. </w:t>
      </w:r>
      <w:hyperlink r:id="rId85">
        <w:r>
          <w:rPr>
            <w:rStyle w:val="InternetLink"/>
          </w:rPr>
          <w:t>https://doi.org/10.1007/978-0-387-29986-0_14</w:t>
        </w:r>
      </w:hyperlink>
      <w:bookmarkEnd w:id="155"/>
    </w:p>
    <w:p>
      <w:pPr>
        <w:pStyle w:val="Bibliography"/>
        <w:rPr/>
      </w:pPr>
      <w:bookmarkStart w:id="156" w:name="X3d665fe5a82b3f4d8f01b8061cb06ce08f1fe46"/>
      <w:r>
        <w:rPr/>
        <w:t xml:space="preserve">Sorka, H., Zlotnick, E., Barzilay, S., Moscovitch, D. A., &amp; Huppert, J. D. (in preparation). </w:t>
      </w:r>
      <w:r>
        <w:rPr>
          <w:i/>
          <w:iCs/>
        </w:rPr>
        <w:t>Transdiagnostic Self-Guided Imagery Rescripting with Two Conditions of Agent Type.</w:t>
      </w:r>
      <w:bookmarkEnd w:id="156"/>
    </w:p>
    <w:p>
      <w:pPr>
        <w:pStyle w:val="Bibliography"/>
        <w:rPr/>
      </w:pPr>
      <w:bookmarkStart w:id="157" w:name="X0b33497bea894be733ae39170a2e6a2f7ae8eaa"/>
      <w:r>
        <w:rPr/>
        <w:t xml:space="preserve">Thompson-Hollands, J., Farchione, T. J., &amp; Barlow, D. H. (2013). Thought-action fusion across anxiety disorder diagnoses: Specificity and treatment effects. </w:t>
      </w:r>
      <w:r>
        <w:rPr>
          <w:i/>
          <w:iCs/>
        </w:rPr>
        <w:t>The Journal of Nervous and Mental Disease</w:t>
      </w:r>
      <w:r>
        <w:rPr/>
        <w:t xml:space="preserve">, </w:t>
      </w:r>
      <w:r>
        <w:rPr>
          <w:i/>
          <w:iCs/>
        </w:rPr>
        <w:t>201</w:t>
      </w:r>
      <w:r>
        <w:rPr/>
        <w:t xml:space="preserve">(5), 407–413. </w:t>
      </w:r>
      <w:hyperlink r:id="rId86">
        <w:r>
          <w:rPr>
            <w:rStyle w:val="InternetLink"/>
          </w:rPr>
          <w:t>https://doi.org/10.1097/NMD.0b013e31828e102c</w:t>
        </w:r>
      </w:hyperlink>
      <w:bookmarkEnd w:id="157"/>
    </w:p>
    <w:p>
      <w:pPr>
        <w:pStyle w:val="Bibliography"/>
        <w:rPr/>
      </w:pPr>
      <w:bookmarkStart w:id="158" w:name="X09e0027db20fd73cad7cd5fffe9282be665707d"/>
      <w:r>
        <w:rPr/>
        <w:t xml:space="preserve">Thompson-Hollands, J., Marx, B. P., Lee, D. J., Resick, P. A., &amp; Sloan, D. M. (2018). Long-term treatment gains of a brief exposure-based treatment for PTSD. </w:t>
      </w:r>
      <w:r>
        <w:rPr>
          <w:i/>
          <w:iCs/>
        </w:rPr>
        <w:t>Depression and Anxiety</w:t>
      </w:r>
      <w:r>
        <w:rPr/>
        <w:t xml:space="preserve">, </w:t>
      </w:r>
      <w:r>
        <w:rPr>
          <w:i/>
          <w:iCs/>
        </w:rPr>
        <w:t>35</w:t>
      </w:r>
      <w:r>
        <w:rPr/>
        <w:t xml:space="preserve">(10), 985–991. </w:t>
      </w:r>
      <w:hyperlink r:id="rId87">
        <w:r>
          <w:rPr>
            <w:rStyle w:val="InternetLink"/>
          </w:rPr>
          <w:t>https://doi.org/10.1002/da.22825</w:t>
        </w:r>
      </w:hyperlink>
      <w:bookmarkEnd w:id="158"/>
    </w:p>
    <w:p>
      <w:pPr>
        <w:pStyle w:val="Bibliography"/>
        <w:rPr/>
      </w:pPr>
      <w:bookmarkStart w:id="159" w:name="Xbbcc4660485481413e3ca61050912148268ba0d"/>
      <w:r>
        <w:rPr/>
        <w:t xml:space="preserve">Thompson-Hollands, J., Marx, B. P., &amp; Sloan, D. M. (2019). Brief Novel Therapies for PTSD: Written Exposure Therapy. </w:t>
      </w:r>
      <w:r>
        <w:rPr>
          <w:i/>
          <w:iCs/>
        </w:rPr>
        <w:t>Current Treatment Options in Psychiatry</w:t>
      </w:r>
      <w:r>
        <w:rPr/>
        <w:t xml:space="preserve">, </w:t>
      </w:r>
      <w:r>
        <w:rPr>
          <w:i/>
          <w:iCs/>
        </w:rPr>
        <w:t>6</w:t>
      </w:r>
      <w:r>
        <w:rPr/>
        <w:t xml:space="preserve">(2), 99–106. </w:t>
      </w:r>
      <w:hyperlink r:id="rId88">
        <w:r>
          <w:rPr>
            <w:rStyle w:val="InternetLink"/>
          </w:rPr>
          <w:t>https://doi.org/10.1007/s40501-019-00168-w</w:t>
        </w:r>
      </w:hyperlink>
      <w:bookmarkEnd w:id="159"/>
    </w:p>
    <w:p>
      <w:pPr>
        <w:pStyle w:val="Bibliography"/>
        <w:rPr/>
      </w:pPr>
      <w:bookmarkStart w:id="160" w:name="Xd8a3426a5cd23b667fe8e968c99f229b370ba41"/>
      <w:r>
        <w:rPr/>
        <w:t xml:space="preserve">Tolin, D. F., Gilliam, C., Wootton, B. M., Bowe, W., Bragdon, L. B., Davis, E., Hannan, S. E., Steinman, S. A., Worden, B., &amp; Hallion, L. S. (2018). Psychometric Properties of a Structured Diagnostic Interview for DSM-5 Anxiety, Mood, and Obsessive-Compulsive and Related Disorders. </w:t>
      </w:r>
      <w:r>
        <w:rPr>
          <w:i/>
          <w:iCs/>
        </w:rPr>
        <w:t>Assessment</w:t>
      </w:r>
      <w:r>
        <w:rPr/>
        <w:t xml:space="preserve">, </w:t>
      </w:r>
      <w:r>
        <w:rPr>
          <w:i/>
          <w:iCs/>
        </w:rPr>
        <w:t>25</w:t>
      </w:r>
      <w:r>
        <w:rPr/>
        <w:t xml:space="preserve">(1), 3–13. </w:t>
      </w:r>
      <w:hyperlink r:id="rId89">
        <w:r>
          <w:rPr>
            <w:rStyle w:val="InternetLink"/>
          </w:rPr>
          <w:t>https://doi.org/10.1177/1073191116638410</w:t>
        </w:r>
      </w:hyperlink>
      <w:bookmarkEnd w:id="160"/>
    </w:p>
    <w:p>
      <w:pPr>
        <w:pStyle w:val="Bibliography"/>
        <w:rPr/>
      </w:pPr>
      <w:bookmarkStart w:id="161" w:name="ref-vanbreukelenANCOVACHANGEBaseline2013"/>
      <w:r>
        <w:rPr/>
        <w:t xml:space="preserve">van Breukelen, G. J. P. (2013). ANCOVA Versus CHANGE From Baseline in Nonrandomized Studies: The Difference. </w:t>
      </w:r>
      <w:r>
        <w:rPr>
          <w:i/>
          <w:iCs/>
        </w:rPr>
        <w:t>Multivariate Behavioral Research</w:t>
      </w:r>
      <w:r>
        <w:rPr/>
        <w:t xml:space="preserve">, </w:t>
      </w:r>
      <w:r>
        <w:rPr>
          <w:i/>
          <w:iCs/>
        </w:rPr>
        <w:t>48</w:t>
      </w:r>
      <w:r>
        <w:rPr/>
        <w:t xml:space="preserve">(6), 895–922. </w:t>
      </w:r>
      <w:hyperlink r:id="rId90">
        <w:r>
          <w:rPr>
            <w:rStyle w:val="InternetLink"/>
          </w:rPr>
          <w:t>https://doi.org/10.1080/00273171.2013.831743</w:t>
        </w:r>
      </w:hyperlink>
      <w:bookmarkEnd w:id="161"/>
    </w:p>
    <w:p>
      <w:pPr>
        <w:pStyle w:val="Bibliography"/>
        <w:rPr/>
      </w:pPr>
      <w:bookmarkStart w:id="162" w:name="ref-wangSystematicReviewMetaanalysis2023"/>
      <w:r>
        <w:rPr/>
        <w:t xml:space="preserve">Wang, Q., Zhang, W., &amp; An, S. (2023). A systematic review and meta-analysis of Internet-based self-help interventions for mental health among adolescents and college students. </w:t>
      </w:r>
      <w:r>
        <w:rPr>
          <w:i/>
          <w:iCs/>
        </w:rPr>
        <w:t>Internet Interventions</w:t>
      </w:r>
      <w:r>
        <w:rPr/>
        <w:t xml:space="preserve">, </w:t>
      </w:r>
      <w:r>
        <w:rPr>
          <w:i/>
          <w:iCs/>
        </w:rPr>
        <w:t>34</w:t>
      </w:r>
      <w:r>
        <w:rPr/>
        <w:t xml:space="preserve">, 100690. </w:t>
      </w:r>
      <w:hyperlink r:id="rId91">
        <w:r>
          <w:rPr>
            <w:rStyle w:val="InternetLink"/>
          </w:rPr>
          <w:t>https://doi.org/10.1016/j.invent.2023.100690</w:t>
        </w:r>
      </w:hyperlink>
      <w:bookmarkEnd w:id="162"/>
    </w:p>
    <w:p>
      <w:pPr>
        <w:pStyle w:val="Bibliography"/>
        <w:rPr/>
      </w:pPr>
      <w:bookmarkStart w:id="163" w:name="ref-wellsShortFormMetacognitions2004"/>
      <w:r>
        <w:rPr/>
        <w:t xml:space="preserve">Wells, A., &amp; Cartwright-Hatton, S. (2004). A short form of the metacognitions questionnaire: properties of the MCQ-30. </w:t>
      </w:r>
      <w:r>
        <w:rPr>
          <w:i/>
          <w:iCs/>
        </w:rPr>
        <w:t>Behaviour Research and Therapy</w:t>
      </w:r>
      <w:r>
        <w:rPr/>
        <w:t xml:space="preserve">, </w:t>
      </w:r>
      <w:r>
        <w:rPr>
          <w:i/>
          <w:iCs/>
        </w:rPr>
        <w:t>42</w:t>
      </w:r>
      <w:r>
        <w:rPr/>
        <w:t xml:space="preserve">(4), 385–396. </w:t>
      </w:r>
      <w:hyperlink r:id="rId92">
        <w:r>
          <w:rPr>
            <w:rStyle w:val="InternetLink"/>
          </w:rPr>
          <w:t>https://doi.org/10.1016/S0005-7967(03)00147-5</w:t>
        </w:r>
      </w:hyperlink>
      <w:bookmarkEnd w:id="163"/>
    </w:p>
    <w:p>
      <w:pPr>
        <w:pStyle w:val="Bibliography"/>
        <w:rPr/>
      </w:pPr>
      <w:bookmarkStart w:id="164" w:name="ref-wiscoMechanismsChangeWritten2016"/>
      <w:r>
        <w:rPr/>
        <w:t xml:space="preserve">Wisco, B. E., Baker, A. S., &amp; Sloan, D. M. (2016). Mechanisms of Change in Written Exposure Treatment of Posttraumatic Stress Disorder. </w:t>
      </w:r>
      <w:r>
        <w:rPr>
          <w:i/>
          <w:iCs/>
        </w:rPr>
        <w:t>Behavior Therapy</w:t>
      </w:r>
      <w:r>
        <w:rPr/>
        <w:t xml:space="preserve">, </w:t>
      </w:r>
      <w:r>
        <w:rPr>
          <w:i/>
          <w:iCs/>
        </w:rPr>
        <w:t>47</w:t>
      </w:r>
      <w:r>
        <w:rPr/>
        <w:t xml:space="preserve">(1), 66–74. </w:t>
      </w:r>
      <w:hyperlink r:id="rId93">
        <w:r>
          <w:rPr>
            <w:rStyle w:val="InternetLink"/>
          </w:rPr>
          <w:t>https://doi.org/10.1016/j.beth.2015.09.005</w:t>
        </w:r>
      </w:hyperlink>
      <w:bookmarkEnd w:id="164"/>
    </w:p>
    <w:p>
      <w:pPr>
        <w:pStyle w:val="Bibliography"/>
        <w:rPr/>
      </w:pPr>
      <w:bookmarkStart w:id="165" w:name="ref-zlotnickAnatomyFearCloser2025"/>
      <w:r>
        <w:rPr/>
        <w:t xml:space="preserve">Zlotnick, E., &amp; Huppert, J. D. (2025a). </w:t>
      </w:r>
      <w:r>
        <w:rPr>
          <w:i/>
          <w:iCs/>
        </w:rPr>
        <w:t>The Anatomy of Fear: A Closer Look at Core Threats</w:t>
      </w:r>
      <w:r>
        <w:rPr/>
        <w:t xml:space="preserve"> [Paper submitted for publication].</w:t>
      </w:r>
      <w:bookmarkEnd w:id="165"/>
    </w:p>
    <w:p>
      <w:pPr>
        <w:pStyle w:val="Bibliography"/>
        <w:rPr/>
      </w:pPr>
      <w:bookmarkStart w:id="166" w:name="ref-zlotnickCoreThreatStructured2025"/>
      <w:r>
        <w:rPr/>
        <w:t xml:space="preserve">Zlotnick, E., &amp; Huppert, J. D. (2025b). </w:t>
      </w:r>
      <w:r>
        <w:rPr>
          <w:i/>
          <w:iCs/>
        </w:rPr>
        <w:t>The Core Threat Structured Interview: Pyschoemetrics and Phenomenology</w:t>
      </w:r>
      <w:r>
        <w:rPr/>
        <w:t xml:space="preserve"> [Paper submitted for publication].</w:t>
      </w:r>
      <w:bookmarkEnd w:id="166"/>
    </w:p>
    <w:p>
      <w:pPr>
        <w:pStyle w:val="Bibliography"/>
        <w:spacing w:before="120" w:after="240"/>
        <w:ind w:left="680" w:hanging="680"/>
        <w:rPr/>
      </w:pPr>
      <w:bookmarkStart w:id="167" w:name="X97cff915f97477c93b487318461d9529b81a1c4"/>
      <w:r>
        <w:rPr/>
        <w:t xml:space="preserve">Zuromski, K. L., Ustun, B., Hwang, I., Keane, T. M., Marx, B. P., Stein, M. B., Ursano, R. J., &amp; Kessler, R. C. (2019). Developing an optimal short-form of the PTSD Checklist for DSM-5 (PCL-5). </w:t>
      </w:r>
      <w:r>
        <w:rPr>
          <w:i/>
          <w:iCs/>
        </w:rPr>
        <w:t>Depression and Anxiety</w:t>
      </w:r>
      <w:r>
        <w:rPr/>
        <w:t xml:space="preserve">, </w:t>
      </w:r>
      <w:r>
        <w:rPr>
          <w:i/>
          <w:iCs/>
        </w:rPr>
        <w:t>36</w:t>
      </w:r>
      <w:r>
        <w:rPr/>
        <w:t xml:space="preserve">(9), 790–800. </w:t>
      </w:r>
      <w:hyperlink r:id="rId94">
        <w:r>
          <w:rPr>
            <w:rStyle w:val="InternetLink"/>
          </w:rPr>
          <w:t>https://doi.org/10.1002/da.22942</w:t>
        </w:r>
      </w:hyperlink>
      <w:bookmarkEnd w:id="63"/>
      <w:bookmarkEnd w:id="64"/>
      <w:bookmarkEnd w:id="167"/>
    </w:p>
    <w:sectPr>
      <w:headerReference w:type="even" r:id="rId95"/>
      <w:headerReference w:type="default" r:id="rId96"/>
      <w:headerReference w:type="first" r:id="rId97"/>
      <w:type w:val="nextPage"/>
      <w:pgSz w:w="12240" w:h="15840"/>
      <w:pgMar w:left="1417" w:right="1417" w:gutter="0" w:header="720" w:top="1417" w:footer="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011925503"/>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Header"/>
      <w:ind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04597837"/>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sdtContent>
  </w:sdt>
  <w:p>
    <w:pPr>
      <w:pStyle w:val="Header"/>
      <w:ind w:right="360" w:hanging="0"/>
      <w:rPr/>
    </w:pPr>
    <w:r>
      <w:rPr/>
      <w:t>TRANSDIAGNOSTIC WET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93927871"/>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pPr>
      <w:pStyle w:val="Header"/>
      <w:ind w:right="360" w:hanging="0"/>
      <w:rPr/>
    </w:pPr>
    <w:r>
      <w:rPr/>
      <w:t>Running head: TRANSDIAGNOSTIC WET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72ff5"/>
    <w:pPr>
      <w:widowControl/>
      <w:bidi w:val="0"/>
      <w:spacing w:lineRule="auto" w:line="480" w:before="12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572ff5"/>
    <w:pPr>
      <w:keepNext w:val="true"/>
      <w:keepLines/>
      <w:spacing w:before="480" w:after="0"/>
      <w:jc w:val="center"/>
      <w:outlineLvl w:val="0"/>
    </w:pPr>
    <w:rPr>
      <w:rFonts w:eastAsia="" w:cs="" w:cstheme="majorBidi" w:eastAsiaTheme="majorEastAsia"/>
      <w:b/>
      <w:bCs/>
      <w:szCs w:val="32"/>
    </w:rPr>
  </w:style>
  <w:style w:type="paragraph" w:styleId="Heading2">
    <w:name w:val="Heading 2"/>
    <w:basedOn w:val="Heading1"/>
    <w:next w:val="TextBody"/>
    <w:uiPriority w:val="9"/>
    <w:unhideWhenUsed/>
    <w:qFormat/>
    <w:rsid w:val="00ab6a32"/>
    <w:pPr>
      <w:spacing w:before="200" w:after="0"/>
      <w:jc w:val="left"/>
      <w:outlineLvl w:val="1"/>
    </w:pPr>
    <w:rPr>
      <w:bCs w:val="false"/>
    </w:rPr>
  </w:style>
  <w:style w:type="paragraph" w:styleId="Heading3">
    <w:name w:val="Heading 3"/>
    <w:basedOn w:val="Heading2"/>
    <w:next w:val="Normal"/>
    <w:uiPriority w:val="9"/>
    <w:unhideWhenUsed/>
    <w:qFormat/>
    <w:rsid w:val="007f2ec5"/>
    <w:pPr>
      <w:spacing w:lineRule="auto" w:line="240" w:before="0" w:after="0"/>
      <w:ind w:firstLine="680"/>
      <w:outlineLvl w:val="2"/>
    </w:pPr>
    <w:rPr>
      <w:bCs/>
      <w:szCs w:val="28"/>
    </w:rPr>
  </w:style>
  <w:style w:type="paragraph" w:styleId="Heading4">
    <w:name w:val="Heading 4"/>
    <w:basedOn w:val="Heading3"/>
    <w:next w:val="TextBody"/>
    <w:uiPriority w:val="9"/>
    <w:unhideWhenUsed/>
    <w:qFormat/>
    <w:rsid w:val="00f0724a"/>
    <w:pPr>
      <w:outlineLvl w:val="3"/>
    </w:pPr>
    <w:rPr>
      <w:bCs w:val="false"/>
      <w:i/>
    </w:rPr>
  </w:style>
  <w:style w:type="paragraph" w:styleId="Heading5">
    <w:name w:val="Heading 5"/>
    <w:basedOn w:val="Heading4"/>
    <w:next w:val="TextBody"/>
    <w:uiPriority w:val="9"/>
    <w:unhideWhenUsed/>
    <w:qFormat/>
    <w:rsid w:val="00f0724a"/>
    <w:pPr>
      <w:outlineLvl w:val="4"/>
    </w:pPr>
    <w:rPr>
      <w:b w:val="false"/>
      <w:iCs/>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Caption1"/>
    <w:qFormat/>
    <w:rPr/>
  </w:style>
  <w:style w:type="character" w:styleId="VerbatimChar" w:customStyle="1">
    <w:name w:val="Verbatim Char"/>
    <w:basedOn w:val="BeschriftungZchn"/>
    <w:link w:val="SourceCode"/>
    <w:qFormat/>
    <w:rPr>
      <w:rFonts w:ascii="Consolas" w:hAnsi="Consolas"/>
      <w:sz w:val="22"/>
    </w:rPr>
  </w:style>
  <w:style w:type="character" w:styleId="FootnoteCharacters">
    <w:name w:val="Footnote Characters"/>
    <w:basedOn w:val="BeschriftungZchn"/>
    <w:qFormat/>
    <w:rPr>
      <w:vertAlign w:val="superscript"/>
    </w:rPr>
  </w:style>
  <w:style w:type="character" w:styleId="FootnoteAnchor">
    <w:name w:val="Footnote Anchor"/>
    <w:rPr>
      <w:vertAlign w:val="superscript"/>
    </w:rPr>
  </w:style>
  <w:style w:type="character" w:styleId="InternetLink">
    <w:name w:val="Hyperlink"/>
    <w:basedOn w:val="BeschriftungZchn"/>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KopfzeileZchn" w:customStyle="1">
    <w:name w:val="Kopfzeile Zchn"/>
    <w:basedOn w:val="DefaultParagraphFont"/>
    <w:link w:val="Header"/>
    <w:uiPriority w:val="99"/>
    <w:qFormat/>
    <w:rsid w:val="00af36ed"/>
    <w:rPr/>
  </w:style>
  <w:style w:type="character" w:styleId="FuzeileZchn" w:customStyle="1">
    <w:name w:val="Fußzeile Zchn"/>
    <w:basedOn w:val="DefaultParagraphFont"/>
    <w:link w:val="Footer"/>
    <w:qFormat/>
    <w:rsid w:val="00af36ed"/>
    <w:rPr/>
  </w:style>
  <w:style w:type="character" w:styleId="Pagenumber">
    <w:name w:val="page number"/>
    <w:basedOn w:val="DefaultParagraphFont"/>
    <w:semiHidden/>
    <w:unhideWhenUsed/>
    <w:qFormat/>
    <w:rsid w:val="00af36ed"/>
    <w:rPr/>
  </w:style>
  <w:style w:type="character" w:styleId="TextkrperZchn" w:customStyle="1">
    <w:name w:val="Textkörper Zchn"/>
    <w:basedOn w:val="DefaultParagraphFont"/>
    <w:qFormat/>
    <w:rsid w:val="005036c4"/>
    <w:rPr>
      <w:rFonts w:ascii="Times New Roman" w:hAnsi="Times New Roman"/>
    </w:rPr>
  </w:style>
  <w:style w:type="character" w:styleId="BookTitle">
    <w:name w:val="Book Title"/>
    <w:basedOn w:val="DefaultParagraphFont"/>
    <w:qFormat/>
    <w:rsid w:val="00f14702"/>
    <w:rPr>
      <w:b/>
      <w:bCs/>
      <w:i/>
      <w:iCs/>
      <w:spacing w:val="5"/>
    </w:rPr>
  </w:style>
  <w:style w:type="character" w:styleId="Linenumber">
    <w:name w:val="line number"/>
    <w:basedOn w:val="DefaultParagraphFont"/>
    <w:semiHidden/>
    <w:unhideWhenUsed/>
    <w:qFormat/>
    <w:rsid w:val="003d36d1"/>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TextkrperZchn"/>
    <w:qFormat/>
    <w:rsid w:val="005036c4"/>
    <w:pPr>
      <w:spacing w:before="180" w:after="240"/>
      <w:ind w:firstLine="6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rsid w:val="00af6de6"/>
    <w:pPr>
      <w:spacing w:lineRule="auto" w:line="240" w:before="180" w:after="180"/>
      <w:ind w:hanging="0"/>
    </w:pPr>
    <w:rPr/>
  </w:style>
  <w:style w:type="paragraph" w:styleId="Title">
    <w:name w:val="Title"/>
    <w:basedOn w:val="Normal"/>
    <w:next w:val="TextBody"/>
    <w:qFormat/>
    <w:rsid w:val="00186200"/>
    <w:pPr>
      <w:keepNext w:val="true"/>
      <w:keepLines/>
      <w:spacing w:before="2040" w:after="240"/>
      <w:jc w:val="center"/>
    </w:pPr>
    <w:rPr>
      <w:rFonts w:eastAsia="" w:cs="" w:cstheme="majorBidi" w:eastAsiaTheme="majorEastAsia"/>
      <w:bCs/>
      <w:szCs w:val="36"/>
    </w:rPr>
  </w:style>
  <w:style w:type="paragraph" w:styleId="Subtitle">
    <w:name w:val="Subtitle"/>
    <w:basedOn w:val="Title"/>
    <w:next w:val="TextBody"/>
    <w:qFormat/>
    <w:rsid w:val="00572ff5"/>
    <w:pPr>
      <w:spacing w:before="240" w:after="240"/>
    </w:pPr>
    <w:rPr>
      <w:szCs w:val="30"/>
    </w:rPr>
  </w:style>
  <w:style w:type="paragraph" w:styleId="Author" w:customStyle="1">
    <w:name w:val="Author"/>
    <w:basedOn w:val="Title"/>
    <w:next w:val="TextBody"/>
    <w:qFormat/>
    <w:rsid w:val="00cb20d0"/>
    <w:pPr>
      <w:spacing w:before="0" w:after="240"/>
    </w:pPr>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572ff5"/>
    <w:pPr>
      <w:keepNext w:val="true"/>
      <w:keepLines/>
      <w:spacing w:before="300" w:after="300"/>
    </w:pPr>
    <w:rPr>
      <w:szCs w:val="20"/>
    </w:rPr>
  </w:style>
  <w:style w:type="paragraph" w:styleId="Bibliography">
    <w:name w:val="Bibliography"/>
    <w:basedOn w:val="Normal"/>
    <w:qFormat/>
    <w:rsid w:val="00572ff5"/>
    <w:pPr>
      <w:ind w:left="680" w:hanging="680"/>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rsid w:val="00925aa9"/>
    <w:pPr>
      <w:suppressLineNumbers/>
      <w:spacing w:before="0" w:after="240"/>
    </w:pPr>
    <w:rPr/>
  </w:style>
  <w:style w:type="paragraph" w:styleId="DefinitionTerm" w:customStyle="1">
    <w:name w:val="Definition Term"/>
    <w:basedOn w:val="Normal"/>
    <w:next w:val="Definition"/>
    <w:qFormat/>
    <w:pPr>
      <w:keepNext w:val="true"/>
      <w:keepLines/>
      <w:spacing w:before="120" w:after="0"/>
    </w:pPr>
    <w:rPr>
      <w:b/>
    </w:rPr>
  </w:style>
  <w:style w:type="paragraph" w:styleId="Definition" w:customStyle="1">
    <w:name w:val="Definition"/>
    <w:basedOn w:val="Normal"/>
    <w:qFormat/>
    <w:pPr/>
    <w:rPr/>
  </w:style>
  <w:style w:type="paragraph" w:styleId="Caption1">
    <w:name w:val="caption"/>
    <w:basedOn w:val="Normal"/>
    <w:link w:val="BeschriftungZchn"/>
    <w:qFormat/>
    <w:pPr>
      <w:spacing w:before="120" w:after="120"/>
    </w:pPr>
    <w:rPr>
      <w:i/>
    </w:rPr>
  </w:style>
  <w:style w:type="paragraph" w:styleId="TableCaption" w:customStyle="1">
    <w:name w:val="Table Caption"/>
    <w:basedOn w:val="Caption1"/>
    <w:qFormat/>
    <w:rsid w:val="006e6812"/>
    <w:pPr>
      <w:keepNext w:val="true"/>
      <w:suppressLineNumbers/>
      <w:spacing w:before="240" w:after="120"/>
    </w:pPr>
    <w:rPr>
      <w:i w:val="false"/>
    </w:rPr>
  </w:style>
  <w:style w:type="paragraph" w:styleId="ImageCaption" w:customStyle="1">
    <w:name w:val="Image Caption"/>
    <w:basedOn w:val="Caption1"/>
    <w:qFormat/>
    <w:rsid w:val="009e05de"/>
    <w:pPr>
      <w:keepLines/>
      <w:suppressLineNumbers/>
      <w:spacing w:before="120" w:after="600"/>
    </w:pPr>
    <w:rPr>
      <w:i w:val="false"/>
    </w:rPr>
  </w:style>
  <w:style w:type="paragraph" w:styleId="Figure" w:customStyle="1">
    <w:name w:val="Figure"/>
    <w:basedOn w:val="Normal"/>
    <w:qFormat/>
    <w:rsid w:val="003d36d1"/>
    <w:pPr>
      <w:suppressLineNumbers/>
      <w:jc w:val="center"/>
    </w:pPr>
    <w:rPr/>
  </w:style>
  <w:style w:type="paragraph" w:styleId="CaptionedFigure" w:customStyle="1">
    <w:name w:val="Captioned Figure"/>
    <w:basedOn w:val="Figure"/>
    <w:qFormat/>
    <w:rsid w:val="003d36d1"/>
    <w:pPr>
      <w:keepNext w:val="true"/>
      <w:spacing w:before="240" w:after="120"/>
    </w:pPr>
    <w:rPr/>
  </w:style>
  <w:style w:type="paragraph" w:styleId="IndexHeading">
    <w:name w:val="Index Heading"/>
    <w:basedOn w:val="Heading"/>
    <w:pPr/>
    <w:rPr/>
  </w:style>
  <w:style w:type="paragraph" w:styleId="ContentsHeading">
    <w:name w:val="TOC Heading"/>
    <w:basedOn w:val="Heading1"/>
    <w:next w:val="TextBody"/>
    <w:uiPriority w:val="39"/>
    <w:unhideWhenUsed/>
    <w:qFormat/>
    <w:rsid w:val="00006d3f"/>
    <w:pPr>
      <w:spacing w:before="240" w:after="240"/>
      <w:outlineLvl w:val="9"/>
    </w:pPr>
    <w:rPr>
      <w:bCs w:val="false"/>
    </w:rPr>
  </w:style>
  <w:style w:type="paragraph" w:styleId="SourceCode" w:customStyle="1">
    <w:name w:val="Source Code"/>
    <w:basedOn w:val="Normal"/>
    <w:link w:val="VerbatimChar"/>
    <w:qFormat/>
    <w:pPr>
      <w:shd w:val="clear" w:color="auto" w:fill="F8F8F8"/>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af36ed"/>
    <w:pPr>
      <w:tabs>
        <w:tab w:val="clear" w:pos="720"/>
        <w:tab w:val="center" w:pos="4536" w:leader="none"/>
        <w:tab w:val="right" w:pos="9072" w:leader="none"/>
      </w:tabs>
      <w:spacing w:before="120" w:after="0"/>
    </w:pPr>
    <w:rPr/>
  </w:style>
  <w:style w:type="paragraph" w:styleId="Footer">
    <w:name w:val="Footer"/>
    <w:basedOn w:val="Normal"/>
    <w:link w:val="FuzeileZchn"/>
    <w:unhideWhenUsed/>
    <w:rsid w:val="00af36ed"/>
    <w:pPr>
      <w:tabs>
        <w:tab w:val="clear" w:pos="720"/>
        <w:tab w:val="center" w:pos="4536" w:leader="none"/>
        <w:tab w:val="right" w:pos="9072" w:leader="none"/>
      </w:tabs>
      <w:spacing w:before="120" w:after="0"/>
    </w:pPr>
    <w:rPr/>
  </w:style>
  <w:style w:type="paragraph" w:styleId="H1pagebreak" w:customStyle="1">
    <w:name w:val="h1-pagebreak"/>
    <w:basedOn w:val="Heading1"/>
    <w:qFormat/>
    <w:rsid w:val="00dd5581"/>
    <w:pPr>
      <w:pageBreakBefore/>
    </w:pPr>
    <w:rPr>
      <w:b w:val="false"/>
    </w:rPr>
  </w:style>
  <w:style w:type="paragraph" w:styleId="H1titlepage" w:customStyle="1">
    <w:name w:val="h1-titlepage"/>
    <w:basedOn w:val="H1pagebreak"/>
    <w:qFormat/>
    <w:rsid w:val="00a05772"/>
    <w:pPr/>
    <w:rPr>
      <w:b/>
    </w:rPr>
  </w:style>
  <w:style w:type="paragraph" w:styleId="Tablenote" w:customStyle="1">
    <w:name w:val="table-note"/>
    <w:basedOn w:val="Compact"/>
    <w:qFormat/>
    <w:rsid w:val="003d36d1"/>
    <w:pPr>
      <w:suppressLineNumbers/>
    </w:pPr>
    <w:rPr/>
  </w:style>
  <w:style w:type="paragraph" w:styleId="Authornote" w:customStyle="1">
    <w:name w:val="authornote"/>
    <w:basedOn w:val="TextBody"/>
    <w:qFormat/>
    <w:rsid w:val="00eb1f7e"/>
    <w:pPr/>
    <w:rPr/>
  </w:style>
  <w:style w:type="paragraph" w:styleId="Authornotetitle" w:customStyle="1">
    <w:name w:val="authornote-title"/>
    <w:basedOn w:val="Author"/>
    <w:qFormat/>
    <w:rsid w:val="00eb1f7e"/>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
    <w:name w:val="Table"/>
    <w:basedOn w:val="NormaleTabelle"/>
    <w:uiPriority w:val="99"/>
    <w:rsid w:val="00435f1a"/>
    <w:pPr>
      <w:spacing w:after="240"/>
    </w:pPr>
    <w:rPr/>
    <w:tblPr>
      <w:tblBorders>
        <w:top w:val="single" w:color="auto" w:sz="12" w:space="0"/>
        <w:bottom w:val="single" w:color="auto" w:sz="4" w:space="0"/>
      </w:tblBorders>
    </w:tblPr>
    <w:tcPr>
      <w:vAlign w:val="center"/>
    </w:tcPr>
    <w:tblStylePr w:type="firstRow">
      <w:tblPr/>
      <w:tcPr>
        <w:tcBorders>
          <w:top w:val="single" w:color="auto" w:sz="8" w:space="0"/>
          <w:bottom w:val="single" w:color="auto" w:sz="4" w:space="0"/>
        </w:tcBorders>
      </w:tcPr>
    </w:tblStylePr>
    <w:tblStylePr w:type="lastRow">
      <w:tblPr/>
      <w:tcPr>
        <w:tcBorders>
          <w:bottom w:val="single" w:color="auto" w:sz="4" w:space="0"/>
        </w:tcBorders>
      </w:tcPr>
    </w:tblStylePr>
  </w:style>
  <w:style w:type="table" w:styleId="Tabellenraster">
    <w:name w:val="Table Grid"/>
    <w:basedOn w:val="NormaleTabelle"/>
    <w:rsid w:val="00006d3f"/>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rsid w:val="00006d3f"/>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EinfacheTabelle2">
    <w:name w:val="Plain Table 2"/>
    <w:basedOn w:val="NormaleTabelle"/>
    <w:rsid w:val="00006d3f"/>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EinfacheTabelle1">
    <w:name w:val="Plain Table 1"/>
    <w:basedOn w:val="NormaleTabelle"/>
    <w:rsid w:val="00006d3f"/>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lad.zlotnick@mail.huji.ac.il" TargetMode="External"/><Relationship Id="rId3" Type="http://schemas.openxmlformats.org/officeDocument/2006/relationships/hyperlink" Target="doi.org/10.17605/OSF.IO/2CEHR" TargetMode="External"/><Relationship Id="rId4" Type="http://schemas.openxmlformats.org/officeDocument/2006/relationships/hyperlink" Target="https://github.com/eladzlot/transdiagnostic.wet-2025-public"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doi.org/10.3109/09638237.2011.608747" TargetMode="External"/><Relationship Id="rId9" Type="http://schemas.openxmlformats.org/officeDocument/2006/relationships/hyperlink" Target="https://doi.org/10.1002/wps.20610" TargetMode="External"/><Relationship Id="rId10" Type="http://schemas.openxmlformats.org/officeDocument/2006/relationships/hyperlink" Target="https://doi.org/10.1016/j.beth.2016.02.003" TargetMode="External"/><Relationship Id="rId11" Type="http://schemas.openxmlformats.org/officeDocument/2006/relationships/hyperlink" Target="https://doi.org/10.1037/a0035628" TargetMode="External"/><Relationship Id="rId12" Type="http://schemas.openxmlformats.org/officeDocument/2006/relationships/hyperlink" Target="https://doi.org/10.1093/ije/dyh299" TargetMode="External"/><Relationship Id="rId13" Type="http://schemas.openxmlformats.org/officeDocument/2006/relationships/hyperlink" Target="https://doi.org/10.1111/j.2044-8317.1988.tb00901.x" TargetMode="External"/><Relationship Id="rId14" Type="http://schemas.openxmlformats.org/officeDocument/2006/relationships/hyperlink" Target="https://doi.org/10.1016/S0005-7967(97)10027-4" TargetMode="External"/><Relationship Id="rId15" Type="http://schemas.openxmlformats.org/officeDocument/2006/relationships/hyperlink" Target="https://doi.org/10.1037/apl0000251" TargetMode="External"/><Relationship Id="rId16" Type="http://schemas.openxmlformats.org/officeDocument/2006/relationships/hyperlink" Target="https://doi.org/10.1016/j.psychres.2018.03.085" TargetMode="External"/><Relationship Id="rId17" Type="http://schemas.openxmlformats.org/officeDocument/2006/relationships/hyperlink" Target="https://doi.org/10.1146/annurev.psych.47.1.33" TargetMode="External"/><Relationship Id="rId18" Type="http://schemas.openxmlformats.org/officeDocument/2006/relationships/hyperlink" Target="https://doi.org/10.3389/fpsyg.2021.696419" TargetMode="External"/><Relationship Id="rId19" Type="http://schemas.openxmlformats.org/officeDocument/2006/relationships/hyperlink" Target="https://doi.org/10.1016/j.brat.2010.10.002" TargetMode="External"/><Relationship Id="rId20" Type="http://schemas.openxmlformats.org/officeDocument/2006/relationships/hyperlink" Target="https://doi.org/10.18637/jss.v076.i01" TargetMode="External"/><Relationship Id="rId21" Type="http://schemas.openxmlformats.org/officeDocument/2006/relationships/hyperlink" Target="https://doi.org/10.1016/j.cpr.2017.07.003" TargetMode="External"/><Relationship Id="rId22" Type="http://schemas.openxmlformats.org/officeDocument/2006/relationships/hyperlink" Target="https://doi.org/10.1016/j.brat.2007.10.003" TargetMode="External"/><Relationship Id="rId23" Type="http://schemas.openxmlformats.org/officeDocument/2006/relationships/hyperlink" Target="https://doi.org/10.3758/BRM.42.1.205" TargetMode="External"/><Relationship Id="rId24" Type="http://schemas.openxmlformats.org/officeDocument/2006/relationships/hyperlink" Target="https://doi.org/10.1521/ijct.2011.4.2.187" TargetMode="External"/><Relationship Id="rId25" Type="http://schemas.openxmlformats.org/officeDocument/2006/relationships/hyperlink" Target="https://doi.org/10.1037/a0035276" TargetMode="External"/><Relationship Id="rId26" Type="http://schemas.openxmlformats.org/officeDocument/2006/relationships/hyperlink" Target="https://doi.org/10.1016/s0005-7916(00)00012-4" TargetMode="External"/><Relationship Id="rId27" Type="http://schemas.openxmlformats.org/officeDocument/2006/relationships/hyperlink" Target="https://doi.org/10.1037/a0020570" TargetMode="External"/><Relationship Id="rId28" Type="http://schemas.openxmlformats.org/officeDocument/2006/relationships/hyperlink" Target="https://doi.org/10.1016/j.brat.2015.12.017" TargetMode="External"/><Relationship Id="rId29" Type="http://schemas.openxmlformats.org/officeDocument/2006/relationships/hyperlink" Target="https://doi.org/10.1016/j.newideapsych.2020.100785" TargetMode="External"/><Relationship Id="rId30" Type="http://schemas.openxmlformats.org/officeDocument/2006/relationships/hyperlink" Target="https://doi.org/10.4103/ijpvm.ijpvm_208_21" TargetMode="External"/><Relationship Id="rId31" Type="http://schemas.openxmlformats.org/officeDocument/2006/relationships/hyperlink" Target="https://doi.org/10.1016/0005-7967(78)90010-4" TargetMode="External"/><Relationship Id="rId32" Type="http://schemas.openxmlformats.org/officeDocument/2006/relationships/hyperlink" Target="https://doi.org/10.1037/0033-2909.99.1.20" TargetMode="External"/><Relationship Id="rId33" Type="http://schemas.openxmlformats.org/officeDocument/2006/relationships/hyperlink" Target="https://doi.org/10.1017/S0033291706007355" TargetMode="External"/><Relationship Id="rId34" Type="http://schemas.openxmlformats.org/officeDocument/2006/relationships/hyperlink" Target="https://doi.org/10.1016/j.janxdis.2014.05.011" TargetMode="External"/><Relationship Id="rId35" Type="http://schemas.openxmlformats.org/officeDocument/2006/relationships/hyperlink" Target="https://doi.org/10.1037/0033-2909.132.6.823" TargetMode="External"/><Relationship Id="rId36" Type="http://schemas.openxmlformats.org/officeDocument/2006/relationships/hyperlink" Target="https://doi.org/10.1016/j.jocrd.2012.05.002" TargetMode="External"/><Relationship Id="rId37" Type="http://schemas.openxmlformats.org/officeDocument/2006/relationships/hyperlink" Target="https://doi.org/10.1177/0145445506298651" TargetMode="External"/><Relationship Id="rId38" Type="http://schemas.openxmlformats.org/officeDocument/2006/relationships/hyperlink" Target="https://doi.org/10.1177/01650254211064352" TargetMode="External"/><Relationship Id="rId39" Type="http://schemas.openxmlformats.org/officeDocument/2006/relationships/hyperlink" Target="https://doi.org/10.1177/2167702618772296" TargetMode="External"/><Relationship Id="rId40" Type="http://schemas.openxmlformats.org/officeDocument/2006/relationships/hyperlink" Target="https://doi.org/10.1037/a0018555" TargetMode="External"/><Relationship Id="rId41" Type="http://schemas.openxmlformats.org/officeDocument/2006/relationships/hyperlink" Target="https://doi.org/10.1037/1528-3542.5.4.489" TargetMode="External"/><Relationship Id="rId42" Type="http://schemas.openxmlformats.org/officeDocument/2006/relationships/hyperlink" Target="https://doi.org/10.1016/j.cpr.2010.01.001" TargetMode="External"/><Relationship Id="rId43" Type="http://schemas.openxmlformats.org/officeDocument/2006/relationships/hyperlink" Target="https://doi.org/10.1371/journal.pone.0036905" TargetMode="External"/><Relationship Id="rId44" Type="http://schemas.openxmlformats.org/officeDocument/2006/relationships/hyperlink" Target="https://doi.org/10.1146/annurev.clinpsy.3.022806.091432" TargetMode="External"/><Relationship Id="rId45" Type="http://schemas.openxmlformats.org/officeDocument/2006/relationships/hyperlink" Target="https://doi.org/10.1001/archpsyc.59.10.877" TargetMode="External"/><Relationship Id="rId46" Type="http://schemas.openxmlformats.org/officeDocument/2006/relationships/hyperlink" Target="https://doi.org/10.1207/s15402010bsm0401_4" TargetMode="External"/><Relationship Id="rId47" Type="http://schemas.openxmlformats.org/officeDocument/2006/relationships/hyperlink" Target="https://doi.org/10.1016/j.jad.2008.06.026" TargetMode="External"/><Relationship Id="rId48" Type="http://schemas.openxmlformats.org/officeDocument/2006/relationships/hyperlink" Target="https://doi.org/10.1016/bs.aesp.2016.10.002" TargetMode="External"/><Relationship Id="rId49" Type="http://schemas.openxmlformats.org/officeDocument/2006/relationships/hyperlink" Target="https://doi.org/10.1016/S0005-7894(77)80157-3" TargetMode="External"/><Relationship Id="rId50" Type="http://schemas.openxmlformats.org/officeDocument/2006/relationships/hyperlink" Target="https://doi.org/10.1037/h0101778" TargetMode="External"/><Relationship Id="rId51" Type="http://schemas.openxmlformats.org/officeDocument/2006/relationships/hyperlink" Target="https://doi.org/10.1037/a0019712" TargetMode="External"/><Relationship Id="rId52" Type="http://schemas.openxmlformats.org/officeDocument/2006/relationships/hyperlink" Target="https://doi.org/10.1016/j.ijchp.2024.100445" TargetMode="External"/><Relationship Id="rId53" Type="http://schemas.openxmlformats.org/officeDocument/2006/relationships/hyperlink" Target="https://doi.org/10.1016/j.ijchp.2023.100392" TargetMode="External"/><Relationship Id="rId54" Type="http://schemas.openxmlformats.org/officeDocument/2006/relationships/hyperlink" Target="https://doi.org/10.1207/s15327906mbr3203_1" TargetMode="External"/><Relationship Id="rId55" Type="http://schemas.openxmlformats.org/officeDocument/2006/relationships/hyperlink" Target="https://doi.org/10.3389/fpsyg.2019.02767" TargetMode="External"/><Relationship Id="rId56" Type="http://schemas.openxmlformats.org/officeDocument/2006/relationships/hyperlink" Target="https://doi.org/10.1146/annurev.psych.60.110707.163612" TargetMode="External"/><Relationship Id="rId57" Type="http://schemas.openxmlformats.org/officeDocument/2006/relationships/hyperlink" Target="https://doi.org/10.1111/j.2517-6161.1980.tb01109.x" TargetMode="External"/><Relationship Id="rId58" Type="http://schemas.openxmlformats.org/officeDocument/2006/relationships/hyperlink" Target="https://doi.org/10.1016/j.janxdis.2016.04.009" TargetMode="External"/><Relationship Id="rId59" Type="http://schemas.openxmlformats.org/officeDocument/2006/relationships/hyperlink" Target="https://doi.org/10.1016/j.jad.2015.01.041" TargetMode="External"/><Relationship Id="rId60" Type="http://schemas.openxmlformats.org/officeDocument/2006/relationships/hyperlink" Target="https://doi.org/10.1016/j.invent.2017.10.003" TargetMode="External"/><Relationship Id="rId61" Type="http://schemas.openxmlformats.org/officeDocument/2006/relationships/hyperlink" Target="https://doi.org/10.1192/bjp.180.5.461" TargetMode="External"/><Relationship Id="rId62" Type="http://schemas.openxmlformats.org/officeDocument/2006/relationships/hyperlink" Target="https://doi.org/10.1001/jamapsychiatry.2016.1623" TargetMode="External"/><Relationship Id="rId63" Type="http://schemas.openxmlformats.org/officeDocument/2006/relationships/hyperlink" Target="https://doi.org/10.1037/ccp0000248" TargetMode="External"/><Relationship Id="rId64" Type="http://schemas.openxmlformats.org/officeDocument/2006/relationships/hyperlink" Target="https://doi.org/10.1002/da.20182" TargetMode="External"/><Relationship Id="rId65" Type="http://schemas.openxmlformats.org/officeDocument/2006/relationships/hyperlink" Target="https://doi.org/10.1177/2043808719841529" TargetMode="External"/><Relationship Id="rId66" Type="http://schemas.openxmlformats.org/officeDocument/2006/relationships/hyperlink" Target="https://doi.org/10.1016/S2215-0366(21)00195-4" TargetMode="External"/><Relationship Id="rId67" Type="http://schemas.openxmlformats.org/officeDocument/2006/relationships/hyperlink" Target="https://doi.org/10.1016/j.neubiorev.2018.04.023" TargetMode="External"/><Relationship Id="rId68" Type="http://schemas.openxmlformats.org/officeDocument/2006/relationships/hyperlink" Target="https://doi.org/10.1002/cpp.702" TargetMode="External"/><Relationship Id="rId69" Type="http://schemas.openxmlformats.org/officeDocument/2006/relationships/hyperlink" Target="https://doi.org/10.1016/s0005-7967(98)00140-5" TargetMode="External"/><Relationship Id="rId70" Type="http://schemas.openxmlformats.org/officeDocument/2006/relationships/hyperlink" Target="https://doi.org/10.1111/cpsp.12224" TargetMode="External"/><Relationship Id="rId71" Type="http://schemas.openxmlformats.org/officeDocument/2006/relationships/hyperlink" Target="https://doi.org/10.1002/j.1556-6676.1996.tb01863.x" TargetMode="External"/><Relationship Id="rId72" Type="http://schemas.openxmlformats.org/officeDocument/2006/relationships/hyperlink" Target="https://doi.org/10.1017/S1352465818000693" TargetMode="External"/><Relationship Id="rId73" Type="http://schemas.openxmlformats.org/officeDocument/2006/relationships/hyperlink" Target="https://doi.org/10.1037/abn0000184" TargetMode="External"/><Relationship Id="rId74" Type="http://schemas.openxmlformats.org/officeDocument/2006/relationships/hyperlink" Target="https://doi.org/10.1016/j.smrv.2017.08.004" TargetMode="External"/><Relationship Id="rId75" Type="http://schemas.openxmlformats.org/officeDocument/2006/relationships/hyperlink" Target="https://doi.org/10.1007/s10879-021-09520-9" TargetMode="External"/><Relationship Id="rId76" Type="http://schemas.openxmlformats.org/officeDocument/2006/relationships/hyperlink" Target="https://doi.org/10.1002/cpp.2039" TargetMode="External"/><Relationship Id="rId77" Type="http://schemas.openxmlformats.org/officeDocument/2006/relationships/hyperlink" Target="https://doi.org/10.1016/0887-6185(96)00018-7" TargetMode="External"/><Relationship Id="rId78" Type="http://schemas.openxmlformats.org/officeDocument/2006/relationships/hyperlink" Target="https://doi.org/10.1007/s11031-005-7955-3" TargetMode="External"/><Relationship Id="rId79" Type="http://schemas.openxmlformats.org/officeDocument/2006/relationships/hyperlink" Target="https://doi.org/10.1037/0000139-000" TargetMode="External"/><Relationship Id="rId80" Type="http://schemas.openxmlformats.org/officeDocument/2006/relationships/hyperlink" Target="https://doi.org/10.1001/jamapsychiatry.2023.2810" TargetMode="External"/><Relationship Id="rId81" Type="http://schemas.openxmlformats.org/officeDocument/2006/relationships/hyperlink" Target="https://doi.org/10.1016/j.brat.2012.07.001" TargetMode="External"/><Relationship Id="rId82" Type="http://schemas.openxmlformats.org/officeDocument/2006/relationships/hyperlink" Target="https://doi.org/10.1037/0022-006X.73.3.549" TargetMode="External"/><Relationship Id="rId83" Type="http://schemas.openxmlformats.org/officeDocument/2006/relationships/hyperlink" Target="https://doi.org/10.1016/j.beth.2006.06.005" TargetMode="External"/><Relationship Id="rId84" Type="http://schemas.openxmlformats.org/officeDocument/2006/relationships/hyperlink" Target="https://doi.org/10.1001/jamapsychiatry.2017.4249" TargetMode="External"/><Relationship Id="rId85" Type="http://schemas.openxmlformats.org/officeDocument/2006/relationships/hyperlink" Target="https://doi.org/10.1007/978-0-387-29986-0_14" TargetMode="External"/><Relationship Id="rId86" Type="http://schemas.openxmlformats.org/officeDocument/2006/relationships/hyperlink" Target="https://doi.org/10.1097/NMD.0b013e31828e102c" TargetMode="External"/><Relationship Id="rId87" Type="http://schemas.openxmlformats.org/officeDocument/2006/relationships/hyperlink" Target="https://doi.org/10.1002/da.22825" TargetMode="External"/><Relationship Id="rId88" Type="http://schemas.openxmlformats.org/officeDocument/2006/relationships/hyperlink" Target="https://doi.org/10.1007/s40501-019-00168-w" TargetMode="External"/><Relationship Id="rId89" Type="http://schemas.openxmlformats.org/officeDocument/2006/relationships/hyperlink" Target="https://doi.org/10.1177/1073191116638410" TargetMode="External"/><Relationship Id="rId90" Type="http://schemas.openxmlformats.org/officeDocument/2006/relationships/hyperlink" Target="https://doi.org/10.1080/00273171.2013.831743" TargetMode="External"/><Relationship Id="rId91" Type="http://schemas.openxmlformats.org/officeDocument/2006/relationships/hyperlink" Target="https://doi.org/10.1016/j.invent.2023.100690" TargetMode="External"/><Relationship Id="rId92" Type="http://schemas.openxmlformats.org/officeDocument/2006/relationships/hyperlink" Target="https://doi.org/10.1016/S0005-7967(03)00147-5" TargetMode="External"/><Relationship Id="rId93" Type="http://schemas.openxmlformats.org/officeDocument/2006/relationships/hyperlink" Target="https://doi.org/10.1016/j.beth.2015.09.005" TargetMode="External"/><Relationship Id="rId94" Type="http://schemas.openxmlformats.org/officeDocument/2006/relationships/hyperlink" Target="https://doi.org/10.1002/da.22942" TargetMode="External"/><Relationship Id="rId95" Type="http://schemas.openxmlformats.org/officeDocument/2006/relationships/header" Target="header1.xml"/><Relationship Id="rId96" Type="http://schemas.openxmlformats.org/officeDocument/2006/relationships/header" Target="header2.xml"/><Relationship Id="rId97" Type="http://schemas.openxmlformats.org/officeDocument/2006/relationships/header" Target="header3.xml"/><Relationship Id="rId98" Type="http://schemas.openxmlformats.org/officeDocument/2006/relationships/numbering" Target="numbering.xml"/><Relationship Id="rId99" Type="http://schemas.openxmlformats.org/officeDocument/2006/relationships/fontTable" Target="fontTable.xml"/><Relationship Id="rId100" Type="http://schemas.openxmlformats.org/officeDocument/2006/relationships/settings" Target="settings.xml"/><Relationship Id="rId10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63</Pages>
  <Words>13119</Words>
  <Characters>78959</Characters>
  <CharactersWithSpaces>91712</CharactersWithSpaces>
  <Paragraphs>533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2025-04-09T20:38:06Z</dcterms:created>
  <dc:creator/>
  <dc:description/>
  <cp:keywords>Core threats Transdiagnostic anxiety Written Exposure Therapy</cp:keywords>
  <dc:language>en-US</dc:language>
  <cp:lastModifiedBy/>
  <dcterms:modified xsi:type="dcterms:W3CDTF">2025-04-09T23:39:08Z</dcterms:modified>
  <cp:revision>1</cp:revision>
  <dc:subject/>
  <dc:title>Written Exposure Therapy for Transdiagnostic Anxiety: Treatment Efficacy and Mechanisms of Change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/home/eladzlot/projects/zettlr/zotero.json</vt:lpwstr>
  </property>
  <property fmtid="{D5CDD505-2E9C-101B-9397-08002B2CF9AE}" pid="4" name="classoption">
    <vt:lpwstr>man</vt:lpwstr>
  </property>
  <property fmtid="{D5CDD505-2E9C-101B-9397-08002B2CF9AE}" pid="5" name="csl">
    <vt:lpwstr>/home/eladzlot/R/x86_64-pc-linux-gnu-library/4.1/papaja/rmd/apa7.csl</vt:lpwstr>
  </property>
  <property fmtid="{D5CDD505-2E9C-101B-9397-08002B2CF9AE}" pid="6" name="documentclass">
    <vt:lpwstr>apa7</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knit">
    <vt:lpwstr>(function(inputFile, encoding) { rmarkdown::render(inputFile, encoding=encoding, output_dir=file.path(dirname(inputFile), ‘output’))})</vt:lpwstr>
  </property>
  <property fmtid="{D5CDD505-2E9C-101B-9397-08002B2CF9AE}" pid="13" name="linenumbers">
    <vt:lpwstr>False</vt:lpwstr>
  </property>
  <property fmtid="{D5CDD505-2E9C-101B-9397-08002B2CF9AE}" pid="14" name="mask">
    <vt:lpwstr>False</vt:lpwstr>
  </property>
  <property fmtid="{D5CDD505-2E9C-101B-9397-08002B2CF9AE}" pid="15" name="output">
    <vt:lpwstr>papaja::apa6_docx</vt:lpwstr>
  </property>
  <property fmtid="{D5CDD505-2E9C-101B-9397-08002B2CF9AE}" pid="16" name="shorttitle">
    <vt:lpwstr>Transdiagnostic WET</vt:lpwstr>
  </property>
  <property fmtid="{D5CDD505-2E9C-101B-9397-08002B2CF9AE}" pid="17" name="tablelist">
    <vt:lpwstr>False</vt:lpwstr>
  </property>
</Properties>
</file>