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response-to-reviewers"/>
    <w:p>
      <w:pPr>
        <w:pStyle w:val="Heading1"/>
      </w:pPr>
      <w:r>
        <w:t xml:space="preserve">Response to Reviewers</w:t>
      </w:r>
    </w:p>
    <w:p>
      <w:pPr>
        <w:pStyle w:val="FirstParagraph"/>
      </w:pPr>
      <w:r>
        <w:t xml:space="preserve">We thank the editor and reviewers for their thoughtful and constructive feedback.</w:t>
      </w:r>
      <w:r>
        <w:t xml:space="preserve"> </w:t>
      </w:r>
      <w:r>
        <w:t xml:space="preserve">We were encouraged by the overall positive evaluation of the study’s contribution and the reviewers’ engagement with its theoretical and methodological aspects.</w:t>
      </w:r>
      <w:r>
        <w:t xml:space="preserve"> </w:t>
      </w:r>
      <w:r>
        <w:t xml:space="preserve">In revising the manuscript, we have addressed each comment carefully and made substantial clarifications to strengthen conceptual precision, methodological transparency, and interpretability of results.</w:t>
      </w:r>
      <w:r>
        <w:t xml:space="preserve"> </w:t>
      </w:r>
      <w:r>
        <w:t xml:space="preserve">Below, we respond point-by-point, noting all textual changes and the specific sections in which they were implemented.</w:t>
      </w:r>
    </w:p>
    <w:bookmarkStart w:id="20" w:name="editor-comments"/>
    <w:p>
      <w:pPr>
        <w:pStyle w:val="Heading2"/>
      </w:pPr>
      <w:r>
        <w:t xml:space="preserve">Editor Comments</w:t>
      </w:r>
    </w:p>
    <w:p>
      <w:pPr>
        <w:pStyle w:val="FirstParagraph"/>
      </w:pPr>
      <w:r>
        <w:rPr>
          <w:bCs/>
          <w:b/>
        </w:rPr>
        <w:t xml:space="preserve">Editor Comment 1:</w:t>
      </w:r>
    </w:p>
    <w:p>
      <w:pPr>
        <w:pStyle w:val="BodyText"/>
      </w:pPr>
      <w:r>
        <w:rPr>
          <w:iCs/>
          <w:i/>
        </w:rPr>
        <w:t xml:space="preserve">I wanted to raise an additional issue - increasingly, in the field of intervention science, there is encouragement to include the perspectives of people with lived experiences of the relevant condition in the co-design of interventions.</w:t>
      </w:r>
      <w:r>
        <w:rPr>
          <w:iCs/>
          <w:i/>
        </w:rPr>
        <w:t xml:space="preserve"> </w:t>
      </w:r>
      <w:r>
        <w:rPr>
          <w:iCs/>
          <w:i/>
        </w:rPr>
        <w:t xml:space="preserve">This improves uptake and engagement.</w:t>
      </w:r>
      <w:r>
        <w:rPr>
          <w:iCs/>
          <w:i/>
        </w:rPr>
        <w:t xml:space="preserve"> </w:t>
      </w:r>
      <w:r>
        <w:rPr>
          <w:iCs/>
          <w:i/>
        </w:rPr>
        <w:t xml:space="preserve">It would be great if you could comment on whether this has been considered in adapting the intervention or its delivery.</w:t>
      </w:r>
    </w:p>
    <w:p>
      <w:pPr>
        <w:pStyle w:val="BodyText"/>
      </w:pPr>
      <w:r>
        <w:rPr>
          <w:iCs/>
          <w:i/>
        </w:rPr>
        <w:t xml:space="preserve">Relatedly, do you have any data on its acceptability or whether participants enjoyed it / had suggestions for improvement?</w:t>
      </w:r>
    </w:p>
    <w:p>
      <w:pPr>
        <w:pStyle w:val="BodyText"/>
      </w:pPr>
      <w:r>
        <w:rPr>
          <w:bCs/>
          <w:b/>
        </w:rPr>
        <w:t xml:space="preserve">Author Response:</w:t>
      </w:r>
    </w:p>
    <w:p>
      <w:pPr>
        <w:pStyle w:val="BodyText"/>
      </w:pPr>
      <w:r>
        <w:t xml:space="preserve">We appreciate the editor’s thoughtful comment.</w:t>
      </w:r>
      <w:r>
        <w:t xml:space="preserve"> </w:t>
      </w:r>
      <w:r>
        <w:t xml:space="preserve">The intervention was refined through multiple iterative pilots (two to three participants per cycle), each followed by structured feedback on clarity, difficulty, and engagement until the protocol was judged acceptable and feasible.</w:t>
      </w:r>
      <w:r>
        <w:t xml:space="preserve"> </w:t>
      </w:r>
      <w:r>
        <w:t xml:space="preserve">In the present study, participants again evaluated the intervention’s clarity and usefulness.</w:t>
      </w:r>
      <w:r>
        <w:t xml:space="preserve"> </w:t>
      </w:r>
      <w:r>
        <w:t xml:space="preserve">Most reported that the instructions were clear; a minority noted difficulty understanding the instructions to return to the same script.</w:t>
      </w:r>
    </w:p>
    <w:p>
      <w:pPr>
        <w:pStyle w:val="BodyText"/>
      </w:pPr>
      <w:r>
        <w:t xml:space="preserve">Regarding acceptability, 25% of participants in the neutral-imagery writing (NIW) condition and 26% in the written exposure therapy (WET) condition described the task as difficult, whereas 42% (NIW) and 26% (WET) rated it as pleasant or useful.</w:t>
      </w:r>
      <w:r>
        <w:t xml:space="preserve"> </w:t>
      </w:r>
      <w:r>
        <w:t xml:space="preserve">At the two-month follow-up, 25% of NIW participants and 55% of WET participants reported improvements in quality of life, and 38% and 41%, respectively, reported continued use of skills learned during the intervention.</w:t>
      </w:r>
      <w:r>
        <w:t xml:space="preserve"> </w:t>
      </w:r>
      <w:r>
        <w:t xml:space="preserve">Together, these data indicate that the intervention was generally well-accepted and that iterative participant feedback informed its refinement and delivery.</w:t>
      </w:r>
      <w:r>
        <w:t xml:space="preserve"> </w:t>
      </w:r>
      <w:r>
        <w:t xml:space="preserve">This was added to the manuscript in appropriate locations:</w:t>
      </w:r>
    </w:p>
    <w:p>
      <w:pPr>
        <w:pStyle w:val="BodyText"/>
      </w:pPr>
      <w:r>
        <w:t xml:space="preserve">Methods:</w:t>
      </w:r>
    </w:p>
    <w:p>
      <w:pPr>
        <w:pStyle w:val="BlockText"/>
      </w:pPr>
      <w:r>
        <w:rPr>
          <w:bCs/>
          <w:b/>
        </w:rPr>
        <w:t xml:space="preserve">Intervention Development and Acceptability:</w:t>
      </w:r>
      <w:r>
        <w:t xml:space="preserve"> </w:t>
      </w:r>
      <w:r>
        <w:t xml:space="preserve">The intervention was developed iteratively through repeated pilot administrations (two to three participants per cycle), each followed by structured feedback regarding clarity, difficulty, and engagement.</w:t>
      </w:r>
      <w:r>
        <w:t xml:space="preserve"> </w:t>
      </w:r>
      <w:r>
        <w:t xml:space="preserve">Revisions were made across cycles until the protocol was judged acceptable for implementation.</w:t>
      </w:r>
      <w:r>
        <w:t xml:space="preserve"> </w:t>
      </w:r>
      <w:r>
        <w:t xml:space="preserve">Acceptability and perceived usefulness were assessed in the present study using post-intervention and follow-up self-report items.</w:t>
      </w:r>
    </w:p>
    <w:p>
      <w:pPr>
        <w:pStyle w:val="FirstParagraph"/>
      </w:pPr>
      <w:r>
        <w:t xml:space="preserve">Results:</w:t>
      </w:r>
    </w:p>
    <w:p>
      <w:pPr>
        <w:pStyle w:val="BlockText"/>
      </w:pPr>
      <w:r>
        <w:t xml:space="preserve">Most participants reported that the instructions were clear, although a minority had difficulty understanding the requirement to return to the same script, which will be clarified in future versions.</w:t>
      </w:r>
      <w:r>
        <w:t xml:space="preserve"> </w:t>
      </w:r>
      <w:r>
        <w:t xml:space="preserve">In NIW, 25% of participants reported that the task was difficult and 42% described it as pleasant or useful; in WET, the corresponding proportions were 26% and 26%.</w:t>
      </w:r>
      <w:r>
        <w:t xml:space="preserve"> </w:t>
      </w:r>
      <w:r>
        <w:t xml:space="preserve">At the two-month follow-up, 25% of NIW participants and 55% of WET participants reported improvements in quality of life, and 38% and 41%, respectively, reported continued use of skills learned during the intervention.</w:t>
      </w:r>
    </w:p>
    <w:p>
      <w:pPr>
        <w:pStyle w:val="FirstParagraph"/>
      </w:pPr>
      <w:r>
        <w:t xml:space="preserve">Discussion:</w:t>
      </w:r>
    </w:p>
    <w:p>
      <w:pPr>
        <w:pStyle w:val="BlockText"/>
      </w:pPr>
      <w:r>
        <w:t xml:space="preserve">Beyond symptom change, both interventions were rated as highly credible, suggesting that participants perceived them as logical and emotionally compelling. Although a minority of participants described the writing task as difficult, overall acceptability was high, and many participants—particularly in the WET condition—reported improvements in quality of life and continued application of learned skills at follow-up. Importantly, judge-rated engagement with core threats was associated with greater symptom improvement, especially at two months, highlighting engagement as a potential implementation-sensitive factor. Together, these findings suggest that self-guided WET is not only effective but also acceptable and feasible, while underscoring the importance of optimizing instructional clarity and engagement to maximize longer-term benefit.</w:t>
      </w:r>
    </w:p>
    <w:p>
      <w:r>
        <w:pict>
          <v:rect style="width:0;height:1.5pt" o:hralign="center" o:hrstd="t" o:hr="t"/>
        </w:pict>
      </w:r>
    </w:p>
    <w:bookmarkEnd w:id="20"/>
    <w:bookmarkStart w:id="22" w:name="reviewer-1"/>
    <w:p>
      <w:pPr>
        <w:pStyle w:val="Heading2"/>
      </w:pPr>
      <w:r>
        <w:t xml:space="preserve">Reviewer: 1</w:t>
      </w:r>
    </w:p>
    <w:p>
      <w:pPr>
        <w:pStyle w:val="FirstParagraph"/>
      </w:pPr>
      <w:r>
        <w:rPr>
          <w:bCs/>
          <w:b/>
        </w:rPr>
        <w:t xml:space="preserve">Reviewer #1 Comment 1:</w:t>
      </w:r>
    </w:p>
    <w:p>
      <w:pPr>
        <w:pStyle w:val="BodyText"/>
      </w:pPr>
      <w:r>
        <w:rPr>
          <w:iCs/>
          <w:i/>
        </w:rPr>
        <w:t xml:space="preserve">First, the study’s design appears somewhat</w:t>
      </w:r>
      <w:r>
        <w:rPr>
          <w:iCs/>
          <w:i/>
        </w:rPr>
        <w:t xml:space="preserve"> </w:t>
      </w:r>
      <w:r>
        <w:rPr>
          <w:iCs/>
          <w:i/>
        </w:rPr>
        <w:t xml:space="preserve">“</w:t>
      </w:r>
      <w:r>
        <w:rPr>
          <w:iCs/>
          <w:i/>
        </w:rPr>
        <w:t xml:space="preserve">patchy,</w:t>
      </w:r>
      <w:r>
        <w:rPr>
          <w:iCs/>
          <w:i/>
        </w:rPr>
        <w:t xml:space="preserve">”</w:t>
      </w:r>
      <w:r>
        <w:rPr>
          <w:iCs/>
          <w:i/>
        </w:rPr>
        <w:t xml:space="preserve"> </w:t>
      </w:r>
      <w:r>
        <w:rPr>
          <w:iCs/>
          <w:i/>
        </w:rPr>
        <w:t xml:space="preserve">as the waitlist control (WL) is not randomized like the WET and neutral imagery training (NIW) groups, which could affect the comparability of results.</w:t>
      </w:r>
    </w:p>
    <w:p>
      <w:pPr>
        <w:pStyle w:val="BodyText"/>
      </w:pPr>
      <w:r>
        <w:rPr>
          <w:bCs/>
          <w:b/>
        </w:rPr>
        <w:t xml:space="preserve">Author response:</w:t>
      </w:r>
    </w:p>
    <w:p>
      <w:pPr>
        <w:pStyle w:val="BodyText"/>
      </w:pPr>
      <w:r>
        <w:t xml:space="preserve">We appreciate the reviewer’s observation.</w:t>
      </w:r>
      <w:r>
        <w:t xml:space="preserve"> </w:t>
      </w:r>
      <w:r>
        <w:t xml:space="preserve">The waitlist control (WL) group was indeed collected in a separate but methodologically identical study conducted approximately six months prior to the current trial.</w:t>
      </w:r>
      <w:r>
        <w:t xml:space="preserve"> </w:t>
      </w:r>
      <w:r>
        <w:t xml:space="preserve">The inclusion and exclusion criteria, recruitment platform (Prolific), compensation, and procedures were identical across studies, and no additional selection or exclusion criteria were applied when incorporating the WL data.</w:t>
      </w:r>
      <w:r>
        <w:t xml:space="preserve"> </w:t>
      </w:r>
      <w:r>
        <w:t xml:space="preserve">As such, the only systematic difference between datasets could be attributed to the passage of time, for which there is no clear reason to expect bias.</w:t>
      </w:r>
      <w:r>
        <w:t xml:space="preserve"> </w:t>
      </w:r>
      <w:r>
        <w:t xml:space="preserve">Importantly, the WL group served a benchmarking function—providing an estimate of spontaneous symptom change under identical testing conditions—rather than a randomized arm intended for direct between-group inference.</w:t>
      </w:r>
    </w:p>
    <w:p>
      <w:pPr>
        <w:pStyle w:val="BodyText"/>
      </w:pPr>
      <w:r>
        <w:t xml:space="preserve">We clarify this in the manuscript and acknowledge it as a limitation (in the transparency and openness section)</w:t>
      </w:r>
    </w:p>
    <w:p>
      <w:pPr>
        <w:pStyle w:val="BlockText"/>
      </w:pPr>
      <w:r>
        <w:t xml:space="preserve">This study was preregistered prior to data collection at</w:t>
      </w:r>
      <w:r>
        <w:t xml:space="preserve"> </w:t>
      </w:r>
      <w:hyperlink r:id="rId21">
        <w:r>
          <w:rPr>
            <w:rStyle w:val="Hyperlink"/>
          </w:rPr>
          <w:t xml:space="preserve">doi.org/10.17605/OSF.IO/2CEHR</w:t>
        </w:r>
      </w:hyperlink>
      <w:r>
        <w:t xml:space="preserve">.</w:t>
      </w:r>
      <w:r>
        <w:t xml:space="preserve"> </w:t>
      </w:r>
      <w:r>
        <w:t xml:space="preserve">We deviated from the preregistration by adding a passive waitlist control group and a two-month follow-up assessment.</w:t>
      </w:r>
      <w:r>
        <w:t xml:space="preserve"> </w:t>
      </w:r>
      <w:r>
        <w:t xml:space="preserve">These modifications were implemented to strengthen the research design—the waitlist control group provided a benchmark for natural recovery under identical inclusion, exclusion, and procedural criteria, and was collected approximately six months before the present study.</w:t>
      </w:r>
      <w:r>
        <w:t xml:space="preserve"> </w:t>
      </w:r>
      <w:r>
        <w:t xml:space="preserve">Because participants were recruited from the same platform using identical screening, compensation, and measurement procedures, systematic bias other than time effects is unlikely.</w:t>
      </w:r>
      <w:r>
        <w:t xml:space="preserve"> </w:t>
      </w:r>
      <w:r>
        <w:t xml:space="preserve">The extended follow-up further allowed assessment of the durability of treatment effects.</w:t>
      </w:r>
      <w:r>
        <w:t xml:space="preserve"> </w:t>
      </w:r>
      <w:r>
        <w:t xml:space="preserve">Nonetheless, as the waitlist group was not randomized concurrently with the intervention arms, results involving it should be interpreted as comparative rather than inferential.</w:t>
      </w:r>
    </w:p>
    <w:p>
      <w:r>
        <w:pict>
          <v:rect style="width:0;height:1.5pt" o:hralign="center" o:hrstd="t" o:hr="t"/>
        </w:pict>
      </w:r>
    </w:p>
    <w:p>
      <w:pPr>
        <w:pStyle w:val="FirstParagraph"/>
      </w:pPr>
      <w:r>
        <w:rPr>
          <w:bCs/>
          <w:b/>
        </w:rPr>
        <w:t xml:space="preserve">Reviewer #1 Comment 2:</w:t>
      </w:r>
      <w:r>
        <w:rPr>
          <w:bCs/>
          <w:b/>
        </w:rPr>
        <w:t xml:space="preserve"> </w:t>
      </w:r>
    </w:p>
    <w:p>
      <w:pPr>
        <w:pStyle w:val="BodyText"/>
      </w:pPr>
      <w:r>
        <w:rPr>
          <w:iCs/>
          <w:i/>
        </w:rPr>
        <w:t xml:space="preserve">Additionally, while the exploration of mechanisms is extensive, it’s also very exploratory, with many mechanisms and analyses mentioned, which might dilute the focus.</w:t>
      </w:r>
    </w:p>
    <w:p>
      <w:pPr>
        <w:pStyle w:val="BodyText"/>
      </w:pPr>
      <w:r>
        <w:rPr>
          <w:bCs/>
          <w:b/>
        </w:rPr>
        <w:t xml:space="preserve">Author response:</w:t>
      </w:r>
    </w:p>
    <w:p>
      <w:pPr>
        <w:pStyle w:val="BodyText"/>
      </w:pPr>
      <w:r>
        <w:t xml:space="preserve">We appreciate the reviewer’s observation.</w:t>
      </w:r>
      <w:r>
        <w:t xml:space="preserve"> </w:t>
      </w:r>
      <w:r>
        <w:t xml:space="preserve">The exploratory scope of the mechanisms analysis was intentional and theory-driven.</w:t>
      </w:r>
      <w:r>
        <w:t xml:space="preserve"> </w:t>
      </w:r>
      <w:r>
        <w:t xml:space="preserve">As noted by Kazdin</w:t>
      </w:r>
      <w:r>
        <w:t xml:space="preserve"> </w:t>
      </w:r>
      <w:r>
        <w:t xml:space="preserve">(2007)</w:t>
      </w:r>
      <w:r>
        <w:t xml:space="preserve">, identifying potential mechanisms of change requires an initial phase of broad, systematic exploration before more targeted causal modeling can occur.</w:t>
      </w:r>
      <w:r>
        <w:t xml:space="preserve"> </w:t>
      </w:r>
      <w:r>
        <w:t xml:space="preserve">In this study, we adopted that framework to survey multiple theoretically grounded processes across cognitive, emotional, and behavioral domains.</w:t>
      </w:r>
      <w:r>
        <w:t xml:space="preserve"> </w:t>
      </w:r>
      <w:r>
        <w:t xml:space="preserve">This comprehensive approach was designed to identify promising candidates for future focused testing rather than to assert definitive causal pathways.</w:t>
      </w:r>
      <w:r>
        <w:t xml:space="preserve"> </w:t>
      </w:r>
      <w:r>
        <w:t xml:space="preserve">Indeed, several of the mechanisms highlighted here (e.g., distress tolerance and threat response) are already being examined in ongoing follow-up studies aimed at causal validation.</w:t>
      </w:r>
      <w:r>
        <w:t xml:space="preserve"> </w:t>
      </w:r>
      <w:r>
        <w:t xml:space="preserve">We clarified this intention within the manuscript (in the methods mechanisms section)</w:t>
      </w:r>
    </w:p>
    <w:p>
      <w:pPr>
        <w:pStyle w:val="BlockText"/>
      </w:pPr>
      <w:r>
        <w:t xml:space="preserve">Our second research question investigates the role of mechanisms in change in pathological anxiety.</w:t>
      </w:r>
      <w:r>
        <w:t xml:space="preserve"> </w:t>
      </w:r>
      <w:r>
        <w:t xml:space="preserve">Following Kazdin’s</w:t>
      </w:r>
      <w:r>
        <w:t xml:space="preserve"> </w:t>
      </w:r>
      <w:r>
        <w:t xml:space="preserve">(2007)</w:t>
      </w:r>
      <w:r>
        <w:t xml:space="preserve"> </w:t>
      </w:r>
      <w:r>
        <w:t xml:space="preserve">framework for mechanisms research, the present study intentionally employed a broad exploratory approach to identify potential targets for future confirmatory work.</w:t>
      </w:r>
      <w:r>
        <w:t xml:space="preserve"> </w:t>
      </w:r>
      <w:r>
        <w:t xml:space="preserve">While establishing causality is difficult</w:t>
      </w:r>
      <w:r>
        <w:t xml:space="preserve"> </w:t>
      </w:r>
      <w:r>
        <w:t xml:space="preserve">(see Eronen 2020)</w:t>
      </w:r>
      <w:r>
        <w:t xml:space="preserve">, our goal is to identify correlations that may signal candidate causal relationships.</w:t>
      </w:r>
    </w:p>
    <w:p>
      <w:r>
        <w:pict>
          <v:rect style="width:0;height:1.5pt" o:hralign="center" o:hrstd="t" o:hr="t"/>
        </w:pict>
      </w:r>
    </w:p>
    <w:p>
      <w:pPr>
        <w:pStyle w:val="FirstParagraph"/>
      </w:pPr>
      <w:r>
        <w:rPr>
          <w:bCs/>
          <w:b/>
        </w:rPr>
        <w:t xml:space="preserve">Reviewer #1 Comment 3:</w:t>
      </w:r>
      <w:r>
        <w:rPr>
          <w:bCs/>
          <w:b/>
        </w:rPr>
        <w:t xml:space="preserve"> </w:t>
      </w:r>
    </w:p>
    <w:p>
      <w:pPr>
        <w:pStyle w:val="BodyText"/>
      </w:pPr>
      <w:r>
        <w:rPr>
          <w:iCs/>
          <w:i/>
        </w:rPr>
        <w:t xml:space="preserve">The observation that most symptom reduction occurred between the first and second sessions is striking and raises questions about the underlying mechanisms driving these changes so early in the intervention.</w:t>
      </w:r>
    </w:p>
    <w:p>
      <w:pPr>
        <w:pStyle w:val="BodyText"/>
      </w:pPr>
      <w:r>
        <w:rPr>
          <w:bCs/>
          <w:b/>
        </w:rPr>
        <w:t xml:space="preserve">Author response:</w:t>
      </w:r>
    </w:p>
    <w:p>
      <w:pPr>
        <w:pStyle w:val="BodyText"/>
      </w:pPr>
      <w:r>
        <w:t xml:space="preserve">We thank the reviewer for this comment and the opportunity to clarify.</w:t>
      </w:r>
      <w:r>
        <w:t xml:space="preserve"> </w:t>
      </w:r>
      <w:r>
        <w:t xml:space="preserve">The early change observed between Sessions 1 and 2 concerned responses to core threats, not overall symptom levels.</w:t>
      </w:r>
      <w:r>
        <w:t xml:space="preserve"> </w:t>
      </w:r>
      <w:r>
        <w:t xml:space="preserve">Participants exhibited early reductions in perceived threat intensity, which in turn predicted later symptom improvement.</w:t>
      </w:r>
      <w:r>
        <w:t xml:space="preserve"> </w:t>
      </w:r>
      <w:r>
        <w:t xml:space="preserve">This pattern is consistent with our theoretical model, in which decreased reactivity to core threats serves as a proximal mechanism of change.</w:t>
      </w:r>
      <w:r>
        <w:t xml:space="preserve"> </w:t>
      </w:r>
      <w:r>
        <w:t xml:space="preserve">To make this clearer, we revised the relevant section to explicitly distinguish the mechanism from symptom change.</w:t>
      </w:r>
      <w:r>
        <w:t xml:space="preserve"> </w:t>
      </w:r>
      <w:r>
        <w:t xml:space="preserve">We also added a note emphasizing the need for future dose–response studies to determine the minimal intervention</w:t>
      </w:r>
      <w:r>
        <w:t xml:space="preserve"> </w:t>
      </w:r>
      <w:r>
        <w:t xml:space="preserve">“</w:t>
      </w:r>
      <w:r>
        <w:t xml:space="preserve">dose</w:t>
      </w:r>
      <w:r>
        <w:t xml:space="preserve">”</w:t>
      </w:r>
      <w:r>
        <w:t xml:space="preserve"> </w:t>
      </w:r>
      <w:r>
        <w:t xml:space="preserve">required to elicit reliable reductions in threat responses, and whether such early mechanism change alone is sufficient to produce sustained symptom improvement (see Discussion, Responses to Core Threats).</w:t>
      </w:r>
    </w:p>
    <w:p>
      <w:pPr>
        <w:pStyle w:val="BlockText"/>
      </w:pPr>
      <w:r>
        <w:t xml:space="preserve">Central to pathological fear is an inflated sense of threat, making fear reduction key to alleviating anxiety</w:t>
      </w:r>
      <w:r>
        <w:t xml:space="preserve"> </w:t>
      </w:r>
      <w:r>
        <w:t xml:space="preserve">(Zlotnick and Huppert 2025)</w:t>
      </w:r>
      <w:r>
        <w:t xml:space="preserve">.</w:t>
      </w:r>
      <w:r>
        <w:t xml:space="preserve"> </w:t>
      </w:r>
      <w:r>
        <w:t xml:space="preserve">Our findings showed WET reduced fear responses to core threats more effectively than NIW.</w:t>
      </w:r>
      <w:r>
        <w:t xml:space="preserve"> </w:t>
      </w:r>
      <w:r>
        <w:t xml:space="preserve">The rate of fear reduction between Sessions 1 and 2 predicted symptom improvement by Session 4, supporting temporal precedence.</w:t>
      </w:r>
    </w:p>
    <w:p>
      <w:pPr>
        <w:pStyle w:val="BlockText"/>
      </w:pPr>
      <w:r>
        <w:t xml:space="preserve">Most change in fear responses occurred early, with minimal additional reduction thereafter despite continued symptom improvements.</w:t>
      </w:r>
      <w:r>
        <w:t xml:space="preserve"> </w:t>
      </w:r>
      <w:r>
        <w:t xml:space="preserve">This pattern suggests that early engagement with threat material may rapidly reduce fear, while later sessions might improve these gains through processes such as distress tolerance or mastery.</w:t>
      </w:r>
      <w:r>
        <w:t xml:space="preserve"> </w:t>
      </w:r>
      <w:r>
        <w:t xml:space="preserve">Future research should test the dose–response relationship between intervention exposure and the degree of core threat fear reduction, and determine whether such early mechanism change is sufficient to produce enduring symptom improvement.</w:t>
      </w:r>
      <w:r>
        <w:t xml:space="preserve"> </w:t>
      </w:r>
      <w:r>
        <w:t xml:space="preserve">Additionally, future iterations could examine whether refining writing scripts to better target</w:t>
      </w:r>
      <w:r>
        <w:t xml:space="preserve"> </w:t>
      </w:r>
      <w:r>
        <w:t xml:space="preserve">“</w:t>
      </w:r>
      <w:r>
        <w:t xml:space="preserve">hot spots</w:t>
      </w:r>
      <w:r>
        <w:t xml:space="preserve">”</w:t>
      </w:r>
      <w:r>
        <w:t xml:space="preserve">—as done in WET for PTSD</w:t>
      </w:r>
      <w:r>
        <w:t xml:space="preserve"> </w:t>
      </w:r>
      <w:r>
        <w:t xml:space="preserve">(Sloan and Marx 2019)</w:t>
      </w:r>
      <w:r>
        <w:t xml:space="preserve">—enhances the maintenance or magnitude of threat-reduction effects.</w:t>
      </w:r>
    </w:p>
    <w:p>
      <w:r>
        <w:pict>
          <v:rect style="width:0;height:1.5pt" o:hralign="center" o:hrstd="t" o:hr="t"/>
        </w:pict>
      </w:r>
    </w:p>
    <w:p>
      <w:pPr>
        <w:pStyle w:val="FirstParagraph"/>
      </w:pPr>
      <w:r>
        <w:rPr>
          <w:bCs/>
          <w:b/>
        </w:rPr>
        <w:t xml:space="preserve">Reviewer #1 Comment 4:</w:t>
      </w:r>
      <w:r>
        <w:rPr>
          <w:bCs/>
          <w:b/>
        </w:rPr>
        <w:t xml:space="preserve"> </w:t>
      </w:r>
    </w:p>
    <w:p>
      <w:pPr>
        <w:pStyle w:val="BodyText"/>
      </w:pPr>
      <w:r>
        <w:rPr>
          <w:iCs/>
          <w:i/>
        </w:rPr>
        <w:t xml:space="preserve">Moreover, the most intriguing aspect—the focus on</w:t>
      </w:r>
      <w:r>
        <w:rPr>
          <w:iCs/>
          <w:i/>
        </w:rPr>
        <w:t xml:space="preserve"> </w:t>
      </w:r>
      <w:r>
        <w:rPr>
          <w:iCs/>
          <w:i/>
        </w:rPr>
        <w:t xml:space="preserve">“</w:t>
      </w:r>
      <w:r>
        <w:rPr>
          <w:iCs/>
          <w:i/>
        </w:rPr>
        <w:t xml:space="preserve">core threats</w:t>
      </w:r>
      <w:r>
        <w:rPr>
          <w:iCs/>
          <w:i/>
        </w:rPr>
        <w:t xml:space="preserve">”</w:t>
      </w:r>
      <w:r>
        <w:rPr>
          <w:iCs/>
          <w:i/>
        </w:rPr>
        <w:t xml:space="preserve">—is not elaborated upon in detail.</w:t>
      </w:r>
      <w:r>
        <w:rPr>
          <w:iCs/>
          <w:i/>
        </w:rPr>
        <w:t xml:space="preserve"> </w:t>
      </w:r>
      <w:r>
        <w:rPr>
          <w:iCs/>
          <w:i/>
        </w:rPr>
        <w:t xml:space="preserve">Although it’s stated that participants created exposure scripts targeting core threats, the paper supports this primarily through case vignettes rather than comprehensive data or analysis.</w:t>
      </w:r>
    </w:p>
    <w:p>
      <w:pPr>
        <w:pStyle w:val="BodyText"/>
      </w:pPr>
      <w:r>
        <w:rPr>
          <w:bCs/>
          <w:b/>
        </w:rPr>
        <w:t xml:space="preserve">Author response:</w:t>
      </w:r>
    </w:p>
    <w:p>
      <w:pPr>
        <w:pStyle w:val="BodyText"/>
      </w:pPr>
      <w:r>
        <w:t xml:space="preserve">We appreciate the reviewer’s comment and agree that the original manuscript relied too heavily on illustrative vignettes to support claims about core-threat engagement.</w:t>
      </w:r>
      <w:r>
        <w:t xml:space="preserve"> </w:t>
      </w:r>
      <w:r>
        <w:t xml:space="preserve">The theoretical framework underlying core threats, as well as the Core Threat Structured Interview used to identify them, are described in detail elsewhere</w:t>
      </w:r>
      <w:r>
        <w:t xml:space="preserve"> </w:t>
      </w:r>
      <w:r>
        <w:t xml:space="preserve">(Zlotnick and Huppert 2025, 2026)</w:t>
      </w:r>
      <w:r>
        <w:t xml:space="preserve">.</w:t>
      </w:r>
      <w:r>
        <w:t xml:space="preserve"> </w:t>
      </w:r>
      <w:r>
        <w:t xml:space="preserve">In response to this concern, we added a manualized content-coding procedure in which independent judges evaluated whether participants meaningfully engaged with their pre-identified core threat during the writing exercises.</w:t>
      </w:r>
      <w:r>
        <w:t xml:space="preserve"> </w:t>
      </w:r>
      <w:r>
        <w:t xml:space="preserve">This coding showed substantial inter-rater reliability and enabled formal analyses of engagement as a process variable.</w:t>
      </w:r>
      <w:r>
        <w:t xml:space="preserve"> </w:t>
      </w:r>
      <w:r>
        <w:t xml:space="preserve">We now report results showing that engagement with core threats was associated with better outcomes, particularly at follow-up, and discuss these findings as exploratory as detailed below.</w:t>
      </w:r>
    </w:p>
    <w:p>
      <w:pPr>
        <w:pStyle w:val="BodyText"/>
      </w:pPr>
      <w:r>
        <w:rPr>
          <w:bCs/>
          <w:b/>
        </w:rPr>
        <w:t xml:space="preserve">Methods:</w:t>
      </w:r>
    </w:p>
    <w:p>
      <w:pPr>
        <w:pStyle w:val="BlockText"/>
      </w:pPr>
      <w:r>
        <w:t xml:space="preserve">Following reviewer feedback, we conducted a manualized content-coding procedure to assess core-threat engagement in the writing exercises.</w:t>
      </w:r>
      <w:r>
        <w:t xml:space="preserve"> </w:t>
      </w:r>
      <w:r>
        <w:t xml:space="preserve">Two independent judges classified each participant’s four-wave exercise set as either engaged or not engaged, using a conservative binary rule: participants were coded as engaged if at least one wave explicitly and emotionally addressed their pre-identified core threat (see supplementary materials).</w:t>
      </w:r>
      <w:r>
        <w:t xml:space="preserve"> </w:t>
      </w:r>
      <w:r>
        <w:t xml:space="preserve">All participants were coded by the first judge, and a random subset of 20 participants (40%) was independently coded by the second judge to evaluate inter-rater reliability.</w:t>
      </w:r>
      <w:r>
        <w:t xml:space="preserve"> </w:t>
      </w:r>
      <w:r>
        <w:t xml:space="preserve">Inter-rater agreement was substantial (Cohen’s</w:t>
      </w:r>
      <w:r>
        <w:t xml:space="preserve"> </w:t>
      </w:r>
      <m:oMath>
        <m:r>
          <m:t>κ</m:t>
        </m:r>
      </m:oMath>
      <w:r>
        <w:t xml:space="preserve"> </w:t>
      </w:r>
      <w:r>
        <w:t xml:space="preserve">= 0.70, 95% CI [0.40, 1.00], 85.7% agreement).</w:t>
      </w:r>
    </w:p>
    <w:p>
      <w:pPr>
        <w:pStyle w:val="FirstParagraph"/>
      </w:pPr>
      <w:r>
        <w:rPr>
          <w:bCs/>
          <w:b/>
        </w:rPr>
        <w:t xml:space="preserve">Results:</w:t>
      </w:r>
    </w:p>
    <w:p>
      <w:pPr>
        <w:pStyle w:val="BlockText"/>
      </w:pPr>
      <w:r>
        <w:t xml:space="preserve">Most (n = 33, 66%) of the participants who completed WET were classified as having engaged with their identified core threat at least once across the four writing sessions.</w:t>
      </w:r>
      <w:r>
        <w:t xml:space="preserve"> </w:t>
      </w:r>
      <w:r>
        <w:t xml:space="preserve">Across all stages, participants who engaged showed better outcomes than those who did not.</w:t>
      </w:r>
    </w:p>
    <w:p>
      <w:pPr>
        <w:pStyle w:val="BlockText"/>
      </w:pPr>
      <w:r>
        <w:t xml:space="preserve">During treatment, engaged participants showed a small advantage over non-engaged participants (d = 0.32, 89% CI [-0.16, 0.79], P(&gt;0) = 86%).</w:t>
      </w:r>
      <w:r>
        <w:t xml:space="preserve"> </w:t>
      </w:r>
      <w:r>
        <w:t xml:space="preserve">At the one-week follow-up the difference was larger and statistically reliable (d = 0.37, 89% CI [-0.16, 0.86], P(&gt;0) = 88%), whereas at the two-month follow-up the estimated difference was smaller and less certain (d = 0.29, 89% CI [-0.26, 0.84], P(&gt;0) = 80%).</w:t>
      </w:r>
    </w:p>
    <w:p>
      <w:pPr>
        <w:pStyle w:val="BlockText"/>
      </w:pPr>
      <w:r>
        <w:t xml:space="preserve">When compared with the NIW group, outcomes during treatment were similar (d = 0.01, 89% CI [-0.38, 0.40], P(&gt;0) = 51%). A modest advantage was observed for engagers at the one-week follow-up (d = 0.24, 89% CI [-0.18, 0.67], P(&gt;0) = 81%), and by the two-month follow-up the difference was larger and statistically reliable (d = 0.40, 89% CI [-0.05, 0.86], P(&gt;0) = 92%).</w:t>
      </w:r>
    </w:p>
    <w:p>
      <w:pPr>
        <w:pStyle w:val="FirstParagraph"/>
      </w:pPr>
      <w:r>
        <w:rPr>
          <w:bCs/>
          <w:b/>
        </w:rPr>
        <w:t xml:space="preserve">Discussion:</w:t>
      </w:r>
    </w:p>
    <w:p>
      <w:pPr>
        <w:pStyle w:val="BlockText"/>
      </w:pPr>
      <w:r>
        <w:t xml:space="preserve">Participant engagement predicted improvement particularly at the two month follow-up.</w:t>
      </w:r>
      <w:r>
        <w:t xml:space="preserve"> </w:t>
      </w:r>
      <w:r>
        <w:t xml:space="preserve">Although this analysis was exploratory and not preregistered, it suggests that enhancing engagement—for example, through adaptive or self-feedback mechanisms—may strengthen treatment effects.</w:t>
      </w:r>
      <w:r>
        <w:t xml:space="preserve"> </w:t>
      </w:r>
      <w:r>
        <w:t xml:space="preserve">Future work will evaluate inter-rater reliability and imagery immersion (e.g., present-tense, sensory, and emotional content) as complementary markers of engagement quality.</w:t>
      </w:r>
    </w:p>
    <w:p>
      <w:r>
        <w:pict>
          <v:rect style="width:0;height:1.5pt" o:hralign="center" o:hrstd="t" o:hr="t"/>
        </w:pict>
      </w:r>
    </w:p>
    <w:p>
      <w:pPr>
        <w:pStyle w:val="FirstParagraph"/>
      </w:pPr>
      <w:r>
        <w:rPr>
          <w:bCs/>
          <w:b/>
        </w:rPr>
        <w:t xml:space="preserve">Reviewer #1 Comment 5:</w:t>
      </w:r>
      <w:r>
        <w:rPr>
          <w:bCs/>
          <w:b/>
        </w:rPr>
        <w:t xml:space="preserve"> </w:t>
      </w:r>
    </w:p>
    <w:p>
      <w:pPr>
        <w:pStyle w:val="BodyText"/>
      </w:pPr>
      <w:r>
        <w:rPr>
          <w:iCs/>
          <w:i/>
        </w:rPr>
        <w:t xml:space="preserve">A few minor comments:</w:t>
      </w:r>
    </w:p>
    <w:p>
      <w:pPr>
        <w:numPr>
          <w:ilvl w:val="0"/>
          <w:numId w:val="1001"/>
        </w:numPr>
        <w:pStyle w:val="Compact"/>
      </w:pPr>
      <w:r>
        <w:rPr>
          <w:iCs/>
          <w:i/>
        </w:rPr>
        <w:t xml:space="preserve">The tables do not include notes explaining the variables in them</w:t>
      </w:r>
    </w:p>
    <w:p>
      <w:pPr>
        <w:numPr>
          <w:ilvl w:val="0"/>
          <w:numId w:val="1001"/>
        </w:numPr>
        <w:pStyle w:val="Compact"/>
      </w:pPr>
      <w:r>
        <w:rPr>
          <w:iCs/>
          <w:i/>
        </w:rPr>
        <w:t xml:space="preserve">There are a few typos to be corrected (e.g., line 8, page 31)</w:t>
      </w:r>
    </w:p>
    <w:p>
      <w:pPr>
        <w:numPr>
          <w:ilvl w:val="0"/>
          <w:numId w:val="1001"/>
        </w:numPr>
        <w:pStyle w:val="Compact"/>
      </w:pPr>
      <w:r>
        <w:rPr>
          <w:iCs/>
          <w:i/>
        </w:rPr>
        <w:t xml:space="preserve">Limitations of the present study are not discussed</w:t>
      </w:r>
    </w:p>
    <w:p>
      <w:pPr>
        <w:pStyle w:val="FirstParagraph"/>
      </w:pPr>
      <w:r>
        <w:rPr>
          <w:bCs/>
          <w:b/>
        </w:rPr>
        <w:t xml:space="preserve">Author response:</w:t>
      </w:r>
    </w:p>
    <w:p>
      <w:pPr>
        <w:pStyle w:val="BodyText"/>
      </w:pPr>
      <w:r>
        <w:t xml:space="preserve">We thank the reviewer for these helpful observations.</w:t>
      </w:r>
    </w:p>
    <w:p>
      <w:pPr>
        <w:numPr>
          <w:ilvl w:val="0"/>
          <w:numId w:val="1002"/>
        </w:numPr>
      </w:pPr>
      <w:r>
        <w:rPr>
          <w:bCs/>
          <w:b/>
        </w:rPr>
        <w:t xml:space="preserve">Table notes.</w:t>
      </w:r>
      <w:r>
        <w:t xml:space="preserve"> </w:t>
      </w:r>
      <w:r>
        <w:t xml:space="preserve">Explanatory notes have been added below all tables to clarify the meaning of abbreviations and variables. For example, Table 1 now includes the note:</w:t>
      </w:r>
      <w:r>
        <w:t xml:space="preserve"> </w:t>
      </w:r>
      <w:r>
        <w:t xml:space="preserve">“</w:t>
      </w:r>
      <w:r>
        <w:rPr>
          <w:iCs/>
          <w:i/>
        </w:rPr>
        <w:t xml:space="preserve">OASIS = Overall Anxiety Severity and Impairment Scale; WSAS = Work and Social Adjustment Scale.</w:t>
      </w:r>
      <w:r>
        <w:t xml:space="preserve">”</w:t>
      </w:r>
      <w:r>
        <w:t xml:space="preserve"> </w:t>
      </w:r>
      <w:r>
        <w:t xml:space="preserve">These additions make each table self-contained while avoiding redundancy with the Methods section.</w:t>
      </w:r>
    </w:p>
    <w:p>
      <w:pPr>
        <w:numPr>
          <w:ilvl w:val="0"/>
          <w:numId w:val="1002"/>
        </w:numPr>
      </w:pPr>
      <w:r>
        <w:rPr>
          <w:bCs/>
          <w:b/>
        </w:rPr>
        <w:t xml:space="preserve">Typos.</w:t>
      </w:r>
      <w:r>
        <w:t xml:space="preserve"> </w:t>
      </w:r>
      <w:r>
        <w:t xml:space="preserve">The manuscript has been rechecked for spelling errors.</w:t>
      </w:r>
    </w:p>
    <w:p>
      <w:pPr>
        <w:numPr>
          <w:ilvl w:val="0"/>
          <w:numId w:val="1002"/>
        </w:numPr>
      </w:pPr>
      <w:r>
        <w:rPr>
          <w:bCs/>
          <w:b/>
        </w:rPr>
        <w:t xml:space="preserve">Limitations.</w:t>
      </w:r>
      <w:r>
        <w:t xml:space="preserve"> </w:t>
      </w:r>
      <w:r>
        <w:t xml:space="preserve">Although limitations were addressed across sections, we have added a brief dedicated paragraph at the end of the Discussion to summarize them explicitly. The new paragraph reads:</w:t>
      </w:r>
    </w:p>
    <w:p>
      <w:pPr>
        <w:pStyle w:val="BlockText"/>
      </w:pPr>
      <w:r>
        <w:t xml:space="preserve">Several limitations should be noted.</w:t>
      </w:r>
      <w:r>
        <w:t xml:space="preserve"> </w:t>
      </w:r>
      <w:r>
        <w:t xml:space="preserve">The waitlist group was drawn from a prior study rather than randomized concurrently, which may introduce time-related bias despite identical criteria.</w:t>
      </w:r>
      <w:r>
        <w:t xml:space="preserve"> </w:t>
      </w:r>
      <w:r>
        <w:t xml:space="preserve">Although mechanisms were preregistered, the analyses do not establish causality, and the number of exploratory tests increases the risk of false positives.</w:t>
      </w:r>
      <w:r>
        <w:t xml:space="preserve"> </w:t>
      </w:r>
      <w:r>
        <w:t xml:space="preserve">All measures were self-reported online, limiting external verification.</w:t>
      </w:r>
      <w:r>
        <w:t xml:space="preserve"> </w:t>
      </w:r>
      <w:r>
        <w:t xml:space="preserve">Participants were paid volunteers recruited through an online platform and likely less symptomatic and more technologically oriented than typical clinical populations, limiting generalizability to more severe or high-risk groups where assessment of suicidality and clinical management are essential.</w:t>
      </w:r>
      <w:r>
        <w:t xml:space="preserve"> </w:t>
      </w:r>
      <w:r>
        <w:t xml:space="preserve">These limitations are balanced by preregistration, consistent methodology across cohorts, and replication of key effects in independent samples.</w:t>
      </w:r>
    </w:p>
    <w:p>
      <w:pPr>
        <w:pStyle w:val="FirstParagraph"/>
      </w:pPr>
      <w:r>
        <w:t xml:space="preserve">Together, these changes ensure that the tables, text, and limitations are complete and transparent.</w:t>
      </w:r>
    </w:p>
    <w:bookmarkEnd w:id="22"/>
    <w:bookmarkStart w:id="23" w:name="reviewer-2"/>
    <w:p>
      <w:pPr>
        <w:pStyle w:val="Heading2"/>
      </w:pPr>
      <w:r>
        <w:t xml:space="preserve">Reviewer 2</w:t>
      </w:r>
    </w:p>
    <w:p>
      <w:pPr>
        <w:pStyle w:val="FirstParagraph"/>
      </w:pPr>
      <w:r>
        <w:rPr>
          <w:bCs/>
          <w:b/>
        </w:rPr>
        <w:t xml:space="preserve">Reviewer #2 Comment 1:</w:t>
      </w:r>
      <w:r>
        <w:rPr>
          <w:bCs/>
          <w:b/>
        </w:rPr>
        <w:t xml:space="preserve"> </w:t>
      </w:r>
    </w:p>
    <w:p>
      <w:pPr>
        <w:pStyle w:val="BodyText"/>
      </w:pPr>
      <w:r>
        <w:rPr>
          <w:iCs/>
          <w:i/>
        </w:rPr>
        <w:t xml:space="preserve">The inclusion criteria were defined exclusively by psychometric scale scores.</w:t>
      </w:r>
      <w:r>
        <w:rPr>
          <w:iCs/>
          <w:i/>
        </w:rPr>
        <w:t xml:space="preserve"> </w:t>
      </w:r>
      <w:r>
        <w:rPr>
          <w:iCs/>
          <w:i/>
        </w:rPr>
        <w:t xml:space="preserve">This doesn’t necessarily call into question the presence of clinically relevant symptoms, but these scores don’t allow for a conclusive assessment of whether the included individuals actually meet the criteria for mental disorders.</w:t>
      </w:r>
      <w:r>
        <w:rPr>
          <w:iCs/>
          <w:i/>
        </w:rPr>
        <w:t xml:space="preserve"> </w:t>
      </w:r>
      <w:r>
        <w:rPr>
          <w:iCs/>
          <w:i/>
        </w:rPr>
        <w:t xml:space="preserve">Therefore, I wouldn’t use the term</w:t>
      </w:r>
      <w:r>
        <w:rPr>
          <w:iCs/>
          <w:i/>
        </w:rPr>
        <w:t xml:space="preserve"> </w:t>
      </w:r>
      <w:r>
        <w:rPr>
          <w:iCs/>
          <w:i/>
        </w:rPr>
        <w:t xml:space="preserve">“</w:t>
      </w:r>
      <w:r>
        <w:rPr>
          <w:iCs/>
          <w:i/>
        </w:rPr>
        <w:t xml:space="preserve">transdiagnostic anxiety,</w:t>
      </w:r>
      <w:r>
        <w:rPr>
          <w:iCs/>
          <w:i/>
        </w:rPr>
        <w:t xml:space="preserve">”</w:t>
      </w:r>
      <w:r>
        <w:rPr>
          <w:iCs/>
          <w:i/>
        </w:rPr>
        <w:t xml:space="preserve"> </w:t>
      </w:r>
      <w:r>
        <w:rPr>
          <w:iCs/>
          <w:i/>
        </w:rPr>
        <w:t xml:space="preserve">because that would suggest the presence of disorder-relevant symptoms, and I suggest therefore to omit it from the title.</w:t>
      </w:r>
      <w:r>
        <w:rPr>
          <w:iCs/>
          <w:i/>
        </w:rPr>
        <w:t xml:space="preserve"> </w:t>
      </w:r>
      <w:r>
        <w:rPr>
          <w:iCs/>
          <w:i/>
        </w:rPr>
        <w:t xml:space="preserve">In my view, the study examines individuals with multifaceted anxiety burden.</w:t>
      </w:r>
    </w:p>
    <w:p>
      <w:pPr>
        <w:pStyle w:val="BodyText"/>
      </w:pPr>
      <w:r>
        <w:rPr>
          <w:bCs/>
          <w:b/>
        </w:rPr>
        <w:t xml:space="preserve">Author response:</w:t>
      </w:r>
    </w:p>
    <w:p>
      <w:pPr>
        <w:pStyle w:val="BodyText"/>
      </w:pPr>
      <w:r>
        <w:t xml:space="preserve">We thank the reviewer for this thoughtful observation. We fully agree that the current sample was characterized by elevated anxiety symptoms rather than formally diagnosed anxiety disorders. To better reflect this distinction, we have replaced the term transdiagnostic anxiety with transdiagnostic anxiety symptoms throughout the manuscript, including in the title. The revised title now reads:</w:t>
      </w:r>
    </w:p>
    <w:p>
      <w:pPr>
        <w:pStyle w:val="BlockText"/>
      </w:pPr>
      <w:r>
        <w:t xml:space="preserve">Written Exposure Therapy for Transdiagnostic Anxiety Symptoms: Treatment Efficacy and Mechanisms of Change</w:t>
      </w:r>
    </w:p>
    <w:p>
      <w:pPr>
        <w:pStyle w:val="FirstParagraph"/>
      </w:pPr>
      <w:r>
        <w:t xml:space="preserve">This phrasing more accurately conveys that participants experienced diverse, clinically relevant anxiety symptoms without implying formal diagnostic status.</w:t>
      </w:r>
    </w:p>
    <w:p>
      <w:r>
        <w:pict>
          <v:rect style="width:0;height:1.5pt" o:hralign="center" o:hrstd="t" o:hr="t"/>
        </w:pict>
      </w:r>
    </w:p>
    <w:p>
      <w:pPr>
        <w:pStyle w:val="FirstParagraph"/>
      </w:pPr>
      <w:r>
        <w:rPr>
          <w:bCs/>
          <w:b/>
        </w:rPr>
        <w:t xml:space="preserve">Reviewer #2 Comment 2:</w:t>
      </w:r>
      <w:r>
        <w:rPr>
          <w:bCs/>
          <w:b/>
        </w:rPr>
        <w:t xml:space="preserve"> </w:t>
      </w:r>
    </w:p>
    <w:p>
      <w:pPr>
        <w:pStyle w:val="BodyText"/>
      </w:pPr>
      <w:r>
        <w:rPr>
          <w:iCs/>
          <w:i/>
        </w:rPr>
        <w:t xml:space="preserve">Exclusion criteria are also collected in the same way.</w:t>
      </w:r>
      <w:r>
        <w:rPr>
          <w:iCs/>
          <w:i/>
        </w:rPr>
        <w:t xml:space="preserve"> </w:t>
      </w:r>
      <w:r>
        <w:rPr>
          <w:iCs/>
          <w:i/>
        </w:rPr>
        <w:t xml:space="preserve">Here, acute and/or past suicidality was not explicitly asked about.</w:t>
      </w:r>
      <w:r>
        <w:rPr>
          <w:iCs/>
          <w:i/>
        </w:rPr>
        <w:t xml:space="preserve"> </w:t>
      </w:r>
      <w:r>
        <w:rPr>
          <w:iCs/>
          <w:i/>
        </w:rPr>
        <w:t xml:space="preserve">In general, this limitation of the study should be discussed in detail and critically.</w:t>
      </w:r>
    </w:p>
    <w:p>
      <w:pPr>
        <w:pStyle w:val="BodyText"/>
      </w:pPr>
      <w:r>
        <w:rPr>
          <w:bCs/>
          <w:b/>
        </w:rPr>
        <w:t xml:space="preserve">Author response:</w:t>
      </w:r>
    </w:p>
    <w:p>
      <w:pPr>
        <w:pStyle w:val="BodyText"/>
      </w:pPr>
      <w:r>
        <w:t xml:space="preserve">We appreciate the reviewer’s concern regarding participant safety. Suicidality was not explicitly assessed because the study focused on individuals with elevated anxiety rather than depressive or trauma-related disorders, and participants with high depression or PTSD scores were excluded during screening. The intervention, while emotionally demanding, was designed for a non-clinical population and included clear referral procedures: participants who reported distress or requested assistance were directed to local mental-health services and community support lines.</w:t>
      </w:r>
    </w:p>
    <w:p>
      <w:pPr>
        <w:pStyle w:val="BodyText"/>
      </w:pPr>
      <w:r>
        <w:t xml:space="preserve">The study protocol and exclusion criteria were reviewed and approved by the institutional ethics committee, which determined that a direct suicidality screen was not required given the population and recruitment context. We have added a note in the Limitations section acknowledging that suicidality was not directly assessed and that the findings may not generalize to clinical populations at higher risk, despite safeguards to ensure access to local support.</w:t>
      </w:r>
    </w:p>
    <w:p>
      <w:pPr>
        <w:pStyle w:val="BodyText"/>
      </w:pPr>
      <w:r>
        <w:t xml:space="preserve">The following sentence was integrated into the limitations section:</w:t>
      </w:r>
    </w:p>
    <w:p>
      <w:pPr>
        <w:pStyle w:val="BlockText"/>
      </w:pPr>
      <w:r>
        <w:t xml:space="preserve">Participants were paid volunteers recruited through an online platform and likely less symptomatic and more technologically oriented than typical clinical populations, limiting generalizability to more severe or high-risk groups where assessment of suicidality and clinical management are essential.</w:t>
      </w:r>
    </w:p>
    <w:p>
      <w:r>
        <w:pict>
          <v:rect style="width:0;height:1.5pt" o:hralign="center" o:hrstd="t" o:hr="t"/>
        </w:pict>
      </w:r>
    </w:p>
    <w:p>
      <w:pPr>
        <w:pStyle w:val="FirstParagraph"/>
      </w:pPr>
      <w:r>
        <w:rPr>
          <w:bCs/>
          <w:b/>
        </w:rPr>
        <w:t xml:space="preserve">Reviewer #2 Comments 3 &amp; 4</w:t>
      </w:r>
    </w:p>
    <w:p>
      <w:pPr>
        <w:pStyle w:val="BodyText"/>
      </w:pPr>
      <w:r>
        <w:rPr>
          <w:iCs/>
          <w:i/>
        </w:rPr>
        <w:t xml:space="preserve">The selection of various possible mechanisms of action seems fundamentally plausible. However, for inexperienced readers, the selection should be explained in more detail.</w:t>
      </w:r>
      <w:r>
        <w:t xml:space="preserve"> </w:t>
      </w:r>
      <w:r>
        <w:rPr>
          <w:iCs/>
          <w:i/>
        </w:rPr>
        <w:t xml:space="preserve">I, too, have some conceptual questions left unanswered. Why do you assume that you can draw conclusions about fear extinction processes (as opposed to fear habituation) through within- and between-session fear reductions? I don’t understand the part about</w:t>
      </w:r>
      <w:r>
        <w:rPr>
          <w:iCs/>
          <w:i/>
        </w:rPr>
        <w:t xml:space="preserve"> </w:t>
      </w:r>
      <w:r>
        <w:rPr>
          <w:iCs/>
          <w:i/>
        </w:rPr>
        <w:t xml:space="preserve">“</w:t>
      </w:r>
      <w:r>
        <w:rPr>
          <w:iCs/>
          <w:i/>
        </w:rPr>
        <w:t xml:space="preserve">specific reductions to flashforward images.</w:t>
      </w:r>
      <w:r>
        <w:rPr>
          <w:iCs/>
          <w:i/>
        </w:rPr>
        <w:t xml:space="preserve">”</w:t>
      </w:r>
    </w:p>
    <w:p>
      <w:pPr>
        <w:pStyle w:val="BodyText"/>
      </w:pPr>
      <w:r>
        <w:rPr>
          <w:bCs/>
          <w:b/>
        </w:rPr>
        <w:t xml:space="preserve">Author response:</w:t>
      </w:r>
    </w:p>
    <w:p>
      <w:pPr>
        <w:pStyle w:val="BodyText"/>
      </w:pPr>
      <w:r>
        <w:t xml:space="preserve">We thank the reviewer for these helpful observations. To clarify the theoretical rationale for the mechanisms selected, we substantially revised the corresponding section in the</w:t>
      </w:r>
      <w:r>
        <w:t xml:space="preserve"> </w:t>
      </w:r>
      <w:r>
        <w:rPr>
          <w:iCs/>
          <w:i/>
        </w:rPr>
        <w:t xml:space="preserve">Introduction</w:t>
      </w:r>
      <w:r>
        <w:t xml:space="preserve"> </w:t>
      </w:r>
      <w:r>
        <w:t xml:space="preserve">(pp. XX–XX). The updated text now defines each construct and briefly explains its relevance to WET’s proposed mechanisms of change, distinguishing between affective, cognitive, and regulatory processes. This revision was designed to make the theoretical underpinnings accessible to a broader readership while preserving conceptual precision.</w:t>
      </w:r>
    </w:p>
    <w:p>
      <w:pPr>
        <w:pStyle w:val="BodyText"/>
      </w:pPr>
      <w:r>
        <w:t xml:space="preserve">Regarding</w:t>
      </w:r>
      <w:r>
        <w:t xml:space="preserve"> </w:t>
      </w:r>
      <w:r>
        <w:rPr>
          <w:bCs/>
          <w:b/>
        </w:rPr>
        <w:t xml:space="preserve">fear reduction</w:t>
      </w:r>
      <w:r>
        <w:t xml:space="preserve">, we have clarified that the construct reflects</w:t>
      </w:r>
      <w:r>
        <w:t xml:space="preserve"> </w:t>
      </w:r>
      <w:r>
        <w:rPr>
          <w:iCs/>
          <w:i/>
        </w:rPr>
        <w:t xml:space="preserve">changes in perceived threat</w:t>
      </w:r>
      <w:r>
        <w:t xml:space="preserve"> </w:t>
      </w:r>
      <w:r>
        <w:t xml:space="preserve">and is used descriptively, not to adjudicate between competing theoretical models of emotional learning. We acknowledge that within- and between-session decreases in subjective threat can arise from multiple processes—such as habituation, extinction, or inhibitory learning—and have revised the text to make this explicit.</w:t>
      </w:r>
    </w:p>
    <w:p>
      <w:pPr>
        <w:pStyle w:val="BodyText"/>
      </w:pPr>
      <w:r>
        <w:t xml:space="preserve">Finally, to address the reviewer’s question about</w:t>
      </w:r>
      <w:r>
        <w:t xml:space="preserve"> </w:t>
      </w:r>
      <w:r>
        <w:t xml:space="preserve">“</w:t>
      </w:r>
      <w:r>
        <w:t xml:space="preserve">specific reductions to flashforward images,</w:t>
      </w:r>
      <w:r>
        <w:t xml:space="preserve">”</w:t>
      </w:r>
      <w:r>
        <w:t xml:space="preserve"> </w:t>
      </w:r>
      <w:r>
        <w:t xml:space="preserve">we rephrased this construct as</w:t>
      </w:r>
      <w:r>
        <w:t xml:space="preserve"> </w:t>
      </w:r>
      <w:r>
        <w:rPr>
          <w:bCs/>
          <w:b/>
        </w:rPr>
        <w:t xml:space="preserve">reactions to future imagery</w:t>
      </w:r>
      <w:r>
        <w:t xml:space="preserve"> </w:t>
      </w:r>
      <w:r>
        <w:t xml:space="preserve">to better reflect its focus. This measure captures distress, intrusiveness, and avoidance in response to personally feared future scenarios, allowing us to test whether WET alters emotional responses to such imagery beyond changes in general anxiety or cognition.</w:t>
      </w:r>
    </w:p>
    <w:p>
      <w:pPr>
        <w:pStyle w:val="BodyText"/>
      </w:pPr>
      <w:r>
        <w:t xml:space="preserve">These revisions collectively clarify both the theoretical rationale and operational meaning of the mechanisms examined, addressing the reviewer’s concerns about interpretability and conceptual specificity.</w:t>
      </w:r>
    </w:p>
    <w:p>
      <w:pPr>
        <w:numPr>
          <w:ilvl w:val="0"/>
          <w:numId w:val="1003"/>
        </w:numPr>
        <w:pStyle w:val="Compact"/>
      </w:pPr>
      <w:r>
        <w:rPr>
          <w:bCs/>
          <w:b/>
        </w:rPr>
        <w:t xml:space="preserve">Fear reduction:</w:t>
      </w:r>
      <w:r>
        <w:t xml:space="preserve"> </w:t>
      </w:r>
      <w:r>
        <w:t xml:space="preserve">Exposure may reduce perceived threat by updating how feared situations are interpreted. This shift can occur through various learning processes, including habituation, extinction, or inhibitory learning</w:t>
      </w:r>
      <w:r>
        <w:t xml:space="preserve"> </w:t>
      </w:r>
      <w:r>
        <w:t xml:space="preserve">(Foa and Kozak 1986; Craske et al. 2008)</w:t>
      </w:r>
      <w:r>
        <w:t xml:space="preserve">.</w:t>
      </w:r>
    </w:p>
    <w:p>
      <w:pPr>
        <w:numPr>
          <w:ilvl w:val="0"/>
          <w:numId w:val="1003"/>
        </w:numPr>
        <w:pStyle w:val="Compact"/>
      </w:pPr>
      <w:r>
        <w:rPr>
          <w:bCs/>
          <w:b/>
        </w:rPr>
        <w:t xml:space="preserve">Distress tolerance:</w:t>
      </w:r>
      <w:r>
        <w:t xml:space="preserve"> </w:t>
      </w:r>
      <w:r>
        <w:t xml:space="preserve">The ability to withstand negative emotional states may be more critical to exposure therapy success than fear reduction itself</w:t>
      </w:r>
      <w:r>
        <w:t xml:space="preserve"> </w:t>
      </w:r>
      <w:r>
        <w:t xml:space="preserve">(Craske et al. 2008; Hayes, Strosahl, and Wilson 1999)</w:t>
      </w:r>
      <w:r>
        <w:t xml:space="preserve">.</w:t>
      </w:r>
    </w:p>
    <w:p>
      <w:pPr>
        <w:numPr>
          <w:ilvl w:val="0"/>
          <w:numId w:val="1003"/>
        </w:numPr>
        <w:pStyle w:val="Compact"/>
      </w:pPr>
      <w:r>
        <w:rPr>
          <w:bCs/>
          <w:b/>
        </w:rPr>
        <w:t xml:space="preserve">Thought-action fusion:</w:t>
      </w:r>
      <w:r>
        <w:t xml:space="preserve"> </w:t>
      </w:r>
      <w:r>
        <w:t xml:space="preserve">The belief that thoughts directly influence reality is associated with anxiety disorders and OCD</w:t>
      </w:r>
      <w:r>
        <w:t xml:space="preserve"> </w:t>
      </w:r>
      <w:r>
        <w:t xml:space="preserve">(Rassin et al. 1999; Thompson-Hollands, Farchione, and Barlow 2013)</w:t>
      </w:r>
      <w:r>
        <w:t xml:space="preserve">. We hypothesized that experiencing negative imagery without consequences would reduce thought fusion, improving outcomes.</w:t>
      </w:r>
    </w:p>
    <w:p>
      <w:pPr>
        <w:numPr>
          <w:ilvl w:val="0"/>
          <w:numId w:val="1003"/>
        </w:numPr>
        <w:pStyle w:val="Compact"/>
      </w:pPr>
      <w:r>
        <w:rPr>
          <w:bCs/>
          <w:b/>
        </w:rPr>
        <w:t xml:space="preserve">Negative beliefs about imagery and memory:</w:t>
      </w:r>
      <w:r>
        <w:t xml:space="preserve"> </w:t>
      </w:r>
      <w:r>
        <w:t xml:space="preserve">Beliefs that engaging with distressing content is dangerous can sustain avoidance. WET may challenge these beliefs by promoting safe emotional engagement with feared scenarios, thereby facilitating cognitive restructuring.</w:t>
      </w:r>
    </w:p>
    <w:p>
      <w:pPr>
        <w:numPr>
          <w:ilvl w:val="0"/>
          <w:numId w:val="1003"/>
        </w:numPr>
        <w:pStyle w:val="Compact"/>
      </w:pPr>
      <w:r>
        <w:rPr>
          <w:bCs/>
          <w:b/>
        </w:rPr>
        <w:t xml:space="preserve">Reactions to future imagery:</w:t>
      </w:r>
      <w:r>
        <w:t xml:space="preserve"> </w:t>
      </w:r>
      <w:r>
        <w:t xml:space="preserve">Personally feared future scenarios can evoke distress, intrusiveness, and avoidance distinct from general anxiety or metacognitive beliefs. Assessing these reactions clarifies whether WET changes emotional responses to feared future events themselves—such as distress when imagining failure, loss, or rejection—rather than only broader cognitive appraisals.</w:t>
      </w:r>
    </w:p>
    <w:p>
      <w:pPr>
        <w:numPr>
          <w:ilvl w:val="0"/>
          <w:numId w:val="1003"/>
        </w:numPr>
        <w:pStyle w:val="Compact"/>
      </w:pPr>
      <w:r>
        <w:rPr>
          <w:bCs/>
          <w:b/>
        </w:rPr>
        <w:t xml:space="preserve">Self-compassion:</w:t>
      </w:r>
      <w:r>
        <w:t xml:space="preserve"> </w:t>
      </w:r>
      <w:r>
        <w:t xml:space="preserve">A capacity for non-judgmental acceptance of one’s emotional experience that can counter self-criticism and avoidance, promoting approach toward feared emotions.</w:t>
      </w:r>
    </w:p>
    <w:p>
      <w:pPr>
        <w:pStyle w:val="FirstParagraph"/>
      </w:pPr>
      <w:r>
        <w:t xml:space="preserve">To link these theoretical constructs with measurable processes, each mechanism was operationalized using validated self-report instruments assessing the relevant emotional, cognitive, or regulatory domain. Changes in perceived threat were indexed by state anxiety during imaginal exposure (BSAM). Distress tolerance (DTS), thought–action fusion (TAF-R), negative beliefs about imagery and memory (MCQ-30 subscales), reactions to future imagery (IFES), and self-compassion (SCS-SF) were assessed to capture complementary dimensions of exposure-related change. Together, these measures allowed us to examine whether distinct yet interrelated processes accounted for improvement in anxiety symptoms during WET.</w:t>
      </w:r>
    </w:p>
    <w:p>
      <w:pPr>
        <w:pStyle w:val="BlockText"/>
      </w:pPr>
      <w:r>
        <w:t xml:space="preserve">To identify processes that may mediate change, we examined both fear-specific and fear-agnostic mechanisms previously linked to exposure-based interventions.</w:t>
      </w:r>
      <w:r>
        <w:t xml:space="preserve"> </w:t>
      </w:r>
      <w:r>
        <w:t xml:space="preserve">Reductions in fear, indexed by state anxiety during imagining the core threat</w:t>
      </w:r>
      <w:r>
        <w:t xml:space="preserve"> </w:t>
      </w:r>
      <w:r>
        <w:t xml:space="preserve">(BSAM; Berg et al. 1998)</w:t>
      </w:r>
      <w:r>
        <w:t xml:space="preserve">, reflect habituation or extinction processes.</w:t>
      </w:r>
      <w:r>
        <w:t xml:space="preserve"> </w:t>
      </w:r>
      <w:r>
        <w:t xml:space="preserve">Broader regulatory and cognitive mechanisms included distress tolerance</w:t>
      </w:r>
      <w:r>
        <w:t xml:space="preserve"> </w:t>
      </w:r>
      <w:r>
        <w:t xml:space="preserve">(DTS; Simons and Gaher 2005)</w:t>
      </w:r>
      <w:r>
        <w:t xml:space="preserve">, reflecting the ability to endure negative emotion, self-compassion</w:t>
      </w:r>
      <w:r>
        <w:t xml:space="preserve"> </w:t>
      </w:r>
      <w:r>
        <w:t xml:space="preserve">(SCS; Raes et al. 2011)</w:t>
      </w:r>
      <w:r>
        <w:t xml:space="preserve">, representing adaptive self-relating and emotional regulation; and thought–action fusion</w:t>
      </w:r>
      <w:r>
        <w:t xml:space="preserve"> </w:t>
      </w:r>
      <w:r>
        <w:t xml:space="preserve">(TAF-R; Shafran, Thordarson, and Rachman 1996)</w:t>
      </w:r>
      <w:r>
        <w:t xml:space="preserve">, the belief that thoughts can cause or prevent real outcomes.</w:t>
      </w:r>
      <w:r>
        <w:t xml:space="preserve"> </w:t>
      </w:r>
      <w:r>
        <w:t xml:space="preserve">Metacognitive beliefs</w:t>
      </w:r>
      <w:r>
        <w:t xml:space="preserve"> </w:t>
      </w:r>
      <w:r>
        <w:t xml:space="preserve">(MCQ-30; Wells and Cartwright-Hatton 2004)</w:t>
      </w:r>
      <w:r>
        <w:t xml:space="preserve"> </w:t>
      </w:r>
      <w:r>
        <w:t xml:space="preserve">and core schemas</w:t>
      </w:r>
      <w:r>
        <w:t xml:space="preserve"> </w:t>
      </w:r>
      <w:r>
        <w:t xml:space="preserve">(BCSS; Fowler et al. 2006)</w:t>
      </w:r>
      <w:r>
        <w:t xml:space="preserve"> </w:t>
      </w:r>
      <w:r>
        <w:t xml:space="preserve">indexed higher-order beliefs about control, self, and others.</w:t>
      </w:r>
      <w:r>
        <w:t xml:space="preserve"> </w:t>
      </w:r>
      <w:r>
        <w:t xml:space="preserve">Finally, imagery-specific reactions</w:t>
      </w:r>
      <w:r>
        <w:t xml:space="preserve"> </w:t>
      </w:r>
      <w:r>
        <w:t xml:space="preserve">(IFES; Deeprose, Malik, and Holmes 2011)</w:t>
      </w:r>
      <w:r>
        <w:t xml:space="preserve"> </w:t>
      </w:r>
      <w:r>
        <w:t xml:space="preserve">captured distress, intrusiveness, and avoidance in response to personally salient imagery.</w:t>
      </w:r>
      <w:r>
        <w:t xml:space="preserve"> </w:t>
      </w:r>
      <w:r>
        <w:t xml:space="preserve">Together, these constructs span both targeted and transdiagnostic mechanisms, allowing a comprehensive view of how WET may promote change across emotional, cognitive, and regulatory domains.</w:t>
      </w:r>
    </w:p>
    <w:p>
      <w:r>
        <w:pict>
          <v:rect style="width:0;height:1.5pt" o:hralign="center" o:hrstd="t" o:hr="t"/>
        </w:pict>
      </w:r>
    </w:p>
    <w:p>
      <w:pPr>
        <w:pStyle w:val="FirstParagraph"/>
      </w:pPr>
      <w:r>
        <w:rPr>
          <w:bCs/>
          <w:b/>
        </w:rPr>
        <w:t xml:space="preserve">Reviewer #2 Comment 5:</w:t>
      </w:r>
      <w:r>
        <w:rPr>
          <w:bCs/>
          <w:b/>
        </w:rPr>
        <w:t xml:space="preserve"> </w:t>
      </w:r>
    </w:p>
    <w:p>
      <w:pPr>
        <w:pStyle w:val="BodyText"/>
      </w:pPr>
      <w:r>
        <w:rPr>
          <w:iCs/>
          <w:i/>
        </w:rPr>
        <w:t xml:space="preserve">How exactly did the individuals identify their core threats and what support (e.g., instructions) did they receive?</w:t>
      </w:r>
      <w:r>
        <w:rPr>
          <w:iCs/>
          <w:i/>
        </w:rPr>
        <w:t xml:space="preserve"> </w:t>
      </w:r>
      <w:r>
        <w:rPr>
          <w:iCs/>
          <w:i/>
        </w:rPr>
        <w:t xml:space="preserve">In principle, it can be assumed that patients with anxiety disorders do not only have isolated core threats.</w:t>
      </w:r>
      <w:r>
        <w:rPr>
          <w:iCs/>
          <w:i/>
        </w:rPr>
        <w:t xml:space="preserve"> </w:t>
      </w:r>
      <w:r>
        <w:rPr>
          <w:iCs/>
          <w:i/>
        </w:rPr>
        <w:t xml:space="preserve">The limitations associated with addressing only one threat, as in this study, should be critically discussed.</w:t>
      </w:r>
    </w:p>
    <w:p>
      <w:pPr>
        <w:pStyle w:val="BodyText"/>
      </w:pPr>
      <w:r>
        <w:rPr>
          <w:bCs/>
          <w:b/>
        </w:rPr>
        <w:t xml:space="preserve">Author response:</w:t>
      </w:r>
    </w:p>
    <w:p>
      <w:pPr>
        <w:pStyle w:val="BodyText"/>
      </w:pPr>
      <w:r>
        <w:t xml:space="preserve">We appreciate the reviewer’s interest in this point.</w:t>
      </w:r>
      <w:r>
        <w:t xml:space="preserve"> </w:t>
      </w:r>
      <w:r>
        <w:t xml:space="preserve">Participants identified their</w:t>
      </w:r>
      <w:r>
        <w:t xml:space="preserve"> </w:t>
      </w:r>
      <w:r>
        <w:rPr>
          <w:iCs/>
          <w:i/>
        </w:rPr>
        <w:t xml:space="preserve">core threat</w:t>
      </w:r>
      <w:r>
        <w:t xml:space="preserve"> </w:t>
      </w:r>
      <w:r>
        <w:t xml:space="preserve">using the</w:t>
      </w:r>
      <w:r>
        <w:t xml:space="preserve"> </w:t>
      </w:r>
      <w:r>
        <w:rPr>
          <w:bCs/>
          <w:b/>
        </w:rPr>
        <w:t xml:space="preserve">Core Threat Structured Interview (CTSI)</w:t>
      </w:r>
      <w:r>
        <w:t xml:space="preserve">, a standardized online procedure developed to assess the ultimate feared outcomes underlying anxiety and avoidance.</w:t>
      </w:r>
      <w:r>
        <w:t xml:space="preserve"> </w:t>
      </w:r>
      <w:r>
        <w:t xml:space="preserve">A detailed description of the CTSI is provided in the supplementary materials, and its validation is presented in a methodological paper currently under review</w:t>
      </w:r>
      <w:r>
        <w:t xml:space="preserve"> </w:t>
      </w:r>
      <w:r>
        <w:t xml:space="preserve">(Zlotnick and Huppert 2026)</w:t>
      </w:r>
      <w:r>
        <w:t xml:space="preserve">.</w:t>
      </w:r>
      <w:r>
        <w:t xml:space="preserve"> </w:t>
      </w:r>
      <w:r>
        <w:t xml:space="preserve">The CTSI has demonstrated good reliability and validity in online administration.</w:t>
      </w:r>
    </w:p>
    <w:p>
      <w:pPr>
        <w:pStyle w:val="BodyText"/>
      </w:pPr>
      <w:r>
        <w:t xml:space="preserve">As elaborated by Zlotnick and Huppert</w:t>
      </w:r>
      <w:r>
        <w:t xml:space="preserve"> </w:t>
      </w:r>
      <w:r>
        <w:t xml:space="preserve">(2025)</w:t>
      </w:r>
      <w:r>
        <w:t xml:space="preserve">,</w:t>
      </w:r>
      <w:r>
        <w:t xml:space="preserve"> </w:t>
      </w:r>
      <w:r>
        <w:rPr>
          <w:iCs/>
          <w:i/>
        </w:rPr>
        <w:t xml:space="preserve">core threats</w:t>
      </w:r>
      <w:r>
        <w:t xml:space="preserve"> </w:t>
      </w:r>
      <w:r>
        <w:t xml:space="preserve">differ from proximal or situational fears in that they reflect an individual’s most fundamental feared outcome (e.g., harm to loved ones, loss of control, moral failure).</w:t>
      </w:r>
      <w:r>
        <w:t xml:space="preserve"> </w:t>
      </w:r>
      <w:r>
        <w:t xml:space="preserve">While people may experience numerous situational fears, these often converge on one or two central core threats that organize their fear structure.</w:t>
      </w:r>
      <w:r>
        <w:t xml:space="preserve"> </w:t>
      </w:r>
      <w:r>
        <w:t xml:space="preserve">In our ongoing validation work, we have found that even diverse anxiety symptoms or compulsions frequently share the same core threat, supporting this integrative conceptualization.</w:t>
      </w:r>
    </w:p>
    <w:p>
      <w:pPr>
        <w:pStyle w:val="BodyText"/>
      </w:pPr>
      <w:r>
        <w:t xml:space="preserve">We believe that focusing on a person’s core threat offers efficient and meaningful coverage of their broader threat system, as it targets the motivational center underlying multiple fears.</w:t>
      </w:r>
      <w:r>
        <w:t xml:space="preserve"> </w:t>
      </w:r>
      <w:r>
        <w:t xml:space="preserve">At the same time, we acknowledge that this approach cannot capture every relevant domain of threat.</w:t>
      </w:r>
      <w:r>
        <w:t xml:space="preserve"> </w:t>
      </w:r>
      <w:r>
        <w:t xml:space="preserve">Brief interventions must necessarily focus on a limited number of themes, and the current study was designed to test the feasibility and mechanisms of addressing one core threat within a concise protocol rather than to replace comprehensive treatment.</w:t>
      </w:r>
      <w:r>
        <w:t xml:space="preserve"> </w:t>
      </w:r>
      <w:r>
        <w:t xml:space="preserve">Future studies may examine multi-threat or sequential approaches to extend this framework.</w:t>
      </w:r>
    </w:p>
    <w:p>
      <w:pPr>
        <w:pStyle w:val="BodyText"/>
      </w:pPr>
      <w:r>
        <w:t xml:space="preserve">We have clarified both these issues in the methods section:</w:t>
      </w:r>
    </w:p>
    <w:p>
      <w:pPr>
        <w:pStyle w:val="BlockText"/>
      </w:pPr>
      <w:r>
        <w:t xml:space="preserve">Before the first writing session, participants identified their primary core threat using the Core Threat Structured Interview (CTSI).</w:t>
      </w:r>
      <w:r>
        <w:t xml:space="preserve"> </w:t>
      </w:r>
      <w:r>
        <w:t xml:space="preserve">The CTSI is a structured and psychometrically validated online assessment designed to elicit the individual’s ultimate feared outcome underlying anxiety or avoidance</w:t>
      </w:r>
      <w:r>
        <w:t xml:space="preserve"> </w:t>
      </w:r>
      <w:r>
        <w:t xml:space="preserve">(Zlotnick and Huppert 2026)</w:t>
      </w:r>
      <w:r>
        <w:t xml:space="preserve">.</w:t>
      </w:r>
      <w:r>
        <w:t xml:space="preserve"> </w:t>
      </w:r>
      <w:r>
        <w:t xml:space="preserve">It guides participants through examples and clarification prompts to ensure that the selected threat is personally meaningful and specific enough to serve as the focus for the writing exercises.</w:t>
      </w:r>
    </w:p>
    <w:p>
      <w:pPr>
        <w:pStyle w:val="FirstParagraph"/>
      </w:pPr>
      <w:r>
        <w:t xml:space="preserve">And in the discussion as part of the limitations:</w:t>
      </w:r>
    </w:p>
    <w:p>
      <w:pPr>
        <w:pStyle w:val="BlockText"/>
      </w:pPr>
      <w:r>
        <w:t xml:space="preserve">Finally, the intervention targeted a single core threat identified by each participant.</w:t>
      </w:r>
      <w:r>
        <w:t xml:space="preserve"> </w:t>
      </w:r>
      <w:r>
        <w:t xml:space="preserve">We believe this approach captures the central motivational theme underlying multiple situational fears and thus provides efficient coverage of the broader threat system</w:t>
      </w:r>
      <w:r>
        <w:t xml:space="preserve"> </w:t>
      </w:r>
      <w:r>
        <w:t xml:space="preserve">(Zlotnick and Huppert 2025)</w:t>
      </w:r>
      <w:r>
        <w:t xml:space="preserve">.</w:t>
      </w:r>
      <w:r>
        <w:t xml:space="preserve"> </w:t>
      </w:r>
      <w:r>
        <w:t xml:space="preserve">Nevertheless, a single-target design cannot encompass all personally relevant threats, and future studies should examine whether addressing multiple core threats sequentially or hierarchically yields added benefit.</w:t>
      </w:r>
    </w:p>
    <w:p>
      <w:pPr>
        <w:pStyle w:val="FirstParagraph"/>
      </w:pPr>
      <w:r>
        <w:rPr>
          <w:bCs/>
          <w:b/>
        </w:rPr>
        <w:t xml:space="preserve">Reviewer #2 Comment 6:</w:t>
      </w:r>
      <w:r>
        <w:rPr>
          <w:bCs/>
          <w:b/>
        </w:rPr>
        <w:t xml:space="preserve"> </w:t>
      </w:r>
    </w:p>
    <w:p>
      <w:pPr>
        <w:pStyle w:val="BodyText"/>
      </w:pPr>
      <w:r>
        <w:rPr>
          <w:iCs/>
          <w:i/>
        </w:rPr>
        <w:t xml:space="preserve">Perhaps it’s because I don’t have access to supplementary materials, but the content of the psychoeducational materials should be described in more detail.</w:t>
      </w:r>
      <w:r>
        <w:rPr>
          <w:iCs/>
          <w:i/>
        </w:rPr>
        <w:t xml:space="preserve"> </w:t>
      </w:r>
      <w:r>
        <w:rPr>
          <w:iCs/>
          <w:i/>
        </w:rPr>
        <w:t xml:space="preserve">What exactly does</w:t>
      </w:r>
      <w:r>
        <w:rPr>
          <w:iCs/>
          <w:i/>
        </w:rPr>
        <w:t xml:space="preserve"> </w:t>
      </w:r>
      <w:r>
        <w:rPr>
          <w:iCs/>
          <w:i/>
        </w:rPr>
        <w:t xml:space="preserve">“</w:t>
      </w:r>
      <w:r>
        <w:rPr>
          <w:iCs/>
          <w:i/>
        </w:rPr>
        <w:t xml:space="preserve">standard exposure-based psychoeducation</w:t>
      </w:r>
      <w:r>
        <w:rPr>
          <w:iCs/>
          <w:i/>
        </w:rPr>
        <w:t xml:space="preserve">”</w:t>
      </w:r>
      <w:r>
        <w:rPr>
          <w:iCs/>
          <w:i/>
        </w:rPr>
        <w:t xml:space="preserve"> </w:t>
      </w:r>
      <w:r>
        <w:rPr>
          <w:iCs/>
          <w:i/>
        </w:rPr>
        <w:t xml:space="preserve">mean in the study, given that exposure therapy can currently be conducted under very different rationales (e.g., habituation model vs. fear extinction model), coupled with different implications for the therapeutic approach.</w:t>
      </w:r>
    </w:p>
    <w:p>
      <w:pPr>
        <w:pStyle w:val="BodyText"/>
      </w:pPr>
      <w:r>
        <w:rPr>
          <w:bCs/>
          <w:b/>
        </w:rPr>
        <w:t xml:space="preserve">Author response:</w:t>
      </w:r>
    </w:p>
    <w:p>
      <w:pPr>
        <w:pStyle w:val="BodyText"/>
      </w:pPr>
      <w:r>
        <w:t xml:space="preserve">We thank the reviewer for this important clarification request.</w:t>
      </w:r>
      <w:r>
        <w:t xml:space="preserve"> </w:t>
      </w:r>
      <w:r>
        <w:t xml:space="preserve">The psychoeducational materials presented to participants provided a concise rationale for exposure therapy grounded in both habituation and inhibitory-learning (fear-extinction) models.</w:t>
      </w:r>
      <w:r>
        <w:t xml:space="preserve"> </w:t>
      </w:r>
      <w:r>
        <w:t xml:space="preserve">Participants were informed that avoidance prevents corrective learning and that confronting feared situations—real or imagined—allows anxiety to decrease naturally and promotes new, non-threat associations.</w:t>
      </w:r>
    </w:p>
    <w:p>
      <w:pPr>
        <w:pStyle w:val="BodyText"/>
      </w:pPr>
      <w:r>
        <w:t xml:space="preserve">To ensure transparency, we have added a short summary of this content to the</w:t>
      </w:r>
      <w:r>
        <w:t xml:space="preserve"> </w:t>
      </w:r>
      <w:r>
        <w:rPr>
          <w:iCs/>
          <w:i/>
        </w:rPr>
        <w:t xml:space="preserve">Intervention</w:t>
      </w:r>
      <w:r>
        <w:t xml:space="preserve"> </w:t>
      </w:r>
      <w:r>
        <w:t xml:space="preserve">section As follows:</w:t>
      </w:r>
    </w:p>
    <w:p>
      <w:pPr>
        <w:pStyle w:val="BlockText"/>
      </w:pPr>
      <w:r>
        <w:rPr>
          <w:bCs/>
          <w:b/>
        </w:rPr>
        <w:t xml:space="preserve">Written Exposure Therapy (WET).</w:t>
      </w:r>
      <w:r>
        <w:t xml:space="preserve"> </w:t>
      </w:r>
      <w:r>
        <w:t xml:space="preserve">Participants received brief exposure-based psychoeducation emphasizing that repeated engagement with distressing material reduces emotional impact</w:t>
      </w:r>
      <w:r>
        <w:t xml:space="preserve"> </w:t>
      </w:r>
      <w:r>
        <w:t xml:space="preserve">(cf. Benito et al. 2024)</w:t>
      </w:r>
      <w:r>
        <w:t xml:space="preserve">.</w:t>
      </w:r>
      <w:r>
        <w:t xml:space="preserve"> </w:t>
      </w:r>
      <w:r>
        <w:t xml:space="preserve">They then repeatedly expanded their personalized threat script through detailed writing focused on feared content, attending to their thoughts and emotions.</w:t>
      </w:r>
    </w:p>
    <w:p>
      <w:pPr>
        <w:pStyle w:val="FirstParagraph"/>
      </w:pPr>
      <w:r>
        <w:t xml:space="preserve">These additions clarify what is meant by</w:t>
      </w:r>
      <w:r>
        <w:t xml:space="preserve"> </w:t>
      </w:r>
      <w:r>
        <w:t xml:space="preserve">“</w:t>
      </w:r>
      <w:r>
        <w:t xml:space="preserve">exposure-based psychoeducation</w:t>
      </w:r>
      <w:r>
        <w:t xml:space="preserve">”</w:t>
      </w:r>
      <w:r>
        <w:t xml:space="preserve"> </w:t>
      </w:r>
      <w:r>
        <w:t xml:space="preserve">in the current study and make the materials accessible without reliance on the supplementary files.</w:t>
      </w:r>
      <w:r>
        <w:t xml:space="preserve"> </w:t>
      </w:r>
      <w:r>
        <w:t xml:space="preserve">We ensured that the supplementary materials, including full instructions, are now accessible.</w:t>
      </w:r>
    </w:p>
    <w:bookmarkEnd w:id="23"/>
    <w:bookmarkStart w:id="59" w:name="bibliography"/>
    <w:p>
      <w:pPr>
        <w:pStyle w:val="Heading2"/>
      </w:pPr>
      <w:r>
        <w:t xml:space="preserve">Bibliography</w:t>
      </w:r>
    </w:p>
    <w:bookmarkStart w:id="58" w:name="refs"/>
    <w:bookmarkStart w:id="25" w:name="ref-benitoMechanismsChangeExposure2024"/>
    <w:p>
      <w:pPr>
        <w:pStyle w:val="Bibliography"/>
      </w:pPr>
      <w:r>
        <w:t xml:space="preserve">Benito, Kristen, Andre Pittig, Jonathan Abramowitz, Joanna J. Arch, Denise Chavira, Rianne de Kleine, Alessandro S. De Nadai, et al. 2024.</w:t>
      </w:r>
      <w:r>
        <w:t xml:space="preserve"> </w:t>
      </w:r>
      <w:r>
        <w:t xml:space="preserve">“Mechanisms of Change in Exposure Therapy for Anxiety and Related Disorders: A Research Agenda.”</w:t>
      </w:r>
      <w:r>
        <w:t xml:space="preserve"> </w:t>
      </w:r>
      <w:r>
        <w:rPr>
          <w:iCs/>
          <w:i/>
        </w:rPr>
        <w:t xml:space="preserve">Clinical Psychological Science</w:t>
      </w:r>
      <w:r>
        <w:t xml:space="preserve">, May, 21677026241240727.</w:t>
      </w:r>
      <w:r>
        <w:t xml:space="preserve"> </w:t>
      </w:r>
      <w:hyperlink r:id="rId24">
        <w:r>
          <w:rPr>
            <w:rStyle w:val="Hyperlink"/>
          </w:rPr>
          <w:t xml:space="preserve">https://doi.org/10.1177/21677026241240727</w:t>
        </w:r>
      </w:hyperlink>
      <w:r>
        <w:t xml:space="preserve">.</w:t>
      </w:r>
    </w:p>
    <w:bookmarkEnd w:id="25"/>
    <w:bookmarkStart w:id="27" w:name="ref-bergAreEmotionsFrightening1998"/>
    <w:p>
      <w:pPr>
        <w:pStyle w:val="Bibliography"/>
      </w:pPr>
      <w:r>
        <w:t xml:space="preserve">Berg, Carol Zaremba, Nancy Shapiro, Dianne L Chambless, and Anthony H Ahrens. 1998.</w:t>
      </w:r>
      <w:r>
        <w:t xml:space="preserve"> </w:t>
      </w:r>
      <w:r>
        <w:t xml:space="preserve">“Are Emotions Frightening? II: An Analogue Study of Fear of Emotion, Interpersonal Conflict, and Panic Onset1.”</w:t>
      </w:r>
      <w:r>
        <w:t xml:space="preserve"> </w:t>
      </w:r>
      <w:r>
        <w:rPr>
          <w:iCs/>
          <w:i/>
        </w:rPr>
        <w:t xml:space="preserve">Behaviour Research and Therapy</w:t>
      </w:r>
      <w:r>
        <w:t xml:space="preserve"> </w:t>
      </w:r>
      <w:r>
        <w:t xml:space="preserve">36 (1): 3–15.</w:t>
      </w:r>
      <w:r>
        <w:t xml:space="preserve"> </w:t>
      </w:r>
      <w:hyperlink r:id="rId26">
        <w:r>
          <w:rPr>
            <w:rStyle w:val="Hyperlink"/>
          </w:rPr>
          <w:t xml:space="preserve">https://doi.org/10.1016/S0005-7967(97)10027-4</w:t>
        </w:r>
      </w:hyperlink>
      <w:r>
        <w:t xml:space="preserve">.</w:t>
      </w:r>
    </w:p>
    <w:bookmarkEnd w:id="27"/>
    <w:bookmarkStart w:id="29" w:name="X87bb2bd46be58214e25748c38635a099ba430db"/>
    <w:p>
      <w:pPr>
        <w:pStyle w:val="Bibliography"/>
      </w:pPr>
      <w:r>
        <w:t xml:space="preserve">Craske, Michelle G., Katharina Kircanski, Moriel Zelikowsky, Jayson Mystkowski, Najwa Chowdhury, and Aaron Baker. 2008.</w:t>
      </w:r>
      <w:r>
        <w:t xml:space="preserve"> </w:t>
      </w:r>
      <w:r>
        <w:t xml:space="preserve">“Optimizing inhibitory learning during exposure therapy.”</w:t>
      </w:r>
      <w:r>
        <w:t xml:space="preserve"> </w:t>
      </w:r>
      <w:r>
        <w:rPr>
          <w:iCs/>
          <w:i/>
        </w:rPr>
        <w:t xml:space="preserve">Behaviour Research and Therapy</w:t>
      </w:r>
      <w:r>
        <w:t xml:space="preserve"> </w:t>
      </w:r>
      <w:r>
        <w:t xml:space="preserve">46 (1): 5–27.</w:t>
      </w:r>
      <w:r>
        <w:t xml:space="preserve"> </w:t>
      </w:r>
      <w:hyperlink r:id="rId28">
        <w:r>
          <w:rPr>
            <w:rStyle w:val="Hyperlink"/>
          </w:rPr>
          <w:t xml:space="preserve">https://doi.org/10.1016/j.brat.2007.10.003</w:t>
        </w:r>
      </w:hyperlink>
      <w:r>
        <w:t xml:space="preserve">.</w:t>
      </w:r>
    </w:p>
    <w:bookmarkEnd w:id="29"/>
    <w:bookmarkStart w:id="31" w:name="X46258ef6afb2444ed491cd7ba0e79ce9d8537ce"/>
    <w:p>
      <w:pPr>
        <w:pStyle w:val="Bibliography"/>
      </w:pPr>
      <w:r>
        <w:t xml:space="preserve">Deeprose, Catherine, Aiysha Malik, and Emily A. Holmes. 2011.</w:t>
      </w:r>
      <w:r>
        <w:t xml:space="preserve"> </w:t>
      </w:r>
      <w:r>
        <w:t xml:space="preserve">“Measuring Intrusive Prospective Imagery Using the Impact of Future Events Scale (IFES): Psychometric Properties and Relation to Risk for Bipolar Disorder.”</w:t>
      </w:r>
      <w:r>
        <w:t xml:space="preserve"> </w:t>
      </w:r>
      <w:r>
        <w:rPr>
          <w:iCs/>
          <w:i/>
        </w:rPr>
        <w:t xml:space="preserve">International Journal of Cognitive Therapy</w:t>
      </w:r>
      <w:r>
        <w:t xml:space="preserve"> </w:t>
      </w:r>
      <w:r>
        <w:t xml:space="preserve">4 (2): 187–96.</w:t>
      </w:r>
      <w:r>
        <w:t xml:space="preserve"> </w:t>
      </w:r>
      <w:hyperlink r:id="rId30">
        <w:r>
          <w:rPr>
            <w:rStyle w:val="Hyperlink"/>
          </w:rPr>
          <w:t xml:space="preserve">https://doi.org/10.1521/ijct.2011.4.2.187</w:t>
        </w:r>
      </w:hyperlink>
      <w:r>
        <w:t xml:space="preserve">.</w:t>
      </w:r>
    </w:p>
    <w:bookmarkEnd w:id="31"/>
    <w:bookmarkStart w:id="33" w:name="ref-eronenCausalDiscoveryProblem2020"/>
    <w:p>
      <w:pPr>
        <w:pStyle w:val="Bibliography"/>
      </w:pPr>
      <w:r>
        <w:t xml:space="preserve">Eronen, Markus I. 2020.</w:t>
      </w:r>
      <w:r>
        <w:t xml:space="preserve"> </w:t>
      </w:r>
      <w:r>
        <w:t xml:space="preserve">“Causal Discovery and the Problem of Psychological Interventions.”</w:t>
      </w:r>
      <w:r>
        <w:t xml:space="preserve"> </w:t>
      </w:r>
      <w:r>
        <w:rPr>
          <w:iCs/>
          <w:i/>
        </w:rPr>
        <w:t xml:space="preserve">New Ideas in Psychology</w:t>
      </w:r>
      <w:r>
        <w:t xml:space="preserve"> </w:t>
      </w:r>
      <w:r>
        <w:t xml:space="preserve">59 (December): 100785.</w:t>
      </w:r>
      <w:r>
        <w:t xml:space="preserve"> </w:t>
      </w:r>
      <w:hyperlink r:id="rId32">
        <w:r>
          <w:rPr>
            <w:rStyle w:val="Hyperlink"/>
          </w:rPr>
          <w:t xml:space="preserve">https://doi.org/10.1016/j.newideapsych.2020.100785</w:t>
        </w:r>
      </w:hyperlink>
      <w:r>
        <w:t xml:space="preserve">.</w:t>
      </w:r>
    </w:p>
    <w:bookmarkEnd w:id="33"/>
    <w:bookmarkStart w:id="35" w:name="ref-foaEmotionalProcessingFear1986"/>
    <w:p>
      <w:pPr>
        <w:pStyle w:val="Bibliography"/>
      </w:pPr>
      <w:r>
        <w:t xml:space="preserve">Foa, Edna B., and Michael J. Kozak. 1986.</w:t>
      </w:r>
      <w:r>
        <w:t xml:space="preserve"> </w:t>
      </w:r>
      <w:r>
        <w:t xml:space="preserve">“Emotional Processing of Fear: Exposure to Corrective Information.”</w:t>
      </w:r>
      <w:r>
        <w:t xml:space="preserve"> </w:t>
      </w:r>
      <w:r>
        <w:rPr>
          <w:iCs/>
          <w:i/>
        </w:rPr>
        <w:t xml:space="preserve">Psychological Bulletin</w:t>
      </w:r>
      <w:r>
        <w:t xml:space="preserve"> </w:t>
      </w:r>
      <w:r>
        <w:t xml:space="preserve">99 (1): 20–35.</w:t>
      </w:r>
      <w:r>
        <w:t xml:space="preserve"> </w:t>
      </w:r>
      <w:hyperlink r:id="rId34">
        <w:r>
          <w:rPr>
            <w:rStyle w:val="Hyperlink"/>
          </w:rPr>
          <w:t xml:space="preserve">https://doi.org/10.1037/0033-2909.99.1.20</w:t>
        </w:r>
      </w:hyperlink>
      <w:r>
        <w:t xml:space="preserve">.</w:t>
      </w:r>
    </w:p>
    <w:bookmarkEnd w:id="35"/>
    <w:bookmarkStart w:id="37" w:name="ref-fowlerBriefCoreSchema2006"/>
    <w:p>
      <w:pPr>
        <w:pStyle w:val="Bibliography"/>
      </w:pPr>
      <w:r>
        <w:t xml:space="preserve">Fowler, David, Daniel Freeman, Ben Smith, Elizabeth Kuipers, Paul Bebbington, Hannah Bashforth, Sian Coker, et al. 2006.</w:t>
      </w:r>
      <w:r>
        <w:t xml:space="preserve"> </w:t>
      </w:r>
      <w:r>
        <w:t xml:space="preserve">“The Brief Core Schema Scales (BCSS): psychometric properties and associations with paranoia and grandiosity in non-clinical and psychosis samples.”</w:t>
      </w:r>
      <w:r>
        <w:t xml:space="preserve"> </w:t>
      </w:r>
      <w:r>
        <w:rPr>
          <w:iCs/>
          <w:i/>
        </w:rPr>
        <w:t xml:space="preserve">Psychological Medicine</w:t>
      </w:r>
      <w:r>
        <w:t xml:space="preserve"> </w:t>
      </w:r>
      <w:r>
        <w:t xml:space="preserve">36 (6): 749–59.</w:t>
      </w:r>
      <w:r>
        <w:t xml:space="preserve"> </w:t>
      </w:r>
      <w:hyperlink r:id="rId36">
        <w:r>
          <w:rPr>
            <w:rStyle w:val="Hyperlink"/>
          </w:rPr>
          <w:t xml:space="preserve">https://doi.org/10.1017/S0033291706007355</w:t>
        </w:r>
      </w:hyperlink>
      <w:r>
        <w:t xml:space="preserve">.</w:t>
      </w:r>
    </w:p>
    <w:bookmarkEnd w:id="37"/>
    <w:bookmarkStart w:id="38" w:name="ref-hayesAcceptanceCommitmentTherapy1999"/>
    <w:p>
      <w:pPr>
        <w:pStyle w:val="Bibliography"/>
      </w:pPr>
      <w:r>
        <w:t xml:space="preserve">Hayes, Steven C., Kirk D. Strosahl, and Kelly G. Wilson. 1999.</w:t>
      </w:r>
      <w:r>
        <w:t xml:space="preserve"> </w:t>
      </w:r>
      <w:r>
        <w:rPr>
          <w:iCs/>
          <w:i/>
        </w:rPr>
        <w:t xml:space="preserve">Acceptance and Commitment Therapy: An Experiential Approach to Behavior Change</w:t>
      </w:r>
      <w:r>
        <w:t xml:space="preserve">. Acceptance and Commitment Therapy: An Experiential Approach to Behavior Change. New York, NY, US: Guilford Press.</w:t>
      </w:r>
    </w:p>
    <w:bookmarkEnd w:id="38"/>
    <w:bookmarkStart w:id="40" w:name="ref-kazdinMediatorsMechanismsChange2007"/>
    <w:p>
      <w:pPr>
        <w:pStyle w:val="Bibliography"/>
      </w:pPr>
      <w:r>
        <w:t xml:space="preserve">Kazdin, Alan E. 2007.</w:t>
      </w:r>
      <w:r>
        <w:t xml:space="preserve"> </w:t>
      </w:r>
      <w:r>
        <w:t xml:space="preserve">“Mediators and mechanisms of change in psychotherapy research.”</w:t>
      </w:r>
      <w:r>
        <w:t xml:space="preserve"> </w:t>
      </w:r>
      <w:r>
        <w:rPr>
          <w:iCs/>
          <w:i/>
        </w:rPr>
        <w:t xml:space="preserve">Annual Review of Clinical Psychology</w:t>
      </w:r>
      <w:r>
        <w:t xml:space="preserve"> </w:t>
      </w:r>
      <w:r>
        <w:t xml:space="preserve">3: 1–27.</w:t>
      </w:r>
      <w:r>
        <w:t xml:space="preserve"> </w:t>
      </w:r>
      <w:hyperlink r:id="rId39">
        <w:r>
          <w:rPr>
            <w:rStyle w:val="Hyperlink"/>
          </w:rPr>
          <w:t xml:space="preserve">https://doi.org/10.1146/annurev.clinpsy.3.022806.091432</w:t>
        </w:r>
      </w:hyperlink>
      <w:r>
        <w:t xml:space="preserve">.</w:t>
      </w:r>
    </w:p>
    <w:bookmarkEnd w:id="40"/>
    <w:bookmarkStart w:id="42" w:name="X46c1c9eb724a2a363774abb48413fd0adbf69ad"/>
    <w:p>
      <w:pPr>
        <w:pStyle w:val="Bibliography"/>
      </w:pPr>
      <w:r>
        <w:t xml:space="preserve">Raes, Filip, Elizabeth Pommier, Kristin D. Neff, and Dinska Van Gucht. 2011.</w:t>
      </w:r>
      <w:r>
        <w:t xml:space="preserve"> </w:t>
      </w:r>
      <w:r>
        <w:t xml:space="preserve">“Construction and factorial validation of a short form of the Self-Compassion Scale.”</w:t>
      </w:r>
      <w:r>
        <w:t xml:space="preserve"> </w:t>
      </w:r>
      <w:r>
        <w:rPr>
          <w:iCs/>
          <w:i/>
        </w:rPr>
        <w:t xml:space="preserve">Clinical Psychology &amp; Psychotherapy</w:t>
      </w:r>
      <w:r>
        <w:t xml:space="preserve"> </w:t>
      </w:r>
      <w:r>
        <w:t xml:space="preserve">18 (3): 250–55.</w:t>
      </w:r>
      <w:r>
        <w:t xml:space="preserve"> </w:t>
      </w:r>
      <w:hyperlink r:id="rId41">
        <w:r>
          <w:rPr>
            <w:rStyle w:val="Hyperlink"/>
          </w:rPr>
          <w:t xml:space="preserve">https://doi.org/10.1002/cpp.702</w:t>
        </w:r>
      </w:hyperlink>
      <w:r>
        <w:t xml:space="preserve">.</w:t>
      </w:r>
    </w:p>
    <w:bookmarkEnd w:id="42"/>
    <w:bookmarkStart w:id="44" w:name="ref-rassinThoughtactionFusionCausal1999"/>
    <w:p>
      <w:pPr>
        <w:pStyle w:val="Bibliography"/>
      </w:pPr>
      <w:r>
        <w:t xml:space="preserve">Rassin, E., H. Merckelbach, P. Muris, and V. Spaan. 1999.</w:t>
      </w:r>
      <w:r>
        <w:t xml:space="preserve"> </w:t>
      </w:r>
      <w:r>
        <w:t xml:space="preserve">“Thought-action fusion as a causal factor in the development of intrusions.”</w:t>
      </w:r>
      <w:r>
        <w:t xml:space="preserve"> </w:t>
      </w:r>
      <w:r>
        <w:rPr>
          <w:iCs/>
          <w:i/>
        </w:rPr>
        <w:t xml:space="preserve">Behaviour Research and Therapy</w:t>
      </w:r>
      <w:r>
        <w:t xml:space="preserve"> </w:t>
      </w:r>
      <w:r>
        <w:t xml:space="preserve">37 (3): 231–37.</w:t>
      </w:r>
      <w:r>
        <w:t xml:space="preserve"> </w:t>
      </w:r>
      <w:hyperlink r:id="rId43">
        <w:r>
          <w:rPr>
            <w:rStyle w:val="Hyperlink"/>
          </w:rPr>
          <w:t xml:space="preserve">https://doi.org/10.1016/s0005-7967(98)00140-5</w:t>
        </w:r>
      </w:hyperlink>
      <w:r>
        <w:t xml:space="preserve">.</w:t>
      </w:r>
    </w:p>
    <w:bookmarkEnd w:id="44"/>
    <w:bookmarkStart w:id="46" w:name="Xaec84f9c77cdbd42034d8c720b2484a0fed6bc3"/>
    <w:p>
      <w:pPr>
        <w:pStyle w:val="Bibliography"/>
      </w:pPr>
      <w:r>
        <w:t xml:space="preserve">Shafran, Roz, Dana S. Thordarson, and S. Rachman. 1996.</w:t>
      </w:r>
      <w:r>
        <w:t xml:space="preserve"> </w:t>
      </w:r>
      <w:r>
        <w:t xml:space="preserve">“Thought-Action Fusion in Obsessive Compulsive Disorder.”</w:t>
      </w:r>
      <w:r>
        <w:t xml:space="preserve"> </w:t>
      </w:r>
      <w:r>
        <w:rPr>
          <w:iCs/>
          <w:i/>
        </w:rPr>
        <w:t xml:space="preserve">Journal of Anxiety Disorders</w:t>
      </w:r>
      <w:r>
        <w:t xml:space="preserve"> </w:t>
      </w:r>
      <w:r>
        <w:t xml:space="preserve">10 (5): 379–91.</w:t>
      </w:r>
      <w:r>
        <w:t xml:space="preserve"> </w:t>
      </w:r>
      <w:hyperlink r:id="rId45">
        <w:r>
          <w:rPr>
            <w:rStyle w:val="Hyperlink"/>
          </w:rPr>
          <w:t xml:space="preserve">https://doi.org/10.1016/0887-6185(96)00018-7</w:t>
        </w:r>
      </w:hyperlink>
      <w:r>
        <w:t xml:space="preserve">.</w:t>
      </w:r>
    </w:p>
    <w:bookmarkEnd w:id="46"/>
    <w:bookmarkStart w:id="48" w:name="ref-simonsDistressToleranceScale2005"/>
    <w:p>
      <w:pPr>
        <w:pStyle w:val="Bibliography"/>
      </w:pPr>
      <w:r>
        <w:t xml:space="preserve">Simons, Jeffrey S., and Raluca M. Gaher. 2005.</w:t>
      </w:r>
      <w:r>
        <w:t xml:space="preserve"> </w:t>
      </w:r>
      <w:r>
        <w:t xml:space="preserve">“The Distress Tolerance Scale: Development and Validation of a Self-Report Measure.”</w:t>
      </w:r>
      <w:r>
        <w:t xml:space="preserve"> </w:t>
      </w:r>
      <w:r>
        <w:rPr>
          <w:iCs/>
          <w:i/>
        </w:rPr>
        <w:t xml:space="preserve">Motivation and Emotion</w:t>
      </w:r>
      <w:r>
        <w:t xml:space="preserve"> </w:t>
      </w:r>
      <w:r>
        <w:t xml:space="preserve">29 (2): 83–102.</w:t>
      </w:r>
      <w:r>
        <w:t xml:space="preserve"> </w:t>
      </w:r>
      <w:hyperlink r:id="rId47">
        <w:r>
          <w:rPr>
            <w:rStyle w:val="Hyperlink"/>
          </w:rPr>
          <w:t xml:space="preserve">https://doi.org/10.1007/s11031-005-7955-3</w:t>
        </w:r>
      </w:hyperlink>
      <w:r>
        <w:t xml:space="preserve">.</w:t>
      </w:r>
    </w:p>
    <w:bookmarkEnd w:id="48"/>
    <w:bookmarkStart w:id="50" w:name="ref-sloanWrittenExposureTherapy2019"/>
    <w:p>
      <w:pPr>
        <w:pStyle w:val="Bibliography"/>
      </w:pPr>
      <w:r>
        <w:t xml:space="preserve">Sloan, Denise M., and Brian P. Marx. 2019.</w:t>
      </w:r>
      <w:r>
        <w:t xml:space="preserve"> </w:t>
      </w:r>
      <w:r>
        <w:rPr>
          <w:iCs/>
          <w:i/>
        </w:rPr>
        <w:t xml:space="preserve">Written Exposure Therapy for PTSD: A Brief Treatment Approach for Mental Health Professionals</w:t>
      </w:r>
      <w:r>
        <w:t xml:space="preserve">. Written Exposure Therapy for PTSD: A Brief Treatment Approach for Mental Health Professionals. Washington, DC, US: American Psychological Association.</w:t>
      </w:r>
      <w:r>
        <w:t xml:space="preserve"> </w:t>
      </w:r>
      <w:hyperlink r:id="rId49">
        <w:r>
          <w:rPr>
            <w:rStyle w:val="Hyperlink"/>
          </w:rPr>
          <w:t xml:space="preserve">https://doi.org/10.1037/0000139-000</w:t>
        </w:r>
      </w:hyperlink>
      <w:r>
        <w:t xml:space="preserve">.</w:t>
      </w:r>
    </w:p>
    <w:bookmarkEnd w:id="50"/>
    <w:bookmarkStart w:id="52" w:name="X0b33497bea894be733ae39170a2e6a2f7ae8eaa"/>
    <w:p>
      <w:pPr>
        <w:pStyle w:val="Bibliography"/>
      </w:pPr>
      <w:r>
        <w:t xml:space="preserve">Thompson-Hollands, Johanna, Todd J. Farchione, and David H. Barlow. 2013.</w:t>
      </w:r>
      <w:r>
        <w:t xml:space="preserve"> </w:t>
      </w:r>
      <w:r>
        <w:t xml:space="preserve">“Thought-Action Fusion Across Anxiety Disorder Diagnoses: Specificity and Treatment Effects.”</w:t>
      </w:r>
      <w:r>
        <w:t xml:space="preserve"> </w:t>
      </w:r>
      <w:r>
        <w:rPr>
          <w:iCs/>
          <w:i/>
        </w:rPr>
        <w:t xml:space="preserve">The Journal of Nervous and Mental Disease</w:t>
      </w:r>
      <w:r>
        <w:t xml:space="preserve"> </w:t>
      </w:r>
      <w:r>
        <w:t xml:space="preserve">201 (5): 407–13.</w:t>
      </w:r>
      <w:r>
        <w:t xml:space="preserve"> </w:t>
      </w:r>
      <w:hyperlink r:id="rId51">
        <w:r>
          <w:rPr>
            <w:rStyle w:val="Hyperlink"/>
          </w:rPr>
          <w:t xml:space="preserve">https://doi.org/10.1097/NMD.0b013e31828e102c</w:t>
        </w:r>
      </w:hyperlink>
      <w:r>
        <w:t xml:space="preserve">.</w:t>
      </w:r>
    </w:p>
    <w:bookmarkEnd w:id="52"/>
    <w:bookmarkStart w:id="54" w:name="ref-wellsShortFormMetacognitions2004"/>
    <w:p>
      <w:pPr>
        <w:pStyle w:val="Bibliography"/>
      </w:pPr>
      <w:r>
        <w:t xml:space="preserve">Wells, A., and Sam Cartwright-Hatton. 2004.</w:t>
      </w:r>
      <w:r>
        <w:t xml:space="preserve"> </w:t>
      </w:r>
      <w:r>
        <w:t xml:space="preserve">“A short form of the metacognitions questionnaire: properties of the MCQ-30.”</w:t>
      </w:r>
      <w:r>
        <w:t xml:space="preserve"> </w:t>
      </w:r>
      <w:r>
        <w:rPr>
          <w:iCs/>
          <w:i/>
        </w:rPr>
        <w:t xml:space="preserve">Behaviour Research and Therapy</w:t>
      </w:r>
      <w:r>
        <w:t xml:space="preserve"> </w:t>
      </w:r>
      <w:r>
        <w:t xml:space="preserve">42 (4): 385–96.</w:t>
      </w:r>
      <w:r>
        <w:t xml:space="preserve"> </w:t>
      </w:r>
      <w:hyperlink r:id="rId53">
        <w:r>
          <w:rPr>
            <w:rStyle w:val="Hyperlink"/>
          </w:rPr>
          <w:t xml:space="preserve">https://doi.org/10.1016/S0005-7967(03)00147-5</w:t>
        </w:r>
      </w:hyperlink>
      <w:r>
        <w:t xml:space="preserve">.</w:t>
      </w:r>
    </w:p>
    <w:bookmarkEnd w:id="54"/>
    <w:bookmarkStart w:id="56" w:name="ref-zlotnickMotivationalAnatomyFear2025"/>
    <w:p>
      <w:pPr>
        <w:pStyle w:val="Bibliography"/>
      </w:pPr>
      <w:r>
        <w:t xml:space="preserve">Zlotnick, Elad, and Jonathan D. Huppert. 2025.</w:t>
      </w:r>
      <w:r>
        <w:t xml:space="preserve"> </w:t>
      </w:r>
      <w:r>
        <w:t xml:space="preserve">“The Motivational Anatomy of Fear: A Closer Look at Core Threats.”</w:t>
      </w:r>
      <w:r>
        <w:t xml:space="preserve"> </w:t>
      </w:r>
      <w:r>
        <w:rPr>
          <w:iCs/>
          <w:i/>
        </w:rPr>
        <w:t xml:space="preserve">Clinical Psychology Review</w:t>
      </w:r>
      <w:r>
        <w:t xml:space="preserve"> </w:t>
      </w:r>
      <w:r>
        <w:t xml:space="preserve">122 (December): 102655.</w:t>
      </w:r>
      <w:r>
        <w:t xml:space="preserve"> </w:t>
      </w:r>
      <w:hyperlink r:id="rId55">
        <w:r>
          <w:rPr>
            <w:rStyle w:val="Hyperlink"/>
          </w:rPr>
          <w:t xml:space="preserve">https://doi.org/10.1016/j.cpr.2025.102655</w:t>
        </w:r>
      </w:hyperlink>
      <w:r>
        <w:t xml:space="preserve">.</w:t>
      </w:r>
    </w:p>
    <w:bookmarkEnd w:id="56"/>
    <w:bookmarkStart w:id="57" w:name="ref-zlotnickCoreThreatStructured2026"/>
    <w:p>
      <w:pPr>
        <w:pStyle w:val="Bibliography"/>
      </w:pPr>
      <w:r>
        <w:t xml:space="preserve">———. 2026.</w:t>
      </w:r>
      <w:r>
        <w:t xml:space="preserve"> </w:t>
      </w:r>
      <w:r>
        <w:t xml:space="preserve">“The Core Threat Structured Interview: Pyschoemetrics and Phenomenology.”</w:t>
      </w:r>
      <w:r>
        <w:t xml:space="preserve"> </w:t>
      </w:r>
      <w:r>
        <w:t xml:space="preserve">Manuscript under review.</w:t>
      </w:r>
    </w:p>
    <w:bookmarkEnd w:id="57"/>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doi.org/10.17605/OSF.IO/2CEHR" TargetMode="External" /><Relationship Type="http://schemas.openxmlformats.org/officeDocument/2006/relationships/hyperlink" Id="rId41" Target="https://doi.org/10.1002/cpp.702" TargetMode="External" /><Relationship Type="http://schemas.openxmlformats.org/officeDocument/2006/relationships/hyperlink" Id="rId47" Target="https://doi.org/10.1007/s11031-005-7955-3" TargetMode="External" /><Relationship Type="http://schemas.openxmlformats.org/officeDocument/2006/relationships/hyperlink" Id="rId45" Target="https://doi.org/10.1016/0887-6185(96)00018-7" TargetMode="External" /><Relationship Type="http://schemas.openxmlformats.org/officeDocument/2006/relationships/hyperlink" Id="rId53" Target="https://doi.org/10.1016/S0005-7967(03)00147-5" TargetMode="External" /><Relationship Type="http://schemas.openxmlformats.org/officeDocument/2006/relationships/hyperlink" Id="rId26" Target="https://doi.org/10.1016/S0005-7967(97)10027-4" TargetMode="External" /><Relationship Type="http://schemas.openxmlformats.org/officeDocument/2006/relationships/hyperlink" Id="rId28" Target="https://doi.org/10.1016/j.brat.2007.10.003" TargetMode="External" /><Relationship Type="http://schemas.openxmlformats.org/officeDocument/2006/relationships/hyperlink" Id="rId55" Target="https://doi.org/10.1016/j.cpr.2025.102655" TargetMode="External" /><Relationship Type="http://schemas.openxmlformats.org/officeDocument/2006/relationships/hyperlink" Id="rId32" Target="https://doi.org/10.1016/j.newideapsych.2020.100785" TargetMode="External" /><Relationship Type="http://schemas.openxmlformats.org/officeDocument/2006/relationships/hyperlink" Id="rId43" Target="https://doi.org/10.1016/s0005-7967(98)00140-5" TargetMode="External" /><Relationship Type="http://schemas.openxmlformats.org/officeDocument/2006/relationships/hyperlink" Id="rId36" Target="https://doi.org/10.1017/S0033291706007355" TargetMode="External" /><Relationship Type="http://schemas.openxmlformats.org/officeDocument/2006/relationships/hyperlink" Id="rId49" Target="https://doi.org/10.1037/0000139-000" TargetMode="External" /><Relationship Type="http://schemas.openxmlformats.org/officeDocument/2006/relationships/hyperlink" Id="rId34" Target="https://doi.org/10.1037/0033-2909.99.1.20" TargetMode="External" /><Relationship Type="http://schemas.openxmlformats.org/officeDocument/2006/relationships/hyperlink" Id="rId51" Target="https://doi.org/10.1097/NMD.0b013e31828e102c" TargetMode="External" /><Relationship Type="http://schemas.openxmlformats.org/officeDocument/2006/relationships/hyperlink" Id="rId39" Target="https://doi.org/10.1146/annurev.clinpsy.3.022806.091432" TargetMode="External" /><Relationship Type="http://schemas.openxmlformats.org/officeDocument/2006/relationships/hyperlink" Id="rId24" Target="https://doi.org/10.1177/21677026241240727" TargetMode="External" /><Relationship Type="http://schemas.openxmlformats.org/officeDocument/2006/relationships/hyperlink" Id="rId30" Target="https://doi.org/10.1521/ijct.2011.4.2.187" TargetMode="External" /></Relationships>
</file>

<file path=word/_rels/footnotes.xml.rels><?xml version="1.0" encoding="UTF-8"?><Relationships xmlns="http://schemas.openxmlformats.org/package/2006/relationships"><Relationship Type="http://schemas.openxmlformats.org/officeDocument/2006/relationships/hyperlink" Id="rId21" Target="doi.org/10.17605/OSF.IO/2CEHR" TargetMode="External" /><Relationship Type="http://schemas.openxmlformats.org/officeDocument/2006/relationships/hyperlink" Id="rId41" Target="https://doi.org/10.1002/cpp.702" TargetMode="External" /><Relationship Type="http://schemas.openxmlformats.org/officeDocument/2006/relationships/hyperlink" Id="rId47" Target="https://doi.org/10.1007/s11031-005-7955-3" TargetMode="External" /><Relationship Type="http://schemas.openxmlformats.org/officeDocument/2006/relationships/hyperlink" Id="rId45" Target="https://doi.org/10.1016/0887-6185(96)00018-7" TargetMode="External" /><Relationship Type="http://schemas.openxmlformats.org/officeDocument/2006/relationships/hyperlink" Id="rId53" Target="https://doi.org/10.1016/S0005-7967(03)00147-5" TargetMode="External" /><Relationship Type="http://schemas.openxmlformats.org/officeDocument/2006/relationships/hyperlink" Id="rId26" Target="https://doi.org/10.1016/S0005-7967(97)10027-4" TargetMode="External" /><Relationship Type="http://schemas.openxmlformats.org/officeDocument/2006/relationships/hyperlink" Id="rId28" Target="https://doi.org/10.1016/j.brat.2007.10.003" TargetMode="External" /><Relationship Type="http://schemas.openxmlformats.org/officeDocument/2006/relationships/hyperlink" Id="rId55" Target="https://doi.org/10.1016/j.cpr.2025.102655" TargetMode="External" /><Relationship Type="http://schemas.openxmlformats.org/officeDocument/2006/relationships/hyperlink" Id="rId32" Target="https://doi.org/10.1016/j.newideapsych.2020.100785" TargetMode="External" /><Relationship Type="http://schemas.openxmlformats.org/officeDocument/2006/relationships/hyperlink" Id="rId43" Target="https://doi.org/10.1016/s0005-7967(98)00140-5" TargetMode="External" /><Relationship Type="http://schemas.openxmlformats.org/officeDocument/2006/relationships/hyperlink" Id="rId36" Target="https://doi.org/10.1017/S0033291706007355" TargetMode="External" /><Relationship Type="http://schemas.openxmlformats.org/officeDocument/2006/relationships/hyperlink" Id="rId49" Target="https://doi.org/10.1037/0000139-000" TargetMode="External" /><Relationship Type="http://schemas.openxmlformats.org/officeDocument/2006/relationships/hyperlink" Id="rId34" Target="https://doi.org/10.1037/0033-2909.99.1.20" TargetMode="External" /><Relationship Type="http://schemas.openxmlformats.org/officeDocument/2006/relationships/hyperlink" Id="rId51" Target="https://doi.org/10.1097/NMD.0b013e31828e102c" TargetMode="External" /><Relationship Type="http://schemas.openxmlformats.org/officeDocument/2006/relationships/hyperlink" Id="rId39" Target="https://doi.org/10.1146/annurev.clinpsy.3.022806.091432" TargetMode="External" /><Relationship Type="http://schemas.openxmlformats.org/officeDocument/2006/relationships/hyperlink" Id="rId24" Target="https://doi.org/10.1177/21677026241240727" TargetMode="External" /><Relationship Type="http://schemas.openxmlformats.org/officeDocument/2006/relationships/hyperlink" Id="rId30" Target="https://doi.org/10.1521/ijct.2011.4.2.1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2026-01-08T14:08:18Z</dcterms:created>
  <dcterms:modified xsi:type="dcterms:W3CDTF">2026-01-08T14:08:18Z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/home/eladzlot/projects/zettlr/zotero.json</vt:lpwstr>
  </property>
</Properties>
</file>