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00" w:type="dxa"/>
        <w:jc w:val="center"/>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300"/>
        <w:gridCol w:w="8500"/>
      </w:tblGrid>
      <w:tr>
        <w:tc>
          <w:tcPr>
            <w:tcW w:type="dxa" w:w="2300"/>
            <w:vAlign w:val="top"/>
          </w:tcPr>
          <w:p>
            <w:pPr>
              <w:spacing w:before="0" w:after="0" w:line="240" w:lineRule="auto"/>
            </w:pPr>
            <w:r>
              <w:drawing>
                <wp:inline xmlns:a="http://schemas.openxmlformats.org/drawingml/2006/main" xmlns:pic="http://schemas.openxmlformats.org/drawingml/2006/picture">
                  <wp:extent cx="1283644" cy="1371600"/>
                  <wp:docPr id="1" name="Ghost Grid" descr="Ghost Grid: Quantum Tic-Tac-Toe. A smiling ghost floats across a red tic-tac-toe board with solid and dashed X and O mark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3644" cy="1371600"/>
                          </a:xfrm>
                          <a:prstGeom prst="rect"/>
                        </pic:spPr>
                      </pic:pic>
                    </a:graphicData>
                  </a:graphic>
                </wp:inline>
              </w:drawing>
            </w:r>
          </w:p>
        </w:tc>
        <w:tc>
          <w:tcPr>
            <w:tcW w:type="dxa" w:w="8500"/>
            <w:vAlign w:val="center"/>
          </w:tcPr>
          <w:p>
            <w:pPr>
              <w:spacing w:before="0" w:after="30" w:line="380" w:lineRule="exact"/>
            </w:pPr>
            <w:r>
              <w:rPr>
                <w:b/>
                <w:color w:val="D3061C"/>
                <w:sz w:val="34"/>
              </w:rPr>
              <w:t>SUPERPOSITION + ENTANGLEMENT</w:t>
            </w:r>
          </w:p>
          <w:p>
            <w:pPr>
              <w:spacing w:before="0" w:after="90" w:line="240" w:lineRule="exact"/>
            </w:pPr>
            <w:r>
              <w:rPr>
                <w:sz w:val="20"/>
              </w:rPr>
              <w:t>Goff’s full game  •  Two players  •  Pencils and erasers</w:t>
            </w:r>
          </w:p>
          <w:p>
            <w:pPr>
              <w:pStyle w:val="BodyText"/>
              <w:pBdr>
                <w:left w:val="single" w:sz="18" w:space="6" w:color="D3061C"/>
              </w:pBdr>
              <w:spacing w:before="0" w:after="40" w:line="236" w:lineRule="exact"/>
              <w:ind w:left="170"/>
            </w:pPr>
            <w:r>
              <w:rPr>
                <w:b/>
                <w:sz w:val="21"/>
              </w:rPr>
              <w:t xml:space="preserve">Superposition: </w:t>
            </w:r>
            <w:r>
              <w:rPr>
                <w:sz w:val="21"/>
              </w:rPr>
              <w:t>a spooky pair is one move in two places at once.</w:t>
            </w:r>
          </w:p>
          <w:p>
            <w:pPr>
              <w:pStyle w:val="BodyText"/>
              <w:pBdr>
                <w:left w:val="single" w:sz="18" w:space="6" w:color="D3061C"/>
              </w:pBdr>
              <w:spacing w:before="0" w:after="40" w:line="236" w:lineRule="exact"/>
              <w:ind w:left="170"/>
            </w:pPr>
            <w:r>
              <w:rPr>
                <w:b/>
                <w:sz w:val="21"/>
              </w:rPr>
              <w:t xml:space="preserve">Entanglement: </w:t>
            </w:r>
            <w:r>
              <w:rPr>
                <w:sz w:val="21"/>
              </w:rPr>
              <w:t>pairs that share a square are linked, so they affect each other.</w:t>
            </w:r>
          </w:p>
          <w:p>
            <w:pPr>
              <w:pStyle w:val="BodyText"/>
              <w:pBdr>
                <w:left w:val="single" w:sz="18" w:space="6" w:color="D3061C"/>
              </w:pBdr>
              <w:spacing w:before="0" w:after="0" w:line="236" w:lineRule="exact"/>
              <w:ind w:left="170"/>
            </w:pPr>
            <w:r>
              <w:rPr>
                <w:b/>
                <w:sz w:val="21"/>
              </w:rPr>
              <w:t xml:space="preserve">Collapse: </w:t>
            </w:r>
            <w:r>
              <w:rPr>
                <w:sz w:val="21"/>
              </w:rPr>
              <w:t>a measurement turns a spooky pair into one real mark.</w:t>
            </w:r>
          </w:p>
        </w:tc>
      </w:tr>
    </w:tbl>
    <w:p>
      <w:pPr>
        <w:pStyle w:val="BodyText"/>
        <w:keepLines/>
        <w:spacing w:before="110" w:after="40" w:line="246" w:lineRule="exact"/>
        <w:ind w:left="274" w:hanging="274"/>
      </w:pPr>
      <w:r>
        <w:rPr>
          <w:b/>
        </w:rPr>
        <w:t xml:space="preserve">1. Spooky pairs (superposition). </w:t>
      </w:r>
      <w:r>
        <w:t xml:space="preserve">X goes first. On each move, write your letter in two different squares. Label both with the move number: </w:t>
      </w:r>
      <w:r>
        <w:t>X</w:t>
      </w:r>
      <w:r>
        <w:rPr>
          <w:vertAlign w:val="subscript"/>
        </w:rPr>
        <w:t>1</w:t>
      </w:r>
      <w:r>
        <w:t xml:space="preserve"> and </w:t>
      </w:r>
      <w:r>
        <w:t>X</w:t>
      </w:r>
      <w:r>
        <w:rPr>
          <w:vertAlign w:val="subscript"/>
        </w:rPr>
        <w:t>1</w:t>
      </w:r>
      <w:r>
        <w:t xml:space="preserve">, then </w:t>
      </w:r>
      <w:r>
        <w:t>O</w:t>
      </w:r>
      <w:r>
        <w:rPr>
          <w:vertAlign w:val="subscript"/>
        </w:rPr>
        <w:t>2</w:t>
      </w:r>
      <w:r>
        <w:t xml:space="preserve"> and </w:t>
      </w:r>
      <w:r>
        <w:t>O</w:t>
      </w:r>
      <w:r>
        <w:rPr>
          <w:vertAlign w:val="subscript"/>
        </w:rPr>
        <w:t>2</w:t>
      </w:r>
      <w:r>
        <w:t xml:space="preserve">, then </w:t>
      </w:r>
      <w:r>
        <w:t>X</w:t>
      </w:r>
      <w:r>
        <w:rPr>
          <w:vertAlign w:val="subscript"/>
        </w:rPr>
        <w:t>3</w:t>
      </w:r>
      <w:r>
        <w:t xml:space="preserve"> and </w:t>
      </w:r>
      <w:r>
        <w:t>X</w:t>
      </w:r>
      <w:r>
        <w:rPr>
          <w:vertAlign w:val="subscript"/>
        </w:rPr>
        <w:t>3</w:t>
      </w:r>
      <w:r>
        <w:t>.</w:t>
      </w:r>
    </w:p>
    <w:p>
      <w:pPr>
        <w:pStyle w:val="BodyText"/>
        <w:keepLines/>
        <w:spacing w:before="0" w:after="40" w:line="246" w:lineRule="exact"/>
        <w:ind w:left="274" w:hanging="274"/>
      </w:pPr>
      <w:r>
        <w:rPr>
          <w:b/>
        </w:rPr>
        <w:t xml:space="preserve">2. Shared squares (entanglement). </w:t>
      </w:r>
      <w:r>
        <w:t>Marks from different moves may share a square, so write small. Two moves that share a square cannot both end up there. Do not write in a square with a real mark.</w:t>
      </w:r>
    </w:p>
    <w:p>
      <w:pPr>
        <w:pStyle w:val="BodyText"/>
        <w:keepLines/>
        <w:spacing w:before="0" w:after="40" w:line="246" w:lineRule="exact"/>
        <w:ind w:left="274" w:hanging="274"/>
      </w:pPr>
      <w:r>
        <w:rPr>
          <w:b/>
        </w:rPr>
        <w:t xml:space="preserve">3. Loops. </w:t>
      </w:r>
      <w:r>
        <w:t xml:space="preserve">A move closes a loop if a chain of pairs already joins its two squares. Example: </w:t>
      </w:r>
      <w:r>
        <w:t>X</w:t>
      </w:r>
      <w:r>
        <w:rPr>
          <w:vertAlign w:val="subscript"/>
        </w:rPr>
        <w:t>1</w:t>
      </w:r>
      <w:r>
        <w:t xml:space="preserve"> is in squares 1 and 2. </w:t>
      </w:r>
      <w:r>
        <w:t>O</w:t>
      </w:r>
      <w:r>
        <w:rPr>
          <w:vertAlign w:val="subscript"/>
        </w:rPr>
        <w:t>2</w:t>
      </w:r>
      <w:r>
        <w:t xml:space="preserve"> is in 2 and 5. </w:t>
      </w:r>
      <w:r>
        <w:t>X</w:t>
      </w:r>
      <w:r>
        <w:rPr>
          <w:vertAlign w:val="subscript"/>
        </w:rPr>
        <w:t>3</w:t>
      </w:r>
      <w:r>
        <w:t xml:space="preserve"> in 1 and 5 closes a loop. Underline the linked marks.</w:t>
      </w:r>
    </w:p>
    <w:p>
      <w:pPr>
        <w:pStyle w:val="BodyText"/>
        <w:keepLines/>
        <w:spacing w:before="0" w:after="40" w:line="246" w:lineRule="exact"/>
        <w:ind w:left="274" w:hanging="274"/>
      </w:pPr>
      <w:r>
        <w:rPr>
          <w:b/>
        </w:rPr>
        <w:t xml:space="preserve">4. Collapse (measurement). </w:t>
      </w:r>
      <w:r>
        <w:t xml:space="preserve">The player who did NOT close the loop chooses which square the newest move keeps. No dice are used. In the example, O picks square 1 or square 5 for </w:t>
      </w:r>
      <w:r>
        <w:t>X</w:t>
      </w:r>
      <w:r>
        <w:rPr>
          <w:vertAlign w:val="subscript"/>
        </w:rPr>
        <w:t>3</w:t>
      </w:r>
      <w:r>
        <w:t>.</w:t>
      </w:r>
    </w:p>
    <w:p>
      <w:pPr>
        <w:pStyle w:val="BodyText"/>
        <w:keepLines/>
        <w:spacing w:before="0" w:after="40" w:line="246" w:lineRule="exact"/>
        <w:ind w:left="274" w:hanging="274"/>
      </w:pPr>
      <w:r>
        <w:rPr>
          <w:b/>
        </w:rPr>
        <w:t xml:space="preserve">5. Chain reaction. </w:t>
      </w:r>
      <w:r>
        <w:t xml:space="preserve">Write the chosen mark large. It is real now. Cross out its twin. Cross out other spooky marks in that square and make their twins real. Repeat for each new real mark. Pairs not linked to the loop stay spooky. If O picks square 1, </w:t>
      </w:r>
      <w:r>
        <w:t>X</w:t>
      </w:r>
      <w:r>
        <w:rPr>
          <w:vertAlign w:val="subscript"/>
        </w:rPr>
        <w:t>3</w:t>
      </w:r>
      <w:r>
        <w:t xml:space="preserve"> is real in 1, </w:t>
      </w:r>
      <w:r>
        <w:t>X</w:t>
      </w:r>
      <w:r>
        <w:rPr>
          <w:vertAlign w:val="subscript"/>
        </w:rPr>
        <w:t>1</w:t>
      </w:r>
      <w:r>
        <w:t xml:space="preserve"> in 2, and </w:t>
      </w:r>
      <w:r>
        <w:t>O</w:t>
      </w:r>
      <w:r>
        <w:rPr>
          <w:vertAlign w:val="subscript"/>
        </w:rPr>
        <w:t>2</w:t>
      </w:r>
      <w:r>
        <w:t xml:space="preserve"> in 5.</w:t>
      </w:r>
    </w:p>
    <w:p>
      <w:pPr>
        <w:pStyle w:val="BodyText"/>
        <w:keepLines/>
        <w:spacing w:before="0" w:after="40" w:line="246" w:lineRule="exact"/>
        <w:ind w:left="274" w:hanging="274"/>
      </w:pPr>
      <w:r>
        <w:rPr>
          <w:b/>
        </w:rPr>
        <w:t xml:space="preserve">6. Win or keep going. </w:t>
      </w:r>
      <w:r>
        <w:t>Three real marks in a row wins: across, down, or diagonal. Spooky marks do not count. Check for a win after each collapse. If no one has won, the chooser makes the next move.</w:t>
      </w:r>
    </w:p>
    <w:p>
      <w:pPr>
        <w:pStyle w:val="BodyText"/>
        <w:keepLines/>
        <w:spacing w:before="0" w:after="40" w:line="246" w:lineRule="exact"/>
        <w:ind w:left="274" w:hanging="274"/>
      </w:pPr>
      <w:r>
        <w:rPr>
          <w:b/>
        </w:rPr>
        <w:t xml:space="preserve">7. Several rows at once. </w:t>
      </w:r>
      <w:r>
        <w:t>Each row’s finish number is its largest move number. Rows with the lowest finish number score 1 point each. Later rows score ½ point each. The higher total wins.</w:t>
      </w:r>
    </w:p>
    <w:p>
      <w:pPr>
        <w:pStyle w:val="BodyText"/>
        <w:keepLines/>
        <w:spacing w:before="0" w:after="40" w:line="246" w:lineRule="exact"/>
        <w:ind w:left="274" w:hanging="274"/>
      </w:pPr>
      <w:r>
        <w:rPr>
          <w:b/>
        </w:rPr>
        <w:t xml:space="preserve">8. Game end. </w:t>
      </w:r>
      <w:r>
        <w:t>The game ends after move 9 and any collapse. With no real winning row, it is a tie. If only one square is open at move 9, X writes both marks there. They make one real X.</w:t>
      </w:r>
    </w:p>
    <w:p>
      <w:pPr>
        <w:spacing w:before="0" w:after="0" w:line="200" w:lineRule="exact"/>
      </w:pPr>
      <w:r>
        <w:rPr>
          <w:sz w:val="2"/>
        </w:rPr>
      </w:r>
    </w:p>
    <w:tbl>
      <w:tblPr>
        <w:tblW w:w="10800" w:type="dxa"/>
        <w:jc w:val="center"/>
        <w:tblBorders>
          <w:top w:val="single" w:sz="12" w:space="0" w:color="202020"/>
          <w:left w:val="single" w:sz="12" w:space="0" w:color="202020"/>
          <w:bottom w:val="single" w:sz="12" w:space="0" w:color="202020"/>
          <w:right w:val="single" w:sz="12" w:space="0" w:color="202020"/>
          <w:insideH w:val="double" w:sz="12" w:space="0" w:color="202020"/>
          <w:insideV w:val="double" w:sz="12" w:space="0" w:color="202020"/>
        </w:tblBorders>
        <w:tblLayout w:type="fixed"/>
        <w:tblCellMar>
          <w:top w:w="65" w:type="dxa"/>
          <w:left w:w="90" w:type="dxa"/>
          <w:bottom w:w="45" w:type="dxa"/>
          <w:right w:w="70" w:type="dxa"/>
        </w:tblCellMar>
        <w:tblLook w:val="0000" w:firstRow="0" w:lastRow="0" w:firstColumn="0" w:lastColumn="0" w:noHBand="1" w:noVBand="1"/>
      </w:tblPr>
      <w:tblGrid>
        <w:gridCol w:w="3600"/>
        <w:gridCol w:w="3600"/>
        <w:gridCol w:w="3600"/>
      </w:tblGrid>
      <w:tr>
        <w:trPr>
          <w:cantSplit/>
          <w:trHeight w:val="2290" w:hRule="exact"/>
        </w:trPr>
        <w:tc>
          <w:tcPr>
            <w:tcW w:type="dxa" w:w="3600"/>
            <w:vAlign w:val="top"/>
          </w:tcPr>
          <w:p>
            <w:pPr>
              <w:spacing w:before="0" w:after="0" w:line="240" w:lineRule="exact"/>
            </w:pPr>
            <w:r>
              <w:rPr>
                <w:color w:val="555555"/>
                <w:sz w:val="20"/>
              </w:rPr>
              <w:t>1</w:t>
            </w:r>
          </w:p>
        </w:tc>
        <w:tc>
          <w:tcPr>
            <w:tcW w:type="dxa" w:w="3600"/>
            <w:vAlign w:val="top"/>
          </w:tcPr>
          <w:p>
            <w:pPr>
              <w:spacing w:before="0" w:after="0" w:line="240" w:lineRule="exact"/>
            </w:pPr>
            <w:r>
              <w:rPr>
                <w:color w:val="555555"/>
                <w:sz w:val="20"/>
              </w:rPr>
              <w:t>2</w:t>
            </w:r>
          </w:p>
        </w:tc>
        <w:tc>
          <w:tcPr>
            <w:tcW w:type="dxa" w:w="3600"/>
            <w:vAlign w:val="top"/>
          </w:tcPr>
          <w:p>
            <w:pPr>
              <w:spacing w:before="0" w:after="0" w:line="240" w:lineRule="exact"/>
            </w:pPr>
            <w:r>
              <w:rPr>
                <w:color w:val="555555"/>
                <w:sz w:val="20"/>
              </w:rPr>
              <w:t>3</w:t>
            </w:r>
          </w:p>
        </w:tc>
      </w:tr>
      <w:tr>
        <w:trPr>
          <w:cantSplit/>
          <w:trHeight w:val="2290" w:hRule="exact"/>
        </w:trPr>
        <w:tc>
          <w:tcPr>
            <w:tcW w:type="dxa" w:w="3600"/>
            <w:vAlign w:val="top"/>
          </w:tcPr>
          <w:p>
            <w:pPr>
              <w:spacing w:before="0" w:after="0" w:line="240" w:lineRule="exact"/>
            </w:pPr>
            <w:r>
              <w:rPr>
                <w:color w:val="555555"/>
                <w:sz w:val="20"/>
              </w:rPr>
              <w:t>4</w:t>
            </w:r>
          </w:p>
        </w:tc>
        <w:tc>
          <w:tcPr>
            <w:tcW w:type="dxa" w:w="3600"/>
            <w:vAlign w:val="top"/>
          </w:tcPr>
          <w:p>
            <w:pPr>
              <w:spacing w:before="0" w:after="0" w:line="240" w:lineRule="exact"/>
            </w:pPr>
            <w:r>
              <w:rPr>
                <w:color w:val="555555"/>
                <w:sz w:val="20"/>
              </w:rPr>
              <w:t>5</w:t>
            </w:r>
          </w:p>
        </w:tc>
        <w:tc>
          <w:tcPr>
            <w:tcW w:type="dxa" w:w="3600"/>
            <w:vAlign w:val="top"/>
          </w:tcPr>
          <w:p>
            <w:pPr>
              <w:spacing w:before="0" w:after="0" w:line="240" w:lineRule="exact"/>
            </w:pPr>
            <w:r>
              <w:rPr>
                <w:color w:val="555555"/>
                <w:sz w:val="20"/>
              </w:rPr>
              <w:t>6</w:t>
            </w:r>
          </w:p>
        </w:tc>
      </w:tr>
      <w:tr>
        <w:trPr>
          <w:cantSplit/>
          <w:trHeight w:val="2290" w:hRule="exact"/>
        </w:trPr>
        <w:tc>
          <w:tcPr>
            <w:tcW w:type="dxa" w:w="3600"/>
            <w:vAlign w:val="top"/>
          </w:tcPr>
          <w:p>
            <w:pPr>
              <w:spacing w:before="0" w:after="0" w:line="240" w:lineRule="exact"/>
            </w:pPr>
            <w:r>
              <w:rPr>
                <w:color w:val="555555"/>
                <w:sz w:val="20"/>
              </w:rPr>
              <w:t>7</w:t>
            </w:r>
          </w:p>
        </w:tc>
        <w:tc>
          <w:tcPr>
            <w:tcW w:type="dxa" w:w="3600"/>
            <w:vAlign w:val="top"/>
          </w:tcPr>
          <w:p>
            <w:pPr>
              <w:spacing w:before="0" w:after="0" w:line="240" w:lineRule="exact"/>
            </w:pPr>
            <w:r>
              <w:rPr>
                <w:color w:val="555555"/>
                <w:sz w:val="20"/>
              </w:rPr>
              <w:t>8</w:t>
            </w:r>
          </w:p>
        </w:tc>
        <w:tc>
          <w:tcPr>
            <w:tcW w:type="dxa" w:w="3600"/>
            <w:vAlign w:val="top"/>
          </w:tcPr>
          <w:p>
            <w:pPr>
              <w:spacing w:before="0" w:after="0" w:line="240" w:lineRule="exact"/>
            </w:pPr>
            <w:r>
              <w:rPr>
                <w:color w:val="555555"/>
                <w:sz w:val="20"/>
              </w:rPr>
              <w:t>9</w:t>
            </w:r>
          </w:p>
        </w:tc>
      </w:tr>
    </w:tbl>
    <w:p>
      <w:pPr>
        <w:spacing w:before="0" w:after="0" w:line="20" w:lineRule="exact"/>
      </w:pPr>
      <w:r>
        <w:rPr>
          <w:sz w:val="2"/>
        </w:rPr>
      </w:r>
    </w:p>
    <w:sectPr w:rsidR="00FC693F" w:rsidRPr="0006063C" w:rsidSect="00034616">
      <w:footerReference w:type="default" r:id="rId10"/>
      <w:pgSz w:w="12240" w:h="15840"/>
      <w:pgMar w:top="576" w:right="720" w:bottom="576" w:left="720" w:header="216"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0" w:lineRule="exact"/>
      <w:jc w:val="center"/>
    </w:pPr>
    <w:r>
      <w:rPr>
        <w:color w:val="555555"/>
        <w:sz w:val="16"/>
      </w:rPr>
      <w:t>Rules: Allan Goff, American Journal of Physics 74 (2006), pp. 962–965. DOI: 10.1119/1.2213635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cstheme="minorBidi" w:ascii="Arial" w:hAnsi="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6"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before="0" w:line="246" w:lineRule="exact"/>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Tic-Tac-Toe: Superposition + Entanglement (Grade 6)</dc:title>
  <dc:subject>One-page handout for Allan Goff’s full 2006 game, with the Ghost Grid image</dc:subject>
  <dc:creator/>
  <cp:keywords>quantum tic-tac-toe, superposition, entanglement, grade 6, Ghost Grid</cp:keywords>
  <dc:description/>
  <cp:lastModifiedBy/>
  <cp:revision>1</cp:revision>
  <dcterms:created xsi:type="dcterms:W3CDTF">2026-09-12T23:58:27Z</dcterms:created>
  <dcterms:modified xsi:type="dcterms:W3CDTF">2026-09-12T23:58:27Z</dcterms:modified>
  <cp:category/>
</cp:coreProperties>
</file>