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AC5661">
            <w:pPr>
              <w:pStyle w:val="Heading6"/>
              <w:jc w:val="both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AC5661">
            <w:pPr>
              <w:bidi/>
              <w:jc w:val="both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AC5661">
            <w:pPr>
              <w:jc w:val="both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AC5661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AC5661">
            <w:pPr>
              <w:bidi/>
              <w:jc w:val="both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AC5661">
            <w:pPr>
              <w:bidi/>
              <w:jc w:val="both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AC5661">
            <w:pPr>
              <w:bidi/>
              <w:jc w:val="both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AC5661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AC5661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AC5661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AC5661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F0AF5" w:rsidRPr="00EC02AC" w:rsidRDefault="009B703C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به</w:t>
            </w:r>
            <w:r w:rsidR="00C639EA">
              <w:rPr>
                <w:rFonts w:hint="cs"/>
                <w:b/>
                <w:bCs/>
                <w:sz w:val="22"/>
                <w:szCs w:val="22"/>
                <w:rtl/>
              </w:rPr>
              <w:t xml:space="preserve"> پیوست آمده است.</w:t>
            </w: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اردیبهشت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AC5661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AC5661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AC5661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5C251B" w:rsidRDefault="005C251B" w:rsidP="00AC5661">
      <w:pPr>
        <w:bidi/>
        <w:jc w:val="both"/>
        <w:rPr>
          <w:rtl/>
        </w:rPr>
      </w:pPr>
    </w:p>
    <w:p w:rsidR="006E676E" w:rsidRDefault="006E676E" w:rsidP="00AC5661">
      <w:pPr>
        <w:bidi/>
        <w:jc w:val="both"/>
        <w:rPr>
          <w:rtl/>
        </w:rPr>
      </w:pPr>
    </w:p>
    <w:p w:rsidR="00C5314D" w:rsidRDefault="00C5314D" w:rsidP="00AC5661">
      <w:pPr>
        <w:bidi/>
        <w:jc w:val="both"/>
        <w:rPr>
          <w:rtl/>
        </w:rPr>
      </w:pPr>
    </w:p>
    <w:p w:rsidR="006E676E" w:rsidRDefault="006E676E" w:rsidP="00AC5661">
      <w:pPr>
        <w:bidi/>
        <w:jc w:val="both"/>
        <w:rPr>
          <w:rtl/>
        </w:rPr>
      </w:pPr>
    </w:p>
    <w:p w:rsidR="006E676E" w:rsidRPr="0069750F" w:rsidRDefault="003F62E2" w:rsidP="00AC5661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F11F39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3A4504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E642B4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AC5661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زمره مهمتر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دهنده‌ها‌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سطح حمل قرار دارند.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دهد،</w:t>
      </w:r>
      <w:r w:rsidRPr="00695FD8">
        <w:rPr>
          <w:rtl/>
        </w:rPr>
        <w:t xml:space="preserve">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E4C50">
        <w:rPr>
          <w:rStyle w:val="FootnoteReference"/>
          <w:rtl/>
        </w:rPr>
        <w:footnoteReference w:id="7"/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AC5661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AC5661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AC5661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AC5661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Pr="00695FD8">
        <w:t>multipoint to multipoint</w:t>
      </w:r>
      <w:r w:rsidRPr="00695FD8">
        <w:rPr>
          <w:rtl/>
        </w:rPr>
        <w:t xml:space="preserve"> 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AC5661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184F04" w:rsidP="00AC5661">
      <w:pPr>
        <w:bidi/>
        <w:jc w:val="both"/>
        <w:rPr>
          <w:rtl/>
          <w:lang w:bidi="fa-IR"/>
        </w:rPr>
      </w:pPr>
      <w:r>
        <w:t>P</w:t>
      </w:r>
      <w:r w:rsidR="00B21791">
        <w:t xml:space="preserve">rovider </w:t>
      </w:r>
      <w:r>
        <w:t>E</w:t>
      </w:r>
      <w:r w:rsidR="00B21791">
        <w:t>dge</w:t>
      </w:r>
      <w:r w:rsidR="003E59D3">
        <w:t xml:space="preserve"> (PE)</w:t>
      </w:r>
      <w:r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>
        <w:rPr>
          <w:rFonts w:hint="cs"/>
          <w:rtl/>
          <w:lang w:bidi="fa-IR"/>
        </w:rPr>
        <w:t xml:space="preserve"> سمت سرویس دهنده که ارتباط با مشتری را فراهم می‌آورد. </w:t>
      </w:r>
      <w:r w:rsidR="00034414">
        <w:rPr>
          <w:rFonts w:hint="cs"/>
          <w:rtl/>
          <w:lang w:bidi="fa-IR"/>
        </w:rPr>
        <w:t>در این گره</w:t>
      </w:r>
      <w:r w:rsidR="00853FB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عموما</w:t>
      </w:r>
      <w:r w:rsidR="00034414">
        <w:rPr>
          <w:rFonts w:hint="cs"/>
          <w:rtl/>
          <w:lang w:bidi="fa-IR"/>
        </w:rPr>
        <w:t xml:space="preserve"> از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LSR</w:t>
      </w:r>
      <w:r>
        <w:rPr>
          <w:rFonts w:hint="cs"/>
          <w:rtl/>
          <w:lang w:bidi="fa-IR"/>
        </w:rPr>
        <w:t xml:space="preserve"> </w:t>
      </w:r>
      <w:r w:rsidR="00CF6444">
        <w:rPr>
          <w:rFonts w:hint="cs"/>
          <w:rtl/>
          <w:lang w:bidi="fa-IR"/>
        </w:rPr>
        <w:t>استفاده می‌شود</w:t>
      </w:r>
      <w:r>
        <w:rPr>
          <w:rFonts w:hint="cs"/>
          <w:rtl/>
          <w:lang w:bidi="fa-IR"/>
        </w:rPr>
        <w:t>.</w:t>
      </w:r>
    </w:p>
    <w:p w:rsidR="00D1027C" w:rsidRDefault="00D1027C" w:rsidP="00AC5661">
      <w:pPr>
        <w:bidi/>
        <w:jc w:val="both"/>
        <w:rPr>
          <w:rtl/>
          <w:lang w:bidi="fa-IR"/>
        </w:rPr>
      </w:pPr>
      <w:r>
        <w:t>C</w:t>
      </w:r>
      <w:r w:rsidR="00B21791">
        <w:t xml:space="preserve">ustomer </w:t>
      </w:r>
      <w:r>
        <w:t>E</w:t>
      </w:r>
      <w:r w:rsidR="00B21791">
        <w:t>dge</w:t>
      </w:r>
      <w:r w:rsidR="003E59D3">
        <w:t xml:space="preserve"> (CE)</w:t>
      </w:r>
      <w:r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>
        <w:rPr>
          <w:rFonts w:hint="cs"/>
          <w:rtl/>
          <w:lang w:bidi="fa-IR"/>
        </w:rPr>
        <w:t xml:space="preserve"> سمت مشتری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F15C01">
        <w:rPr>
          <w:rFonts w:hint="cs"/>
          <w:rtl/>
          <w:lang w:bidi="fa-IR"/>
        </w:rPr>
        <w:t xml:space="preserve">در </w:t>
      </w:r>
      <w:r w:rsidR="00853FB0">
        <w:rPr>
          <w:rFonts w:hint="cs"/>
          <w:rtl/>
          <w:lang w:bidi="fa-IR"/>
        </w:rPr>
        <w:t xml:space="preserve">این </w:t>
      </w:r>
      <w:r w:rsidR="002F791F">
        <w:rPr>
          <w:rFonts w:hint="cs"/>
          <w:rtl/>
          <w:lang w:bidi="fa-IR"/>
        </w:rPr>
        <w:t>گره</w:t>
      </w:r>
      <w:r w:rsidR="00853FB0">
        <w:rPr>
          <w:rFonts w:hint="cs"/>
          <w:rtl/>
          <w:lang w:bidi="fa-IR"/>
        </w:rPr>
        <w:t xml:space="preserve"> عموما</w:t>
      </w:r>
      <w:r w:rsidR="002F791F">
        <w:rPr>
          <w:rFonts w:hint="cs"/>
          <w:rtl/>
          <w:lang w:bidi="fa-IR"/>
        </w:rPr>
        <w:t xml:space="preserve"> از</w:t>
      </w:r>
      <w:r w:rsidR="00853FB0">
        <w:rPr>
          <w:rFonts w:hint="cs"/>
          <w:rtl/>
          <w:lang w:bidi="fa-IR"/>
        </w:rPr>
        <w:t xml:space="preserve"> </w:t>
      </w:r>
      <w:r w:rsidR="00853FB0">
        <w:rPr>
          <w:lang w:bidi="fa-IR"/>
        </w:rPr>
        <w:t>Router</w:t>
      </w:r>
      <w:r w:rsidR="00853FB0">
        <w:rPr>
          <w:rFonts w:hint="cs"/>
          <w:rtl/>
          <w:lang w:bidi="fa-IR"/>
        </w:rPr>
        <w:t xml:space="preserve"> </w:t>
      </w:r>
      <w:r w:rsidR="00D4448A">
        <w:rPr>
          <w:rFonts w:hint="cs"/>
          <w:rtl/>
          <w:lang w:bidi="fa-IR"/>
        </w:rPr>
        <w:t>استفاده می‌شود</w:t>
      </w:r>
      <w:r w:rsidR="00853FB0">
        <w:rPr>
          <w:rFonts w:hint="cs"/>
          <w:rtl/>
          <w:lang w:bidi="fa-IR"/>
        </w:rPr>
        <w:t>.</w:t>
      </w:r>
    </w:p>
    <w:p w:rsidR="00695FD8" w:rsidRPr="00695FD8" w:rsidRDefault="00695FD8" w:rsidP="00732618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32618">
        <w:rPr>
          <w:rFonts w:hint="cs"/>
          <w:rtl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Pr="00695FD8">
        <w:t>E-BGP</w:t>
      </w:r>
      <w:r w:rsidRPr="00695FD8">
        <w:rPr>
          <w:rtl/>
        </w:rPr>
        <w:t xml:space="preserve"> 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پروتکل </w:t>
      </w:r>
      <w:r w:rsidRPr="00695FD8">
        <w:t>I-BGP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="00A25C6B">
        <w:rPr>
          <w:rFonts w:hint="cs"/>
          <w:rtl/>
        </w:rPr>
        <w:t>ای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بخواهد از</w:t>
      </w:r>
      <w:r w:rsidR="00165044">
        <w:rPr>
          <w:rFonts w:hint="cs"/>
          <w:rtl/>
        </w:rPr>
        <w:t xml:space="preserve"> 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8"/>
      </w:r>
      <w:r w:rsidRPr="00695FD8">
        <w:rPr>
          <w:rtl/>
        </w:rPr>
        <w:t xml:space="preserve"> استفاده کند م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امر توسط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به صورت دست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تنظ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م</w:t>
      </w:r>
      <w:r w:rsidRPr="00695FD8">
        <w:rPr>
          <w:rtl/>
        </w:rPr>
        <w:t xml:space="preserve"> گردد.</w:t>
      </w:r>
    </w:p>
    <w:p w:rsidR="00A013EE" w:rsidRDefault="00695FD8" w:rsidP="00AC5661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Pr="00695FD8">
        <w:t>MAC</w:t>
      </w:r>
      <w:r w:rsidRPr="00695FD8">
        <w:rPr>
          <w:rtl/>
        </w:rPr>
        <w:t xml:space="preserve">  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MAC</w:t>
      </w:r>
      <w:r w:rsidRPr="00695FD8">
        <w:rPr>
          <w:rtl/>
        </w:rPr>
        <w:t xml:space="preserve"> 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AD1DBE">
        <w:rPr>
          <w:rFonts w:hint="cs"/>
          <w:rtl/>
        </w:rPr>
        <w:t xml:space="preserve">، برای تحقق این امر یک 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 در ابتدا امر تشکیل می‌گردد.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Pr="00695FD8">
        <w:t>MAC</w:t>
      </w:r>
      <w:r w:rsidRPr="00695FD8">
        <w:rPr>
          <w:rtl/>
        </w:rPr>
        <w:t xml:space="preserve"> 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بازهم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E642B4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حل‌ فعلی و مشکلات آن‌ها:</w:t>
      </w:r>
    </w:p>
    <w:p w:rsidR="00E019B0" w:rsidRPr="00E019B0" w:rsidRDefault="00E019B0" w:rsidP="00AC5661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همان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>مشکل اصلی در این معماری‌ها این ا</w:t>
      </w:r>
      <w:r>
        <w:rPr>
          <w:rFonts w:hint="cs"/>
          <w:rtl/>
          <w:lang w:bidi="fa-IR"/>
        </w:rPr>
        <w:t xml:space="preserve">ست که مدیریت در این معماری بسیار پیچیده است و مدیر شبکه برای هر تغییری در تعداد سایت‌های </w:t>
      </w:r>
      <w:r w:rsidR="0086586F">
        <w:rPr>
          <w:rFonts w:hint="cs"/>
          <w:rtl/>
          <w:lang w:bidi="fa-IR"/>
        </w:rPr>
        <w:t>مشتریان</w:t>
      </w:r>
      <w:r w:rsidR="00A70541">
        <w:rPr>
          <w:rFonts w:hint="cs"/>
          <w:rtl/>
          <w:lang w:bidi="fa-IR"/>
        </w:rPr>
        <w:t xml:space="preserve"> باید به صورت دستی تنظیمات دستگاه‌ها را تغییر دهد که این امر مستلزم کار با روابط‌ کاربری مختلف آن‌هاست که هر کدام متعلق به یک سازنده خاص می‌باشد.</w:t>
      </w:r>
      <w:r w:rsidR="00662BDC">
        <w:rPr>
          <w:rFonts w:hint="cs"/>
          <w:rtl/>
          <w:lang w:bidi="fa-IR"/>
        </w:rPr>
        <w:t xml:space="preserve">  یکی دیگر از مشکلات معماری کنونی موضوع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662BDC">
        <w:rPr>
          <w:rFonts w:hint="cs"/>
          <w:rtl/>
          <w:lang w:bidi="fa-IR"/>
        </w:rPr>
        <w:t>خود می‌باشد، در این معماری مشتری برای اعمال یک سیاست روی ترافیک ارسالی خود باید به سرویس</w:t>
      </w:r>
      <w:r w:rsidR="00AD3890">
        <w:rPr>
          <w:rFonts w:hint="cs"/>
          <w:rtl/>
          <w:lang w:bidi="fa-IR"/>
        </w:rPr>
        <w:t xml:space="preserve"> دهنده</w:t>
      </w:r>
      <w:r w:rsidR="00662BDC">
        <w:rPr>
          <w:rFonts w:hint="cs"/>
          <w:rtl/>
          <w:lang w:bidi="fa-IR"/>
        </w:rPr>
        <w:t xml:space="preserve"> تقاضا دهد و نمیتواند سیاست‌های ترافیک ارسالی خود بین سایت‌هایش را مستقل از سرویس دهنده مدیریت کند.</w:t>
      </w:r>
    </w:p>
    <w:p w:rsidR="002F203C" w:rsidRDefault="002F203C" w:rsidP="00AC5661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AC5661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93095C" w:rsidRDefault="00A30CB0" w:rsidP="00CE3480">
      <w:pPr>
        <w:bidi/>
        <w:jc w:val="both"/>
        <w:rPr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 پروتکل مسیریابی </w:t>
      </w:r>
      <w:r w:rsidR="008D01CB">
        <w:rPr>
          <w:lang w:bidi="fa-IR"/>
        </w:rPr>
        <w:t>IGP</w:t>
      </w:r>
      <w:r w:rsidR="00281B8D">
        <w:rPr>
          <w:rFonts w:hint="cs"/>
          <w:rtl/>
          <w:lang w:bidi="fa-IR"/>
        </w:rPr>
        <w:t>ای</w:t>
      </w:r>
      <w:r w:rsidR="00270B46">
        <w:rPr>
          <w:rFonts w:hint="cs"/>
          <w:rtl/>
          <w:lang w:bidi="fa-IR"/>
        </w:rPr>
        <w:t xml:space="preserve"> </w:t>
      </w:r>
      <w:r w:rsidR="008D01CB">
        <w:rPr>
          <w:rFonts w:hint="cs"/>
          <w:rtl/>
          <w:lang w:bidi="fa-IR"/>
        </w:rPr>
        <w:t>ک</w:t>
      </w:r>
      <w:r w:rsidR="00147F54">
        <w:rPr>
          <w:rFonts w:hint="cs"/>
          <w:rtl/>
          <w:lang w:bidi="fa-IR"/>
        </w:rPr>
        <w:t>ه در هسته اجرا می</w:t>
      </w:r>
      <w:r w:rsidR="00270B46">
        <w:rPr>
          <w:rFonts w:hint="cs"/>
          <w:rtl/>
          <w:lang w:bidi="fa-IR"/>
        </w:rPr>
        <w:t>‌</w:t>
      </w:r>
      <w:r w:rsidR="00147F54">
        <w:rPr>
          <w:rFonts w:hint="cs"/>
          <w:rtl/>
          <w:lang w:bidi="fa-IR"/>
        </w:rPr>
        <w:t>شود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270B46">
        <w:rPr>
          <w:rFonts w:hint="cs"/>
          <w:rtl/>
          <w:lang w:bidi="fa-IR"/>
        </w:rPr>
        <w:t>کنیم.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هر بسته استفاده می‌کند،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شود.</w:t>
      </w:r>
    </w:p>
    <w:p w:rsidR="00122E6C" w:rsidRDefault="00122E6C" w:rsidP="00AC5661">
      <w:pPr>
        <w:bidi/>
        <w:jc w:val="both"/>
        <w:rPr>
          <w:rtl/>
          <w:lang w:bidi="fa-IR"/>
        </w:rPr>
      </w:pPr>
    </w:p>
    <w:p w:rsidR="00A30CB0" w:rsidRPr="00A30CB0" w:rsidRDefault="00D36C0C" w:rsidP="006D11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کاربران </w:t>
      </w:r>
      <w:r w:rsidR="00A30CB0" w:rsidRPr="00A30CB0">
        <w:rPr>
          <w:rFonts w:hint="eastAsia"/>
          <w:rtl/>
          <w:lang w:bidi="fa-IR"/>
        </w:rPr>
        <w:t>،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AC5661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Pr="00A30CB0">
        <w:rPr>
          <w:rtl/>
          <w:lang w:bidi="fa-IR"/>
        </w:rPr>
        <w:t xml:space="preserve"> که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را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دا</w:t>
      </w:r>
      <w:r w:rsidRPr="00A30CB0">
        <w:rPr>
          <w:rtl/>
          <w:lang w:bidi="fa-IR"/>
        </w:rPr>
        <w:t xml:space="preserve"> م</w:t>
      </w:r>
      <w:r w:rsidRPr="00A30CB0">
        <w:rPr>
          <w:rFonts w:hint="cs"/>
          <w:rtl/>
          <w:lang w:bidi="fa-IR"/>
        </w:rPr>
        <w:t>ی‌</w:t>
      </w:r>
      <w:r w:rsidRPr="00A30CB0">
        <w:rPr>
          <w:rFonts w:hint="eastAsia"/>
          <w:rtl/>
          <w:lang w:bidi="fa-IR"/>
        </w:rPr>
        <w:t>کند</w:t>
      </w:r>
      <w:r w:rsidRPr="00A30CB0">
        <w:rPr>
          <w:rtl/>
          <w:lang w:bidi="fa-IR"/>
        </w:rPr>
        <w:t xml:space="preserve"> که 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 تراف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خود را مد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کند.</w:t>
      </w:r>
    </w:p>
    <w:p w:rsidR="006D13D6" w:rsidRDefault="006D13D6" w:rsidP="00AC5661">
      <w:pPr>
        <w:bidi/>
        <w:jc w:val="both"/>
        <w:rPr>
          <w:rtl/>
          <w:lang w:bidi="fa-IR"/>
        </w:rPr>
      </w:pPr>
    </w:p>
    <w:p w:rsidR="006D13D6" w:rsidRPr="0036240A" w:rsidRDefault="006D13D6" w:rsidP="00AC5661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  <w:bookmarkStart w:id="0" w:name="_GoBack"/>
      <w:bookmarkEnd w:id="0"/>
    </w:p>
    <w:p w:rsidR="00A32F8F" w:rsidRPr="00A32F8F" w:rsidRDefault="00A32F8F" w:rsidP="00AC5661">
      <w:pPr>
        <w:bidi/>
        <w:jc w:val="both"/>
        <w:rPr>
          <w:lang w:bidi="fa-IR"/>
        </w:rPr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9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0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A32F8F" w:rsidRPr="0036240A" w:rsidRDefault="00A32F8F" w:rsidP="00AC5661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AC5661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AC566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AC5661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71A3A">
        <w:t>MAC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t>mac</w:t>
      </w:r>
      <w:r>
        <w:rPr>
          <w:rtl/>
          <w:lang w:bidi="fa-IR"/>
        </w:rPr>
        <w:t xml:space="preserve"> و درگاه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متناظر آنها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 هستند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. </w:t>
      </w:r>
    </w:p>
    <w:p w:rsidR="0084067E" w:rsidRDefault="0084067E" w:rsidP="00AC5661">
      <w:pPr>
        <w:bidi/>
        <w:jc w:val="both"/>
      </w:pPr>
      <w:r>
        <w:rPr>
          <w:rtl/>
          <w:lang w:bidi="fa-IR"/>
        </w:rPr>
        <w:t>۲)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مجاز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:rsidR="0084067E" w:rsidRDefault="0084067E" w:rsidP="00AC5661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مشابه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درگاه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متصل به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درگاه ها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شد.</w:t>
      </w:r>
    </w:p>
    <w:p w:rsidR="0084067E" w:rsidRDefault="0084067E" w:rsidP="00AC5661">
      <w:pPr>
        <w:bidi/>
        <w:jc w:val="both"/>
      </w:pPr>
      <w:r>
        <w:rPr>
          <w:rtl/>
          <w:lang w:bidi="fa-IR"/>
        </w:rPr>
        <w:t>۳)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:</w:t>
      </w:r>
    </w:p>
    <w:p w:rsidR="00393530" w:rsidRDefault="0084067E" w:rsidP="00AC5661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لزوم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893054" w:rsidRDefault="00893054" w:rsidP="00AC566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</w:p>
    <w:p w:rsidR="00893054" w:rsidRPr="00893054" w:rsidRDefault="00C34036" w:rsidP="00AC5661">
      <w:pPr>
        <w:bidi/>
        <w:jc w:val="both"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054" w:rsidRPr="00893054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19" w:rsidRDefault="005F5D19" w:rsidP="00F446BB">
      <w:r>
        <w:separator/>
      </w:r>
    </w:p>
  </w:endnote>
  <w:endnote w:type="continuationSeparator" w:id="0">
    <w:p w:rsidR="005F5D19" w:rsidRDefault="005F5D19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837B2C">
      <w:rPr>
        <w:b/>
        <w:bCs/>
        <w:noProof/>
        <w:rtl/>
      </w:rPr>
      <w:t>3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837B2C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19" w:rsidRDefault="005F5D19" w:rsidP="00F446BB">
      <w:r>
        <w:separator/>
      </w:r>
    </w:p>
  </w:footnote>
  <w:footnote w:type="continuationSeparator" w:id="0">
    <w:p w:rsidR="005F5D19" w:rsidRDefault="005F5D19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8">
    <w:p w:rsidR="0090761D" w:rsidRDefault="0090761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9">
    <w:p w:rsidR="00AB3C44" w:rsidRDefault="00AB3C4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  <w:p w:rsidR="00AB3C44" w:rsidRDefault="00AB3C44">
      <w:pPr>
        <w:pStyle w:val="FootnoteText"/>
        <w:rPr>
          <w:lang w:bidi="fa-IR"/>
        </w:rPr>
      </w:pPr>
    </w:p>
  </w:footnote>
  <w:footnote w:id="10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406AF"/>
    <w:rsid w:val="00041E0C"/>
    <w:rsid w:val="00042561"/>
    <w:rsid w:val="00044AD2"/>
    <w:rsid w:val="000455C4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58D"/>
    <w:rsid w:val="001107DA"/>
    <w:rsid w:val="0011356C"/>
    <w:rsid w:val="00113785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524C"/>
    <w:rsid w:val="00466873"/>
    <w:rsid w:val="00471A3A"/>
    <w:rsid w:val="00473D7E"/>
    <w:rsid w:val="00474103"/>
    <w:rsid w:val="0047532E"/>
    <w:rsid w:val="0047613F"/>
    <w:rsid w:val="00476297"/>
    <w:rsid w:val="00477824"/>
    <w:rsid w:val="0047784C"/>
    <w:rsid w:val="0048509A"/>
    <w:rsid w:val="00487881"/>
    <w:rsid w:val="00491C76"/>
    <w:rsid w:val="0049322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F1ACC"/>
    <w:rsid w:val="004F2C25"/>
    <w:rsid w:val="004F3B42"/>
    <w:rsid w:val="004F40FB"/>
    <w:rsid w:val="004F7203"/>
    <w:rsid w:val="0050209E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7857"/>
    <w:rsid w:val="006E13BD"/>
    <w:rsid w:val="006E2582"/>
    <w:rsid w:val="006E3660"/>
    <w:rsid w:val="006E4A3E"/>
    <w:rsid w:val="006E5EFC"/>
    <w:rsid w:val="006E676E"/>
    <w:rsid w:val="006E69EF"/>
    <w:rsid w:val="006E71FD"/>
    <w:rsid w:val="006F1EC3"/>
    <w:rsid w:val="006F3B2E"/>
    <w:rsid w:val="006F40EA"/>
    <w:rsid w:val="006F4A27"/>
    <w:rsid w:val="006F616E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763"/>
    <w:rsid w:val="007B46A0"/>
    <w:rsid w:val="007B6D89"/>
    <w:rsid w:val="007C099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FE"/>
    <w:rsid w:val="00BC5E8A"/>
    <w:rsid w:val="00BC637B"/>
    <w:rsid w:val="00BC77A9"/>
    <w:rsid w:val="00BD1235"/>
    <w:rsid w:val="00BD12D4"/>
    <w:rsid w:val="00BD3554"/>
    <w:rsid w:val="00BD4A38"/>
    <w:rsid w:val="00BD7C3A"/>
    <w:rsid w:val="00BE2EC7"/>
    <w:rsid w:val="00BE5F91"/>
    <w:rsid w:val="00BE5FBC"/>
    <w:rsid w:val="00BE614B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6C82"/>
    <w:rsid w:val="00EA7468"/>
    <w:rsid w:val="00EB15AF"/>
    <w:rsid w:val="00EB6173"/>
    <w:rsid w:val="00EC02AC"/>
    <w:rsid w:val="00EC2945"/>
    <w:rsid w:val="00EC6CE8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F02BDC"/>
    <w:rsid w:val="00F02C1B"/>
    <w:rsid w:val="00F044AE"/>
    <w:rsid w:val="00F04B62"/>
    <w:rsid w:val="00F063C7"/>
    <w:rsid w:val="00F10529"/>
    <w:rsid w:val="00F10A39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1EFA"/>
    <w:rsid w:val="00F631B5"/>
    <w:rsid w:val="00F65315"/>
    <w:rsid w:val="00F71E42"/>
    <w:rsid w:val="00F73646"/>
    <w:rsid w:val="00F7408F"/>
    <w:rsid w:val="00F75150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17318A-89F7-47EF-BA13-0D89E000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7239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Elahe Jalalpour</cp:lastModifiedBy>
  <cp:revision>27</cp:revision>
  <cp:lastPrinted>2015-11-10T20:39:00Z</cp:lastPrinted>
  <dcterms:created xsi:type="dcterms:W3CDTF">2015-11-10T20:32:00Z</dcterms:created>
  <dcterms:modified xsi:type="dcterms:W3CDTF">2015-11-11T12:02:00Z</dcterms:modified>
</cp:coreProperties>
</file>