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EF81" w14:textId="77777777" w:rsidR="001133CE" w:rsidRPr="001133CE" w:rsidRDefault="001133CE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133CE">
        <w:rPr>
          <w:rFonts w:ascii="Times New Roman" w:hAnsi="Times New Roman" w:cs="Times New Roman"/>
          <w:b/>
          <w:bCs/>
          <w:kern w:val="0"/>
          <w:sz w:val="34"/>
          <w:szCs w:val="34"/>
        </w:rPr>
        <w:t>C</w:t>
      </w:r>
      <w:r w:rsidRPr="001133CE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LOUD </w:t>
      </w:r>
      <w:r w:rsidRPr="001133CE">
        <w:rPr>
          <w:rFonts w:ascii="Times New Roman" w:hAnsi="Times New Roman" w:cs="Times New Roman"/>
          <w:b/>
          <w:bCs/>
          <w:kern w:val="0"/>
          <w:sz w:val="34"/>
          <w:szCs w:val="34"/>
        </w:rPr>
        <w:t>D</w:t>
      </w:r>
      <w:r w:rsidRPr="001133CE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ATA </w:t>
      </w:r>
      <w:r w:rsidRPr="001133CE">
        <w:rPr>
          <w:rFonts w:ascii="Times New Roman" w:hAnsi="Times New Roman" w:cs="Times New Roman"/>
          <w:b/>
          <w:bCs/>
          <w:kern w:val="0"/>
          <w:sz w:val="34"/>
          <w:szCs w:val="34"/>
        </w:rPr>
        <w:t>B</w:t>
      </w:r>
      <w:r w:rsidRPr="001133CE">
        <w:rPr>
          <w:rFonts w:ascii="Times New Roman" w:hAnsi="Times New Roman" w:cs="Times New Roman"/>
          <w:b/>
          <w:bCs/>
          <w:kern w:val="0"/>
          <w:sz w:val="28"/>
          <w:szCs w:val="28"/>
        </w:rPr>
        <w:t>ASES</w:t>
      </w:r>
    </w:p>
    <w:p w14:paraId="6ADD1209" w14:textId="77777777" w:rsidR="001133CE" w:rsidRPr="001133CE" w:rsidRDefault="001133CE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4"/>
          <w:szCs w:val="34"/>
        </w:rPr>
      </w:pPr>
      <w:r w:rsidRPr="001133CE">
        <w:rPr>
          <w:rFonts w:ascii="Times New Roman" w:hAnsi="Times New Roman" w:cs="Times New Roman"/>
          <w:b/>
          <w:bCs/>
          <w:kern w:val="0"/>
          <w:sz w:val="34"/>
          <w:szCs w:val="34"/>
        </w:rPr>
        <w:t>M</w:t>
      </w:r>
      <w:r w:rsidRPr="001133CE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ILESTONE </w:t>
      </w:r>
      <w:r w:rsidRPr="001133CE">
        <w:rPr>
          <w:rFonts w:ascii="Times New Roman" w:hAnsi="Times New Roman" w:cs="Times New Roman"/>
          <w:b/>
          <w:bCs/>
          <w:kern w:val="0"/>
          <w:sz w:val="34"/>
          <w:szCs w:val="34"/>
        </w:rPr>
        <w:t>3</w:t>
      </w:r>
    </w:p>
    <w:p w14:paraId="3E09CBDF" w14:textId="7A4E6169" w:rsidR="001133CE" w:rsidRDefault="001133CE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kern w:val="0"/>
          <w:sz w:val="34"/>
          <w:szCs w:val="34"/>
        </w:rPr>
      </w:pPr>
      <w:r w:rsidRPr="001133CE">
        <w:rPr>
          <w:rFonts w:ascii="Times New Roman" w:hAnsi="Times New Roman" w:cs="Times New Roman"/>
          <w:i/>
          <w:iCs/>
          <w:kern w:val="0"/>
          <w:sz w:val="34"/>
          <w:szCs w:val="34"/>
        </w:rPr>
        <w:t>Report</w:t>
      </w:r>
    </w:p>
    <w:p w14:paraId="2BFBF84D" w14:textId="7C715EE3" w:rsidR="001133CE" w:rsidRDefault="001133CE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kern w:val="0"/>
          <w:sz w:val="34"/>
          <w:szCs w:val="34"/>
        </w:rPr>
      </w:pPr>
    </w:p>
    <w:p w14:paraId="24521E28" w14:textId="7D5BA963" w:rsidR="001133CE" w:rsidRDefault="001133CE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kern w:val="0"/>
          <w:sz w:val="34"/>
          <w:szCs w:val="34"/>
        </w:rPr>
      </w:pPr>
    </w:p>
    <w:p w14:paraId="407E3865" w14:textId="4546573A" w:rsidR="001133CE" w:rsidRDefault="001133CE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kern w:val="0"/>
          <w:sz w:val="34"/>
          <w:szCs w:val="34"/>
        </w:rPr>
      </w:pPr>
    </w:p>
    <w:p w14:paraId="368D326C" w14:textId="61D437B8" w:rsidR="001133CE" w:rsidRDefault="001133CE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kern w:val="0"/>
          <w:sz w:val="34"/>
          <w:szCs w:val="34"/>
        </w:rPr>
      </w:pPr>
    </w:p>
    <w:p w14:paraId="256A698F" w14:textId="7E605302" w:rsidR="001133CE" w:rsidRDefault="001133CE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kern w:val="0"/>
          <w:sz w:val="34"/>
          <w:szCs w:val="34"/>
        </w:rPr>
      </w:pPr>
    </w:p>
    <w:p w14:paraId="505D7F8B" w14:textId="77777777" w:rsidR="001133CE" w:rsidRDefault="001133CE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i/>
          <w:iCs/>
          <w:kern w:val="0"/>
          <w:sz w:val="34"/>
          <w:szCs w:val="34"/>
        </w:rPr>
      </w:pPr>
    </w:p>
    <w:p w14:paraId="4EFA147F" w14:textId="079EB0CE" w:rsidR="001133CE" w:rsidRDefault="001133CE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kern w:val="0"/>
          <w:sz w:val="34"/>
          <w:szCs w:val="34"/>
        </w:rPr>
      </w:pPr>
      <w:r w:rsidRPr="001133CE">
        <w:rPr>
          <w:rFonts w:ascii="Times New Roman" w:hAnsi="Times New Roman" w:cs="Times New Roman"/>
          <w:i/>
          <w:iCs/>
          <w:kern w:val="0"/>
          <w:sz w:val="34"/>
          <w:szCs w:val="34"/>
        </w:rPr>
        <w:drawing>
          <wp:inline distT="0" distB="0" distL="0" distR="0" wp14:anchorId="6DF17712" wp14:editId="19840F5F">
            <wp:extent cx="2382715" cy="1240985"/>
            <wp:effectExtent l="0" t="0" r="5080" b="3810"/>
            <wp:docPr id="1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684" cy="126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668E" w14:textId="2DF2CF3D" w:rsidR="001133CE" w:rsidRDefault="001133CE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kern w:val="0"/>
          <w:sz w:val="34"/>
          <w:szCs w:val="34"/>
        </w:rPr>
      </w:pPr>
    </w:p>
    <w:p w14:paraId="57052589" w14:textId="7B7DD275" w:rsidR="001133CE" w:rsidRDefault="001133CE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kern w:val="0"/>
          <w:sz w:val="34"/>
          <w:szCs w:val="34"/>
        </w:rPr>
      </w:pPr>
    </w:p>
    <w:p w14:paraId="24FFBC9B" w14:textId="01F34195" w:rsidR="001133CE" w:rsidRDefault="001133CE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kern w:val="0"/>
          <w:sz w:val="34"/>
          <w:szCs w:val="34"/>
        </w:rPr>
      </w:pPr>
    </w:p>
    <w:p w14:paraId="6C27983D" w14:textId="46085552" w:rsidR="001133CE" w:rsidRDefault="001133CE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kern w:val="0"/>
          <w:sz w:val="34"/>
          <w:szCs w:val="34"/>
        </w:rPr>
      </w:pPr>
    </w:p>
    <w:p w14:paraId="41923ACA" w14:textId="77777777" w:rsidR="001133CE" w:rsidRPr="001133CE" w:rsidRDefault="001133CE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i/>
          <w:iCs/>
          <w:kern w:val="0"/>
          <w:sz w:val="34"/>
          <w:szCs w:val="34"/>
        </w:rPr>
      </w:pPr>
    </w:p>
    <w:p w14:paraId="18DEF35F" w14:textId="560CF45C" w:rsidR="001133CE" w:rsidRPr="0024321B" w:rsidRDefault="0024321B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4321B">
        <w:rPr>
          <w:rFonts w:ascii="Times New Roman" w:hAnsi="Times New Roman" w:cs="Times New Roman"/>
          <w:kern w:val="0"/>
          <w:sz w:val="28"/>
          <w:szCs w:val="28"/>
        </w:rPr>
        <w:t xml:space="preserve">Group 18: </w:t>
      </w:r>
      <w:r w:rsidR="001133CE" w:rsidRPr="0024321B">
        <w:rPr>
          <w:rFonts w:ascii="Times New Roman" w:hAnsi="Times New Roman" w:cs="Times New Roman"/>
          <w:kern w:val="0"/>
          <w:sz w:val="28"/>
          <w:szCs w:val="28"/>
        </w:rPr>
        <w:t xml:space="preserve">Weijian </w:t>
      </w:r>
      <w:r w:rsidR="001133CE" w:rsidRPr="0024321B">
        <w:rPr>
          <w:rFonts w:ascii="Times New Roman" w:hAnsi="Times New Roman" w:cs="Times New Roman"/>
          <w:b/>
          <w:bCs/>
          <w:kern w:val="0"/>
          <w:sz w:val="28"/>
          <w:szCs w:val="28"/>
        </w:rPr>
        <w:t>Feng</w:t>
      </w:r>
      <w:r w:rsidR="001133CE" w:rsidRPr="0024321B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="001133CE" w:rsidRPr="0024321B">
        <w:rPr>
          <w:rFonts w:ascii="Times New Roman" w:hAnsi="Times New Roman" w:cs="Times New Roman"/>
          <w:kern w:val="0"/>
          <w:sz w:val="28"/>
          <w:szCs w:val="28"/>
        </w:rPr>
        <w:t>Jingyi</w:t>
      </w:r>
      <w:proofErr w:type="spellEnd"/>
      <w:r w:rsidR="001133CE" w:rsidRPr="0024321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1133CE" w:rsidRPr="0024321B">
        <w:rPr>
          <w:rFonts w:ascii="Times New Roman" w:hAnsi="Times New Roman" w:cs="Times New Roman"/>
          <w:b/>
          <w:bCs/>
          <w:kern w:val="0"/>
          <w:sz w:val="28"/>
          <w:szCs w:val="28"/>
        </w:rPr>
        <w:t>Jia</w:t>
      </w:r>
      <w:r w:rsidR="001133CE" w:rsidRPr="0024321B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="001133CE" w:rsidRPr="0024321B">
        <w:rPr>
          <w:rFonts w:ascii="Times New Roman" w:hAnsi="Times New Roman" w:cs="Times New Roman"/>
          <w:kern w:val="0"/>
          <w:sz w:val="28"/>
          <w:szCs w:val="28"/>
        </w:rPr>
        <w:t>Mingrun</w:t>
      </w:r>
      <w:proofErr w:type="spellEnd"/>
      <w:r w:rsidR="001133CE" w:rsidRPr="0024321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1133CE" w:rsidRPr="0024321B">
        <w:rPr>
          <w:rFonts w:ascii="Times New Roman" w:hAnsi="Times New Roman" w:cs="Times New Roman"/>
          <w:b/>
          <w:bCs/>
          <w:kern w:val="0"/>
          <w:sz w:val="28"/>
          <w:szCs w:val="28"/>
        </w:rPr>
        <w:t>Ma</w:t>
      </w:r>
      <w:r w:rsidRPr="0024321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Pr="0024321B">
        <w:rPr>
          <w:rFonts w:ascii="Times New Roman" w:hAnsi="Times New Roman" w:cs="Times New Roman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kern w:val="0"/>
          <w:sz w:val="28"/>
          <w:szCs w:val="28"/>
        </w:rPr>
        <w:t>a</w:t>
      </w:r>
      <w:r w:rsidRPr="0024321B">
        <w:rPr>
          <w:rFonts w:ascii="Times New Roman" w:hAnsi="Times New Roman" w:cs="Times New Roman"/>
          <w:kern w:val="0"/>
          <w:sz w:val="28"/>
          <w:szCs w:val="28"/>
        </w:rPr>
        <w:t>lphabet order)</w:t>
      </w:r>
    </w:p>
    <w:p w14:paraId="3C2B3052" w14:textId="77777777" w:rsidR="001133CE" w:rsidRDefault="001133CE" w:rsidP="001133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TECHNICAL UNIVERSITY OF MUNICH</w:t>
      </w:r>
    </w:p>
    <w:p w14:paraId="5DD373CD" w14:textId="79FA3261" w:rsidR="002C0497" w:rsidRDefault="008A464C" w:rsidP="001133CE">
      <w:pPr>
        <w:jc w:val="center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June</w:t>
      </w:r>
      <w:r w:rsidR="001133CE">
        <w:rPr>
          <w:rFonts w:ascii="Times New Roman" w:hAnsi="Times New Roman" w:cs="Times New Roman"/>
          <w:kern w:val="0"/>
          <w:sz w:val="24"/>
        </w:rPr>
        <w:t xml:space="preserve"> 20</w:t>
      </w:r>
      <w:r>
        <w:rPr>
          <w:rFonts w:ascii="Times New Roman" w:hAnsi="Times New Roman" w:cs="Times New Roman"/>
          <w:kern w:val="0"/>
          <w:sz w:val="24"/>
        </w:rPr>
        <w:t>23</w:t>
      </w:r>
    </w:p>
    <w:p w14:paraId="0E6BAC8D" w14:textId="53C753B2" w:rsidR="008A464C" w:rsidRDefault="008A464C" w:rsidP="001133CE">
      <w:pPr>
        <w:jc w:val="center"/>
        <w:rPr>
          <w:rFonts w:ascii="Times New Roman" w:hAnsi="Times New Roman" w:cs="Times New Roman"/>
          <w:kern w:val="0"/>
          <w:sz w:val="24"/>
        </w:rPr>
      </w:pPr>
    </w:p>
    <w:p w14:paraId="20E2AF87" w14:textId="33749C0B" w:rsidR="008A464C" w:rsidRDefault="008A464C" w:rsidP="001133CE">
      <w:pPr>
        <w:jc w:val="center"/>
        <w:rPr>
          <w:rFonts w:ascii="Times New Roman" w:hAnsi="Times New Roman" w:cs="Times New Roman"/>
          <w:kern w:val="0"/>
          <w:sz w:val="24"/>
        </w:rPr>
      </w:pPr>
    </w:p>
    <w:p w14:paraId="1B932F36" w14:textId="7886DC97" w:rsidR="008A464C" w:rsidRDefault="008A464C" w:rsidP="001133CE">
      <w:pPr>
        <w:jc w:val="center"/>
        <w:rPr>
          <w:rFonts w:ascii="Times New Roman" w:hAnsi="Times New Roman" w:cs="Times New Roman"/>
          <w:kern w:val="0"/>
          <w:sz w:val="24"/>
        </w:rPr>
      </w:pPr>
    </w:p>
    <w:p w14:paraId="68C992FA" w14:textId="1818600F" w:rsidR="008A464C" w:rsidRDefault="008A464C" w:rsidP="001133CE">
      <w:pPr>
        <w:jc w:val="center"/>
        <w:rPr>
          <w:rFonts w:ascii="Times New Roman" w:hAnsi="Times New Roman" w:cs="Times New Roman"/>
          <w:kern w:val="0"/>
          <w:sz w:val="24"/>
        </w:rPr>
      </w:pPr>
    </w:p>
    <w:p w14:paraId="7A29CDC0" w14:textId="30C748B2" w:rsidR="008A464C" w:rsidRDefault="008A464C" w:rsidP="001133CE">
      <w:pPr>
        <w:jc w:val="center"/>
        <w:rPr>
          <w:rFonts w:ascii="Times New Roman" w:hAnsi="Times New Roman" w:cs="Times New Roman"/>
          <w:kern w:val="0"/>
          <w:sz w:val="24"/>
        </w:rPr>
      </w:pPr>
    </w:p>
    <w:p w14:paraId="61633A9D" w14:textId="4D1C4DD0" w:rsidR="008A464C" w:rsidRDefault="008A464C" w:rsidP="008A464C">
      <w:pPr>
        <w:jc w:val="left"/>
        <w:rPr>
          <w:rFonts w:ascii="Times New Roman" w:hAnsi="Times New Roman" w:cs="Times New Roman"/>
          <w:kern w:val="0"/>
          <w:sz w:val="59"/>
          <w:szCs w:val="59"/>
        </w:rPr>
      </w:pPr>
      <w:r>
        <w:rPr>
          <w:rFonts w:ascii="Times New Roman" w:hAnsi="Times New Roman" w:cs="Times New Roman"/>
          <w:kern w:val="0"/>
          <w:sz w:val="59"/>
          <w:szCs w:val="59"/>
        </w:rPr>
        <w:lastRenderedPageBreak/>
        <w:t>Report</w:t>
      </w:r>
    </w:p>
    <w:p w14:paraId="010C83C9" w14:textId="65CFA840" w:rsidR="008A464C" w:rsidRPr="008A464C" w:rsidRDefault="008A464C" w:rsidP="008A46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8A464C">
        <w:rPr>
          <w:rFonts w:ascii="Times New Roman" w:hAnsi="Times New Roman" w:cs="Times New Roman"/>
          <w:kern w:val="0"/>
          <w:sz w:val="24"/>
        </w:rPr>
        <w:t>This report concerns itself and evaluates the performance of the implementation of the third milestone</w:t>
      </w:r>
      <w:r>
        <w:rPr>
          <w:rFonts w:ascii="Times New Roman" w:hAnsi="Times New Roman" w:cs="Times New Roman"/>
          <w:kern w:val="0"/>
          <w:sz w:val="24"/>
        </w:rPr>
        <w:t xml:space="preserve"> 3 </w:t>
      </w:r>
      <w:r w:rsidRPr="008A464C">
        <w:rPr>
          <w:rFonts w:ascii="Times New Roman" w:hAnsi="Times New Roman" w:cs="Times New Roman"/>
          <w:kern w:val="0"/>
          <w:sz w:val="24"/>
        </w:rPr>
        <w:t xml:space="preserve">from the </w:t>
      </w:r>
      <w:r>
        <w:rPr>
          <w:rFonts w:ascii="Times New Roman" w:hAnsi="Times New Roman" w:cs="Times New Roman"/>
          <w:kern w:val="0"/>
          <w:sz w:val="24"/>
        </w:rPr>
        <w:t xml:space="preserve">advanced </w:t>
      </w:r>
      <w:r w:rsidRPr="008A464C">
        <w:rPr>
          <w:rFonts w:ascii="Times New Roman" w:hAnsi="Times New Roman" w:cs="Times New Roman"/>
          <w:kern w:val="0"/>
          <w:sz w:val="24"/>
        </w:rPr>
        <w:t>practical course “Cloud Data</w:t>
      </w:r>
      <w:r>
        <w:rPr>
          <w:rFonts w:ascii="Times New Roman" w:hAnsi="Times New Roman" w:cs="Times New Roman"/>
          <w:kern w:val="0"/>
          <w:sz w:val="24"/>
        </w:rPr>
        <w:t>b</w:t>
      </w:r>
      <w:r w:rsidRPr="008A464C">
        <w:rPr>
          <w:rFonts w:ascii="Times New Roman" w:hAnsi="Times New Roman" w:cs="Times New Roman"/>
          <w:kern w:val="0"/>
          <w:sz w:val="24"/>
        </w:rPr>
        <w:t>ases” at the Technical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 w:rsidRPr="008A464C">
        <w:rPr>
          <w:rFonts w:ascii="Times New Roman" w:hAnsi="Times New Roman" w:cs="Times New Roman"/>
          <w:kern w:val="0"/>
          <w:sz w:val="24"/>
        </w:rPr>
        <w:t xml:space="preserve">University </w:t>
      </w:r>
      <w:proofErr w:type="gramStart"/>
      <w:r w:rsidRPr="008A464C">
        <w:rPr>
          <w:rFonts w:ascii="Times New Roman" w:hAnsi="Times New Roman" w:cs="Times New Roman"/>
          <w:kern w:val="0"/>
          <w:sz w:val="24"/>
        </w:rPr>
        <w:t>Of</w:t>
      </w:r>
      <w:proofErr w:type="gramEnd"/>
      <w:r w:rsidRPr="008A464C">
        <w:rPr>
          <w:rFonts w:ascii="Times New Roman" w:hAnsi="Times New Roman" w:cs="Times New Roman"/>
          <w:kern w:val="0"/>
          <w:sz w:val="24"/>
        </w:rPr>
        <w:t xml:space="preserve"> Munich</w:t>
      </w:r>
      <w:r>
        <w:rPr>
          <w:rFonts w:ascii="Times New Roman" w:hAnsi="Times New Roman" w:cs="Times New Roman"/>
          <w:kern w:val="0"/>
          <w:sz w:val="24"/>
        </w:rPr>
        <w:t>.</w:t>
      </w:r>
    </w:p>
    <w:p w14:paraId="53E8DF77" w14:textId="77777777" w:rsidR="008A464C" w:rsidRDefault="008A464C" w:rsidP="008A464C">
      <w:pPr>
        <w:jc w:val="left"/>
        <w:rPr>
          <w:rFonts w:ascii="Times New Roman" w:hAnsi="Times New Roman" w:cs="Times New Roman"/>
          <w:kern w:val="0"/>
          <w:sz w:val="40"/>
          <w:szCs w:val="40"/>
        </w:rPr>
      </w:pPr>
    </w:p>
    <w:p w14:paraId="22A5F054" w14:textId="638DD9C9" w:rsidR="008A464C" w:rsidRDefault="008A464C" w:rsidP="008A464C">
      <w:pPr>
        <w:jc w:val="left"/>
        <w:rPr>
          <w:rFonts w:ascii="Times New Roman" w:hAnsi="Times New Roman" w:cs="Times New Roman"/>
          <w:kern w:val="0"/>
          <w:sz w:val="40"/>
          <w:szCs w:val="40"/>
        </w:rPr>
      </w:pPr>
      <w:r w:rsidRPr="008A464C">
        <w:rPr>
          <w:rFonts w:ascii="Times New Roman" w:hAnsi="Times New Roman" w:cs="Times New Roman"/>
          <w:kern w:val="0"/>
          <w:sz w:val="40"/>
          <w:szCs w:val="40"/>
        </w:rPr>
        <w:t>Overview of the task</w:t>
      </w:r>
    </w:p>
    <w:p w14:paraId="3560CEEA" w14:textId="3EACF1EB" w:rsidR="008A464C" w:rsidRDefault="00C02C8F" w:rsidP="008A464C">
      <w:pPr>
        <w:jc w:val="left"/>
        <w:rPr>
          <w:rFonts w:ascii="Times New Roman" w:hAnsi="Times New Roman" w:cs="Times New Roman"/>
          <w:kern w:val="0"/>
          <w:sz w:val="24"/>
        </w:rPr>
      </w:pPr>
      <w:r w:rsidRPr="00C02C8F">
        <w:rPr>
          <w:rFonts w:ascii="Times New Roman" w:hAnsi="Times New Roman" w:cs="Times New Roman"/>
          <w:kern w:val="0"/>
          <w:sz w:val="24"/>
        </w:rPr>
        <w:t xml:space="preserve">The primary objective of the third milestone was to implement the external configuration service (ECS). This service plays a vital role in overseeing the </w:t>
      </w:r>
      <w:proofErr w:type="spellStart"/>
      <w:r w:rsidRPr="00C02C8F">
        <w:rPr>
          <w:rFonts w:ascii="Times New Roman" w:hAnsi="Times New Roman" w:cs="Times New Roman"/>
          <w:kern w:val="0"/>
          <w:sz w:val="24"/>
        </w:rPr>
        <w:t>KVStores</w:t>
      </w:r>
      <w:proofErr w:type="spellEnd"/>
      <w:r w:rsidRPr="00C02C8F">
        <w:rPr>
          <w:rFonts w:ascii="Times New Roman" w:hAnsi="Times New Roman" w:cs="Times New Roman"/>
          <w:kern w:val="0"/>
          <w:sz w:val="24"/>
        </w:rPr>
        <w:t>, facilitating rebalancing of the hash ring, and initiating the transfer of key ranges between servers in response to node additions or departures within the scalable storage service.</w:t>
      </w:r>
    </w:p>
    <w:p w14:paraId="0BC99021" w14:textId="77777777" w:rsidR="00C02C8F" w:rsidRPr="00C02C8F" w:rsidRDefault="00C02C8F" w:rsidP="008A464C">
      <w:pPr>
        <w:jc w:val="left"/>
        <w:rPr>
          <w:rFonts w:ascii="Times New Roman" w:hAnsi="Times New Roman" w:cs="Times New Roman"/>
          <w:kern w:val="0"/>
          <w:sz w:val="24"/>
        </w:rPr>
      </w:pPr>
    </w:p>
    <w:p w14:paraId="2F3D40B3" w14:textId="27D1C434" w:rsidR="008A464C" w:rsidRDefault="008A464C" w:rsidP="008A464C">
      <w:pPr>
        <w:jc w:val="left"/>
        <w:rPr>
          <w:rFonts w:ascii="Times New Roman" w:hAnsi="Times New Roman" w:cs="Times New Roman"/>
          <w:kern w:val="0"/>
          <w:sz w:val="40"/>
          <w:szCs w:val="40"/>
        </w:rPr>
      </w:pPr>
      <w:r>
        <w:rPr>
          <w:rFonts w:ascii="Times New Roman" w:hAnsi="Times New Roman" w:cs="Times New Roman" w:hint="eastAsia"/>
          <w:kern w:val="0"/>
          <w:sz w:val="40"/>
          <w:szCs w:val="40"/>
        </w:rPr>
        <w:t>D</w:t>
      </w:r>
      <w:r>
        <w:rPr>
          <w:rFonts w:ascii="Times New Roman" w:hAnsi="Times New Roman" w:cs="Times New Roman"/>
          <w:kern w:val="0"/>
          <w:sz w:val="40"/>
          <w:szCs w:val="40"/>
        </w:rPr>
        <w:t>ata analysis</w:t>
      </w:r>
    </w:p>
    <w:p w14:paraId="2B5D9706" w14:textId="6704D0FC" w:rsidR="008A464C" w:rsidRDefault="002E7237" w:rsidP="008A464C">
      <w:pPr>
        <w:jc w:val="left"/>
        <w:rPr>
          <w:rFonts w:ascii="Times New Roman" w:hAnsi="Times New Roman" w:cs="Times New Roman"/>
          <w:kern w:val="0"/>
          <w:sz w:val="24"/>
        </w:rPr>
      </w:pPr>
      <w:r w:rsidRPr="002E7237">
        <w:rPr>
          <w:rFonts w:ascii="Times New Roman" w:hAnsi="Times New Roman" w:cs="Times New Roman"/>
          <w:kern w:val="0"/>
          <w:sz w:val="24"/>
        </w:rPr>
        <w:t>To evaluate the efficiency of the scalable storage service, we utilized the Enron Email dataset to populate the storage. Specifically, we focused on the "</w:t>
      </w:r>
      <w:proofErr w:type="spellStart"/>
      <w:r w:rsidRPr="001B0A1B">
        <w:rPr>
          <w:rFonts w:ascii="Times New Roman" w:hAnsi="Times New Roman" w:cs="Times New Roman"/>
          <w:i/>
          <w:iCs/>
          <w:kern w:val="0"/>
          <w:sz w:val="24"/>
        </w:rPr>
        <w:t>alldocuments</w:t>
      </w:r>
      <w:proofErr w:type="spellEnd"/>
      <w:r w:rsidRPr="002E7237">
        <w:rPr>
          <w:rFonts w:ascii="Times New Roman" w:hAnsi="Times New Roman" w:cs="Times New Roman"/>
          <w:kern w:val="0"/>
          <w:sz w:val="24"/>
        </w:rPr>
        <w:t>" folders within all sub-directories of the dataset. By inserting 128,103 key-value pairs into the storage service, we observed how the completion time varied by altering the number of clients and servers.</w:t>
      </w:r>
    </w:p>
    <w:p w14:paraId="3ED22E96" w14:textId="77777777" w:rsidR="002E7237" w:rsidRPr="002E7237" w:rsidRDefault="002E7237" w:rsidP="008A464C">
      <w:pPr>
        <w:jc w:val="left"/>
        <w:rPr>
          <w:rFonts w:ascii="Times New Roman" w:hAnsi="Times New Roman" w:cs="Times New Roman"/>
          <w:kern w:val="0"/>
          <w:sz w:val="24"/>
        </w:rPr>
      </w:pPr>
    </w:p>
    <w:p w14:paraId="74A07BD8" w14:textId="5DEEC08C" w:rsidR="008A464C" w:rsidRDefault="008A464C" w:rsidP="008A464C">
      <w:pPr>
        <w:jc w:val="left"/>
        <w:rPr>
          <w:rFonts w:ascii="Times New Roman" w:hAnsi="Times New Roman" w:cs="Times New Roman"/>
          <w:kern w:val="0"/>
          <w:sz w:val="40"/>
          <w:szCs w:val="40"/>
        </w:rPr>
      </w:pPr>
      <w:r>
        <w:rPr>
          <w:rFonts w:ascii="Times New Roman" w:hAnsi="Times New Roman" w:cs="Times New Roman"/>
          <w:kern w:val="0"/>
          <w:sz w:val="40"/>
          <w:szCs w:val="40"/>
        </w:rPr>
        <w:t xml:space="preserve">1 Server and </w:t>
      </w:r>
      <w:r>
        <w:rPr>
          <w:rFonts w:ascii="Times New Roman" w:hAnsi="Times New Roman" w:cs="Times New Roman" w:hint="eastAsia"/>
          <w:kern w:val="0"/>
          <w:sz w:val="40"/>
          <w:szCs w:val="40"/>
        </w:rPr>
        <w:t>M</w:t>
      </w:r>
      <w:r>
        <w:rPr>
          <w:rFonts w:ascii="Times New Roman" w:hAnsi="Times New Roman" w:cs="Times New Roman"/>
          <w:kern w:val="0"/>
          <w:sz w:val="40"/>
          <w:szCs w:val="40"/>
        </w:rPr>
        <w:t>ultiple Clients</w:t>
      </w:r>
    </w:p>
    <w:p w14:paraId="442A4707" w14:textId="7A146DCC" w:rsidR="008A464C" w:rsidRDefault="001B0A1B" w:rsidP="001B0A1B">
      <w:pPr>
        <w:jc w:val="center"/>
        <w:rPr>
          <w:rFonts w:ascii="Times New Roman" w:hAnsi="Times New Roman" w:cs="Times New Roman"/>
          <w:kern w:val="0"/>
          <w:sz w:val="40"/>
          <w:szCs w:val="40"/>
        </w:rPr>
      </w:pPr>
      <w:r>
        <w:rPr>
          <w:rFonts w:ascii="Times New Roman" w:hAnsi="Times New Roman" w:cs="Times New Roman"/>
          <w:noProof/>
          <w:kern w:val="0"/>
          <w:sz w:val="40"/>
          <w:szCs w:val="40"/>
        </w:rPr>
        <w:drawing>
          <wp:inline distT="0" distB="0" distL="0" distR="0" wp14:anchorId="6BEF0D9F" wp14:editId="5DFE2669">
            <wp:extent cx="3514643" cy="2697018"/>
            <wp:effectExtent l="0" t="0" r="381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" t="5059" r="7833" b="2034"/>
                    <a:stretch/>
                  </pic:blipFill>
                  <pic:spPr bwMode="auto">
                    <a:xfrm>
                      <a:off x="0" y="0"/>
                      <a:ext cx="3547362" cy="2722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51B46" w14:textId="3F9314B5" w:rsidR="001B0A1B" w:rsidRDefault="001B0A1B" w:rsidP="001B0A1B">
      <w:pPr>
        <w:jc w:val="left"/>
        <w:rPr>
          <w:rFonts w:ascii="Times New Roman" w:hAnsi="Times New Roman" w:cs="Times New Roman"/>
          <w:kern w:val="0"/>
          <w:sz w:val="24"/>
        </w:rPr>
      </w:pPr>
      <w:r w:rsidRPr="001B0A1B">
        <w:rPr>
          <w:rFonts w:ascii="Times New Roman" w:hAnsi="Times New Roman" w:cs="Times New Roman"/>
          <w:kern w:val="0"/>
          <w:sz w:val="24"/>
        </w:rPr>
        <w:t>For the second test, we repeat the process of inserting the same dataset into the scalable storage service. However, the key difference lies in the utilization of a variable number of servers, ranging up to 1</w:t>
      </w:r>
      <w:r>
        <w:rPr>
          <w:rFonts w:ascii="Times New Roman" w:hAnsi="Times New Roman" w:cs="Times New Roman"/>
          <w:kern w:val="0"/>
          <w:sz w:val="24"/>
        </w:rPr>
        <w:t>0</w:t>
      </w:r>
      <w:r w:rsidRPr="001B0A1B">
        <w:rPr>
          <w:rFonts w:ascii="Times New Roman" w:hAnsi="Times New Roman" w:cs="Times New Roman"/>
          <w:kern w:val="0"/>
          <w:sz w:val="24"/>
        </w:rPr>
        <w:t xml:space="preserve">. This test yields completely distinct results compared to the first test. Interestingly, as the number of servers increases, the </w:t>
      </w:r>
      <w:r w:rsidRPr="001B0A1B">
        <w:rPr>
          <w:rFonts w:ascii="Times New Roman" w:hAnsi="Times New Roman" w:cs="Times New Roman"/>
          <w:kern w:val="0"/>
          <w:sz w:val="24"/>
        </w:rPr>
        <w:lastRenderedPageBreak/>
        <w:t>dataset insertion time also prolongs. This phenomenon is likely due to the communication overhead that occurs when a client interacts with a server that is not responsible for the specific key it intends to insert into the database. Each server is assigned a specific portion of the hash ring's responsibility. If a server is not accountable for a given key-value pair, it must redirect the request to the responsible server, resulting in additional processing time, especially when there is a significant queue of requests and multiple servers involved.</w:t>
      </w:r>
    </w:p>
    <w:p w14:paraId="25BD0C4F" w14:textId="77777777" w:rsidR="001B0A1B" w:rsidRPr="001B0A1B" w:rsidRDefault="001B0A1B" w:rsidP="001B0A1B">
      <w:pPr>
        <w:jc w:val="left"/>
        <w:rPr>
          <w:rFonts w:ascii="Times New Roman" w:hAnsi="Times New Roman" w:cs="Times New Roman" w:hint="eastAsia"/>
          <w:kern w:val="0"/>
          <w:sz w:val="24"/>
        </w:rPr>
      </w:pPr>
    </w:p>
    <w:p w14:paraId="1C2C830D" w14:textId="407784B1" w:rsidR="008A464C" w:rsidRDefault="008A464C" w:rsidP="008A464C">
      <w:pPr>
        <w:jc w:val="left"/>
        <w:rPr>
          <w:rFonts w:ascii="Times New Roman" w:hAnsi="Times New Roman" w:cs="Times New Roman"/>
          <w:kern w:val="0"/>
          <w:sz w:val="40"/>
          <w:szCs w:val="40"/>
        </w:rPr>
      </w:pPr>
      <w:r>
        <w:rPr>
          <w:rFonts w:ascii="Times New Roman" w:hAnsi="Times New Roman" w:cs="Times New Roman"/>
          <w:kern w:val="0"/>
          <w:sz w:val="40"/>
          <w:szCs w:val="40"/>
        </w:rPr>
        <w:t>1 Client and Multiple Servers</w:t>
      </w:r>
    </w:p>
    <w:p w14:paraId="33E8CE46" w14:textId="77777777" w:rsidR="008A464C" w:rsidRDefault="008A464C" w:rsidP="008A464C">
      <w:pPr>
        <w:jc w:val="left"/>
        <w:rPr>
          <w:rFonts w:ascii="Times New Roman" w:hAnsi="Times New Roman" w:cs="Times New Roman"/>
          <w:kern w:val="0"/>
          <w:sz w:val="40"/>
          <w:szCs w:val="40"/>
        </w:rPr>
      </w:pPr>
    </w:p>
    <w:p w14:paraId="17D38E28" w14:textId="053E2CD3" w:rsidR="008A464C" w:rsidRDefault="008A464C" w:rsidP="008A464C">
      <w:pPr>
        <w:jc w:val="left"/>
        <w:rPr>
          <w:rFonts w:ascii="Times New Roman" w:hAnsi="Times New Roman" w:cs="Times New Roman"/>
          <w:kern w:val="0"/>
          <w:sz w:val="40"/>
          <w:szCs w:val="40"/>
        </w:rPr>
      </w:pPr>
      <w:r>
        <w:rPr>
          <w:rFonts w:ascii="Times New Roman" w:hAnsi="Times New Roman" w:cs="Times New Roman" w:hint="eastAsia"/>
          <w:kern w:val="0"/>
          <w:sz w:val="40"/>
          <w:szCs w:val="40"/>
        </w:rPr>
        <w:t>C</w:t>
      </w:r>
      <w:r>
        <w:rPr>
          <w:rFonts w:ascii="Times New Roman" w:hAnsi="Times New Roman" w:cs="Times New Roman"/>
          <w:kern w:val="0"/>
          <w:sz w:val="40"/>
          <w:szCs w:val="40"/>
        </w:rPr>
        <w:t>onclusion</w:t>
      </w:r>
    </w:p>
    <w:p w14:paraId="3D4A4284" w14:textId="5176F5F6" w:rsidR="008A464C" w:rsidRPr="008A464C" w:rsidRDefault="00B15EE0" w:rsidP="008A464C">
      <w:pPr>
        <w:jc w:val="left"/>
        <w:rPr>
          <w:rFonts w:hint="eastAsia"/>
          <w:sz w:val="40"/>
          <w:szCs w:val="40"/>
        </w:rPr>
      </w:pPr>
      <w:r w:rsidRPr="00B15EE0">
        <w:rPr>
          <w:rFonts w:ascii="Times New Roman" w:hAnsi="Times New Roman" w:cs="Times New Roman"/>
          <w:kern w:val="0"/>
          <w:sz w:val="24"/>
        </w:rPr>
        <w:t xml:space="preserve">We conducted our experimentation on a </w:t>
      </w:r>
      <w:r>
        <w:rPr>
          <w:rFonts w:ascii="Times New Roman" w:hAnsi="Times New Roman" w:cs="Times New Roman"/>
          <w:kern w:val="0"/>
          <w:sz w:val="24"/>
        </w:rPr>
        <w:t>Mac Pro laptop</w:t>
      </w:r>
      <w:r w:rsidRPr="00B15EE0">
        <w:rPr>
          <w:rFonts w:ascii="Times New Roman" w:hAnsi="Times New Roman" w:cs="Times New Roman"/>
          <w:kern w:val="0"/>
          <w:sz w:val="24"/>
        </w:rPr>
        <w:t xml:space="preserve"> equipped with</w:t>
      </w:r>
      <w:r>
        <w:rPr>
          <w:rFonts w:ascii="Times New Roman" w:hAnsi="Times New Roman" w:cs="Times New Roman"/>
          <w:kern w:val="0"/>
          <w:sz w:val="24"/>
        </w:rPr>
        <w:t xml:space="preserve"> 8 </w:t>
      </w:r>
      <w:r w:rsidRPr="00B15EE0">
        <w:rPr>
          <w:rFonts w:ascii="Times New Roman" w:hAnsi="Times New Roman" w:cs="Times New Roman"/>
          <w:kern w:val="0"/>
          <w:sz w:val="24"/>
        </w:rPr>
        <w:t>Intel i5-8257U. To obtain a more accurate assessment of performance, it would be beneficial to evaluate the database on a machine with a higher core count or within a distributed environment. For instance, deploying the ECS on one machine and each server on separate machines would enable us to account for the communication overhead arising from network speed.</w:t>
      </w:r>
    </w:p>
    <w:sectPr w:rsidR="008A464C" w:rsidRPr="008A4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CE"/>
    <w:rsid w:val="000F2AD9"/>
    <w:rsid w:val="001133CE"/>
    <w:rsid w:val="001341AC"/>
    <w:rsid w:val="00171470"/>
    <w:rsid w:val="001B0A1B"/>
    <w:rsid w:val="0024321B"/>
    <w:rsid w:val="002C0497"/>
    <w:rsid w:val="002E7237"/>
    <w:rsid w:val="002F3162"/>
    <w:rsid w:val="003D6681"/>
    <w:rsid w:val="00615D6E"/>
    <w:rsid w:val="00877F78"/>
    <w:rsid w:val="008A464C"/>
    <w:rsid w:val="008D48BB"/>
    <w:rsid w:val="00A92C41"/>
    <w:rsid w:val="00A96C97"/>
    <w:rsid w:val="00B15EE0"/>
    <w:rsid w:val="00C02C8F"/>
    <w:rsid w:val="00CF1B49"/>
    <w:rsid w:val="00ED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F214"/>
  <w15:chartTrackingRefBased/>
  <w15:docId w15:val="{55EF35A2-A165-3142-A0A7-0095BE8E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A464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A4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3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0613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034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377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53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48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9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4122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2042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9537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5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908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A2AC4D-EF6E-904E-BC1B-C251418D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Weijian</dc:creator>
  <cp:keywords/>
  <dc:description/>
  <cp:lastModifiedBy>Feng, Weijian</cp:lastModifiedBy>
  <cp:revision>3</cp:revision>
  <dcterms:created xsi:type="dcterms:W3CDTF">2023-06-16T12:38:00Z</dcterms:created>
  <dcterms:modified xsi:type="dcterms:W3CDTF">2023-06-16T12:42:00Z</dcterms:modified>
</cp:coreProperties>
</file>