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8BA" w:rsidRPr="003738BA" w:rsidRDefault="00A354FB" w:rsidP="003738BA">
      <w:pPr>
        <w:jc w:val="right"/>
      </w:pPr>
      <w:r>
        <w:t>11</w:t>
      </w:r>
      <w:bookmarkStart w:id="0" w:name="_GoBack"/>
      <w:bookmarkEnd w:id="0"/>
      <w:r w:rsidR="003738BA">
        <w:t xml:space="preserve"> April, 2016</w:t>
      </w:r>
    </w:p>
    <w:p w:rsidR="003738BA" w:rsidRDefault="003738BA" w:rsidP="00A53333">
      <w:pPr>
        <w:rPr>
          <w:b/>
          <w:u w:val="single"/>
        </w:rPr>
      </w:pPr>
    </w:p>
    <w:p w:rsidR="000D13EC" w:rsidRPr="000D13EC" w:rsidRDefault="000D13EC" w:rsidP="00A53333">
      <w:pPr>
        <w:rPr>
          <w:b/>
        </w:rPr>
      </w:pPr>
      <w:r w:rsidRPr="000D13EC">
        <w:rPr>
          <w:b/>
        </w:rPr>
        <w:t>Documentation for</w:t>
      </w:r>
    </w:p>
    <w:p w:rsidR="00220942" w:rsidRPr="003738BA" w:rsidRDefault="00220942" w:rsidP="00A53333">
      <w:pPr>
        <w:rPr>
          <w:b/>
          <w:sz w:val="40"/>
          <w:szCs w:val="40"/>
          <w:u w:val="single"/>
        </w:rPr>
      </w:pPr>
      <w:r w:rsidRPr="003738BA">
        <w:rPr>
          <w:b/>
          <w:sz w:val="40"/>
          <w:szCs w:val="40"/>
          <w:u w:val="single"/>
        </w:rPr>
        <w:t>Best Cities Series, Graduation Edition</w:t>
      </w:r>
    </w:p>
    <w:p w:rsidR="00220942" w:rsidRDefault="00220942" w:rsidP="00A53333"/>
    <w:p w:rsidR="005A56EF" w:rsidRDefault="005A56EF" w:rsidP="00A53333">
      <w:pPr>
        <w:rPr>
          <w:b/>
        </w:rPr>
      </w:pPr>
    </w:p>
    <w:p w:rsidR="005A56EF" w:rsidRPr="005A56EF" w:rsidRDefault="00BC5DD9" w:rsidP="00A53333">
      <w:pPr>
        <w:rPr>
          <w:b/>
        </w:rPr>
      </w:pPr>
      <w:r>
        <w:rPr>
          <w:b/>
        </w:rPr>
        <w:t>T</w:t>
      </w:r>
      <w:r w:rsidR="005A56EF" w:rsidRPr="005A56EF">
        <w:rPr>
          <w:b/>
        </w:rPr>
        <w:t>he Top 25 List</w:t>
      </w:r>
    </w:p>
    <w:p w:rsidR="0095005A" w:rsidRDefault="0095005A" w:rsidP="00A53333"/>
    <w:p w:rsidR="0095005A" w:rsidRDefault="005A56EF" w:rsidP="0095005A">
      <w:r>
        <w:t>Cities</w:t>
      </w:r>
      <w:r w:rsidR="00A53333">
        <w:t xml:space="preserve"> </w:t>
      </w:r>
      <w:r>
        <w:t>are selected based on a hierarchy of</w:t>
      </w:r>
      <w:r w:rsidR="00F11193">
        <w:t xml:space="preserve"> per capita r</w:t>
      </w:r>
      <w:r w:rsidR="00A53333">
        <w:t>eal GDP, housing affordability, low unemployment among those who hold a degree, and a young median age.</w:t>
      </w:r>
      <w:r w:rsidR="0095005A">
        <w:t xml:space="preserve"> This is a selection of cities based entirely on demographic and economic factors, which address the most basic economic and social</w:t>
      </w:r>
      <w:r w:rsidR="00F11193">
        <w:t xml:space="preserve"> needs of a recent graduate. T</w:t>
      </w:r>
      <w:r w:rsidR="0095005A">
        <w:t xml:space="preserve">here is a lot of room to interpret </w:t>
      </w:r>
      <w:r w:rsidR="00F11193">
        <w:t>and explain the results</w:t>
      </w:r>
      <w:r w:rsidR="0095005A">
        <w:t>.</w:t>
      </w:r>
    </w:p>
    <w:p w:rsidR="00A53333" w:rsidRDefault="00A53333" w:rsidP="00A53333"/>
    <w:p w:rsidR="00A53333" w:rsidRDefault="00A53333" w:rsidP="00A53333">
      <w:pPr>
        <w:pStyle w:val="ListParagraph"/>
        <w:numPr>
          <w:ilvl w:val="0"/>
          <w:numId w:val="1"/>
        </w:numPr>
      </w:pPr>
      <w:r>
        <w:t>San Jose, CA</w:t>
      </w:r>
    </w:p>
    <w:p w:rsidR="00A53333" w:rsidRDefault="00A53333" w:rsidP="00A53333">
      <w:pPr>
        <w:pStyle w:val="ListParagraph"/>
        <w:numPr>
          <w:ilvl w:val="0"/>
          <w:numId w:val="1"/>
        </w:numPr>
      </w:pPr>
      <w:r>
        <w:t>San Francisco, CA</w:t>
      </w:r>
    </w:p>
    <w:p w:rsidR="00A53333" w:rsidRDefault="00A53333" w:rsidP="00A53333">
      <w:pPr>
        <w:pStyle w:val="ListParagraph"/>
        <w:numPr>
          <w:ilvl w:val="0"/>
          <w:numId w:val="1"/>
        </w:numPr>
      </w:pPr>
      <w:r>
        <w:t>Seattle, WA</w:t>
      </w:r>
    </w:p>
    <w:p w:rsidR="00A53333" w:rsidRDefault="00A53333" w:rsidP="00A53333">
      <w:pPr>
        <w:pStyle w:val="ListParagraph"/>
        <w:numPr>
          <w:ilvl w:val="0"/>
          <w:numId w:val="1"/>
        </w:numPr>
      </w:pPr>
      <w:r>
        <w:t>Boston, MA</w:t>
      </w:r>
    </w:p>
    <w:p w:rsidR="00A53333" w:rsidRDefault="00A53333" w:rsidP="00A53333">
      <w:pPr>
        <w:pStyle w:val="ListParagraph"/>
        <w:numPr>
          <w:ilvl w:val="0"/>
          <w:numId w:val="1"/>
        </w:numPr>
      </w:pPr>
      <w:r>
        <w:t>Durham-Chapel Hill area, NC</w:t>
      </w:r>
    </w:p>
    <w:p w:rsidR="00A53333" w:rsidRDefault="00A53333" w:rsidP="00A53333">
      <w:pPr>
        <w:pStyle w:val="ListParagraph"/>
        <w:numPr>
          <w:ilvl w:val="0"/>
          <w:numId w:val="1"/>
        </w:numPr>
      </w:pPr>
      <w:r>
        <w:t>Washington DC, Arlington, and Alexandria area, DC-VA-MD-WV</w:t>
      </w:r>
    </w:p>
    <w:p w:rsidR="00A53333" w:rsidRDefault="00A53333" w:rsidP="00A53333">
      <w:pPr>
        <w:pStyle w:val="ListParagraph"/>
        <w:numPr>
          <w:ilvl w:val="0"/>
          <w:numId w:val="1"/>
        </w:numPr>
      </w:pPr>
      <w:r>
        <w:t>New York area, NY-NJ-PA</w:t>
      </w:r>
    </w:p>
    <w:p w:rsidR="00A53333" w:rsidRDefault="00A53333" w:rsidP="00A53333">
      <w:pPr>
        <w:pStyle w:val="ListParagraph"/>
        <w:numPr>
          <w:ilvl w:val="0"/>
          <w:numId w:val="1"/>
        </w:numPr>
      </w:pPr>
      <w:r>
        <w:t>Houston, TX</w:t>
      </w:r>
    </w:p>
    <w:p w:rsidR="00A53333" w:rsidRDefault="00A53333" w:rsidP="00A53333">
      <w:pPr>
        <w:pStyle w:val="ListParagraph"/>
        <w:numPr>
          <w:ilvl w:val="0"/>
          <w:numId w:val="1"/>
        </w:numPr>
      </w:pPr>
      <w:r>
        <w:t>Boulder, CO</w:t>
      </w:r>
    </w:p>
    <w:p w:rsidR="00A53333" w:rsidRDefault="00A53333" w:rsidP="00A53333">
      <w:pPr>
        <w:pStyle w:val="ListParagraph"/>
        <w:numPr>
          <w:ilvl w:val="0"/>
          <w:numId w:val="1"/>
        </w:numPr>
      </w:pPr>
      <w:r>
        <w:t>Dallas-Fort Worth area, TX</w:t>
      </w:r>
    </w:p>
    <w:p w:rsidR="00A53333" w:rsidRDefault="00A53333" w:rsidP="00A53333">
      <w:pPr>
        <w:pStyle w:val="ListParagraph"/>
        <w:numPr>
          <w:ilvl w:val="0"/>
          <w:numId w:val="1"/>
        </w:numPr>
      </w:pPr>
      <w:r>
        <w:t>Anchorage, AK</w:t>
      </w:r>
    </w:p>
    <w:p w:rsidR="00A53333" w:rsidRDefault="00A53333" w:rsidP="00A53333">
      <w:pPr>
        <w:pStyle w:val="ListParagraph"/>
        <w:numPr>
          <w:ilvl w:val="0"/>
          <w:numId w:val="1"/>
        </w:numPr>
      </w:pPr>
      <w:r>
        <w:t>Portland, OR</w:t>
      </w:r>
    </w:p>
    <w:p w:rsidR="00A53333" w:rsidRDefault="00A53333" w:rsidP="00A53333">
      <w:pPr>
        <w:pStyle w:val="ListParagraph"/>
        <w:numPr>
          <w:ilvl w:val="0"/>
          <w:numId w:val="1"/>
        </w:numPr>
      </w:pPr>
      <w:r>
        <w:t>Hartford, CT</w:t>
      </w:r>
    </w:p>
    <w:p w:rsidR="00A53333" w:rsidRDefault="00A53333" w:rsidP="00A53333">
      <w:pPr>
        <w:pStyle w:val="ListParagraph"/>
        <w:numPr>
          <w:ilvl w:val="0"/>
          <w:numId w:val="1"/>
        </w:numPr>
      </w:pPr>
      <w:r>
        <w:t>Madison, WI</w:t>
      </w:r>
    </w:p>
    <w:p w:rsidR="00A53333" w:rsidRDefault="00A53333" w:rsidP="00A53333">
      <w:pPr>
        <w:pStyle w:val="ListParagraph"/>
        <w:numPr>
          <w:ilvl w:val="0"/>
          <w:numId w:val="1"/>
        </w:numPr>
      </w:pPr>
      <w:r>
        <w:t>Cedar Rapids, IA</w:t>
      </w:r>
    </w:p>
    <w:p w:rsidR="00A53333" w:rsidRDefault="00A53333" w:rsidP="00A53333">
      <w:pPr>
        <w:pStyle w:val="ListParagraph"/>
        <w:numPr>
          <w:ilvl w:val="0"/>
          <w:numId w:val="1"/>
        </w:numPr>
      </w:pPr>
      <w:r>
        <w:t>Minneapolis-St. Paul area, MN-WI</w:t>
      </w:r>
    </w:p>
    <w:p w:rsidR="00A53333" w:rsidRDefault="00A53333" w:rsidP="00A53333">
      <w:pPr>
        <w:pStyle w:val="ListParagraph"/>
        <w:numPr>
          <w:ilvl w:val="0"/>
          <w:numId w:val="1"/>
        </w:numPr>
      </w:pPr>
      <w:r>
        <w:t>Denver, CO</w:t>
      </w:r>
    </w:p>
    <w:p w:rsidR="00A53333" w:rsidRDefault="00A53333" w:rsidP="00A53333">
      <w:pPr>
        <w:pStyle w:val="ListParagraph"/>
        <w:numPr>
          <w:ilvl w:val="0"/>
          <w:numId w:val="1"/>
        </w:numPr>
      </w:pPr>
      <w:r>
        <w:t>Los Angeles, CA</w:t>
      </w:r>
    </w:p>
    <w:p w:rsidR="00A53333" w:rsidRDefault="00A53333" w:rsidP="00A53333">
      <w:pPr>
        <w:pStyle w:val="ListParagraph"/>
        <w:numPr>
          <w:ilvl w:val="0"/>
          <w:numId w:val="1"/>
        </w:numPr>
      </w:pPr>
      <w:r>
        <w:t>Salt Lake City, UT</w:t>
      </w:r>
    </w:p>
    <w:p w:rsidR="00A53333" w:rsidRDefault="00A53333" w:rsidP="00A53333">
      <w:pPr>
        <w:pStyle w:val="ListParagraph"/>
        <w:numPr>
          <w:ilvl w:val="0"/>
          <w:numId w:val="1"/>
        </w:numPr>
      </w:pPr>
      <w:r>
        <w:t>Philadelphia, PA</w:t>
      </w:r>
    </w:p>
    <w:p w:rsidR="00A53333" w:rsidRDefault="00A53333" w:rsidP="00A53333">
      <w:pPr>
        <w:pStyle w:val="ListParagraph"/>
        <w:numPr>
          <w:ilvl w:val="0"/>
          <w:numId w:val="1"/>
        </w:numPr>
      </w:pPr>
      <w:r>
        <w:t>Chicago, IL</w:t>
      </w:r>
    </w:p>
    <w:p w:rsidR="00A53333" w:rsidRDefault="00A53333" w:rsidP="00A53333">
      <w:pPr>
        <w:pStyle w:val="ListParagraph"/>
        <w:numPr>
          <w:ilvl w:val="0"/>
          <w:numId w:val="1"/>
        </w:numPr>
      </w:pPr>
      <w:r>
        <w:t>Omaha, NE</w:t>
      </w:r>
    </w:p>
    <w:p w:rsidR="00A53333" w:rsidRDefault="00A53333" w:rsidP="00A53333">
      <w:pPr>
        <w:pStyle w:val="ListParagraph"/>
        <w:numPr>
          <w:ilvl w:val="0"/>
          <w:numId w:val="1"/>
        </w:numPr>
      </w:pPr>
      <w:r>
        <w:t>Indianapolis, IN</w:t>
      </w:r>
    </w:p>
    <w:p w:rsidR="00A53333" w:rsidRDefault="00A53333" w:rsidP="00A53333">
      <w:pPr>
        <w:pStyle w:val="ListParagraph"/>
        <w:numPr>
          <w:ilvl w:val="0"/>
          <w:numId w:val="1"/>
        </w:numPr>
      </w:pPr>
      <w:r>
        <w:t>Baltimore, MD</w:t>
      </w:r>
    </w:p>
    <w:p w:rsidR="00A53333" w:rsidRDefault="00A53333" w:rsidP="00A53333">
      <w:pPr>
        <w:pStyle w:val="ListParagraph"/>
        <w:numPr>
          <w:ilvl w:val="0"/>
          <w:numId w:val="1"/>
        </w:numPr>
      </w:pPr>
      <w:r>
        <w:t>Milwaukee, WI</w:t>
      </w:r>
    </w:p>
    <w:p w:rsidR="00A53333" w:rsidRDefault="00A53333" w:rsidP="00A53333"/>
    <w:p w:rsidR="0095005A" w:rsidRDefault="0095005A">
      <w:r>
        <w:br w:type="page"/>
      </w:r>
    </w:p>
    <w:tbl>
      <w:tblPr>
        <w:tblW w:w="8910" w:type="dxa"/>
        <w:tblLook w:val="04A0" w:firstRow="1" w:lastRow="0" w:firstColumn="1" w:lastColumn="0" w:noHBand="0" w:noVBand="1"/>
      </w:tblPr>
      <w:tblGrid>
        <w:gridCol w:w="8910"/>
      </w:tblGrid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6EF" w:rsidRDefault="00BC5DD9" w:rsidP="005A56EF">
            <w:r>
              <w:rPr>
                <w:rFonts w:ascii="Calibri" w:eastAsia="Times New Roman" w:hAnsi="Calibri" w:cs="Times New Roman"/>
                <w:b/>
                <w:color w:val="000000"/>
              </w:rPr>
              <w:lastRenderedPageBreak/>
              <w:t>The Top 100 Pool</w:t>
            </w:r>
          </w:p>
          <w:p w:rsidR="0095005A" w:rsidRDefault="0095005A" w:rsidP="005A56EF"/>
          <w:p w:rsidR="005A56EF" w:rsidRDefault="005A56EF" w:rsidP="005A56EF">
            <w:r>
              <w:t>T</w:t>
            </w:r>
            <w:r w:rsidR="00BC5DD9">
              <w:t xml:space="preserve">his sample </w:t>
            </w:r>
            <w:r>
              <w:t>contains only Metropolitan Statistical Areas</w:t>
            </w:r>
            <w:r w:rsidR="0095005A">
              <w:t xml:space="preserve"> (MSAs)</w:t>
            </w:r>
            <w:r>
              <w:t xml:space="preserve"> with population</w:t>
            </w:r>
            <w:r w:rsidR="0095005A">
              <w:t>s of</w:t>
            </w:r>
            <w:r>
              <w:t xml:space="preserve"> abov</w:t>
            </w:r>
            <w:r w:rsidR="00F00221">
              <w:t xml:space="preserve">e 250,000 and per capita </w:t>
            </w:r>
            <w:r>
              <w:t>GDP</w:t>
            </w:r>
            <w:r w:rsidR="00F00221">
              <w:t xml:space="preserve"> </w:t>
            </w:r>
            <w:r w:rsidR="0095005A">
              <w:t>levels of</w:t>
            </w:r>
            <w:r>
              <w:t xml:space="preserve"> above $40,000.</w:t>
            </w:r>
          </w:p>
          <w:p w:rsidR="00A53333" w:rsidRPr="005A56EF" w:rsidRDefault="00F00221" w:rsidP="00A53333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</w:p>
          <w:p w:rsidR="005A56EF" w:rsidRPr="00A53333" w:rsidRDefault="005A56EF" w:rsidP="00A5333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San Jose-Sunnyvale-Santa Clara, CA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San Francisco-Oakland-Hayward, CA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Seattle-Tacoma-Bellevue, WA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Boston-Cambridge-Newton, MA-NH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Durham-Chapel Hill, NC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Washington-Arlington-Alexandria, DC-VA-MD-WV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New York-Newark-Jersey City, NY-NJ-PA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Houston-The Woodlands-Sugar Land, TX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Boulder, CO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Dallas-Fort Worth-Arlington, TX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Anchorage, AK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Portland-Vancouver-Hillsboro, OR-WA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Hartford-West Hartford-East Hartford, CT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Madison, WI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Cedar Rapids, IA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Minneapolis-St. Paul-Bloomington, MN-WI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Denver-Aurora-Lakewood, CO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Los Angeles-Long Beach-Anaheim, CA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Salt Lake City, UT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Philadelphia-Camden-Wilmington, PA-NJ-DE-MD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Chicago-Naperville-Elgin, IL-IN-WI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Omaha-Council Bluffs, NE-IA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Indianapolis-Carmel-Anderson, IN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Baltimore-Columbia-Towson, MD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Milwaukee-Waukesha-West Allis, WI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Cleveland-Elyria, OH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Charlotte-Concord-Gastonia, NC-SC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Nashville-Davidson--Murfreesboro--Franklin, TN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Austin-Round Rock, TX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Columbus, OH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Kansas City, MO-KS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Baton Rouge, LA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Ann Arbor, MI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Atlanta-Sandy Springs-Roswell, GA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Harrisburg-Carlisle, PA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Pittsburgh, PA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Raleigh, NC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lastRenderedPageBreak/>
              <w:t>Norwich-New London, CT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Cincinnati, OH-KY-IN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Green Bay, WI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Albany-Schenectady-Troy, NY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Detroit-Warren-Dearborn, MI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Richmond, VA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Tulsa, OK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Lafayette, LA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Lincoln, NE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Huntsville, AL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Birmingham-Hoover, AL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Peoria, IL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Santa Maria-Santa Barbara, CA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St. Louis, MO-IL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Little Rock-North Little Rock-Conway, AR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Louisville/Jefferson County, KY-IN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Virginia Beach-Norfolk-Newport News, VA-NC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Toledo, OH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Beaumont-Port Arthur, TX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Oklahoma City, OK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Corpus Christi, TX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Greensboro-High Point, NC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Davenport-Moline-Rock Island, IA-IL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Evansville, IN-KY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Shreveport-Bossier City, LA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Grand Rapids-Wyoming, MI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Fayetteville-Springdale-Rogers, AR-MO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Miami-Fort Lauderdale-West Palm Beach, FL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Sacramento--Roseville--Arden-Arcade, CA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Orlando-Kissimmee-Sanford, FL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Jackson, MS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Rochester, NY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Atlantic City-Hammonton, NJ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Buffalo-Cheektowaga-Niagara Falls, NY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Phoenix-Mesa-Scottsdale, AZ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Dayton, OH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Fort Wayne, IN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Syracuse, NY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Providence-Warwick, RI-MA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Charleston-North Charleston, SC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Wilmington, NC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Albuquerque, NM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lastRenderedPageBreak/>
              <w:t>Crestview-Fort Walton Beach-Destin, FL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Wichita, KS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Reno, NV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San Luis Obispo-Paso Robles-Arroyo Grande, CA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Salinas, CA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Fayetteville, NC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Jacksonville, FL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Amarillo, TX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Las Vegas-Henderson-Paradise, NV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Roanoke, VA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Columbia, SC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Naples-Immokalee-Marco Island, FL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Lancaster, PA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Lansing-East Lansing, MI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San Antonio-New Braunfels, TX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Fort Collins, CO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Montgomery, AL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Boise City, ID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Tampa-St. Petersburg-Clearwater, FL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5A56E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Knoxville, TN</w:t>
            </w:r>
          </w:p>
        </w:tc>
      </w:tr>
      <w:tr w:rsidR="00A53333" w:rsidRPr="00A53333" w:rsidTr="005A56EF">
        <w:trPr>
          <w:trHeight w:val="28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33" w:rsidRPr="005A56EF" w:rsidRDefault="00A53333" w:rsidP="0095005A">
            <w:pPr>
              <w:pStyle w:val="ListParagraph"/>
              <w:numPr>
                <w:ilvl w:val="0"/>
                <w:numId w:val="3"/>
              </w:numPr>
              <w:ind w:left="648"/>
              <w:rPr>
                <w:rFonts w:ascii="Calibri" w:eastAsia="Times New Roman" w:hAnsi="Calibri" w:cs="Times New Roman"/>
                <w:color w:val="000000"/>
              </w:rPr>
            </w:pPr>
            <w:r w:rsidRPr="005A56EF">
              <w:rPr>
                <w:rFonts w:ascii="Calibri" w:eastAsia="Times New Roman" w:hAnsi="Calibri" w:cs="Times New Roman"/>
                <w:color w:val="000000"/>
              </w:rPr>
              <w:t>Mobile, AL</w:t>
            </w:r>
          </w:p>
        </w:tc>
      </w:tr>
    </w:tbl>
    <w:p w:rsidR="00A53333" w:rsidRDefault="00A53333" w:rsidP="00A53333"/>
    <w:p w:rsidR="0095005A" w:rsidRDefault="0095005A">
      <w:pPr>
        <w:spacing w:after="160" w:line="259" w:lineRule="auto"/>
      </w:pPr>
      <w:r>
        <w:br w:type="page"/>
      </w:r>
    </w:p>
    <w:p w:rsidR="00A53333" w:rsidRPr="0095005A" w:rsidRDefault="0095005A" w:rsidP="00A53333">
      <w:pPr>
        <w:rPr>
          <w:b/>
        </w:rPr>
      </w:pPr>
      <w:r w:rsidRPr="0095005A">
        <w:rPr>
          <w:b/>
        </w:rPr>
        <w:lastRenderedPageBreak/>
        <w:t>Methodology</w:t>
      </w:r>
    </w:p>
    <w:p w:rsidR="00220942" w:rsidRDefault="00220942" w:rsidP="00A53333"/>
    <w:p w:rsidR="00BC5DD9" w:rsidRDefault="00220942" w:rsidP="00A53333">
      <w:r>
        <w:t xml:space="preserve">The </w:t>
      </w:r>
      <w:r w:rsidR="00BC5DD9">
        <w:t xml:space="preserve">top </w:t>
      </w:r>
      <w:r w:rsidR="0095005A">
        <w:t xml:space="preserve">100 </w:t>
      </w:r>
      <w:r>
        <w:t>pool</w:t>
      </w:r>
      <w:r w:rsidR="00A53333">
        <w:t xml:space="preserve"> </w:t>
      </w:r>
      <w:r w:rsidR="0095005A">
        <w:t xml:space="preserve">of cities </w:t>
      </w:r>
      <w:r w:rsidR="00A53333">
        <w:t>was selected based on the following factors.</w:t>
      </w:r>
    </w:p>
    <w:p w:rsidR="00A53333" w:rsidRDefault="00A53333" w:rsidP="00A53333">
      <w:r>
        <w:br/>
        <w:t>1. Population size</w:t>
      </w:r>
    </w:p>
    <w:p w:rsidR="00A53333" w:rsidRDefault="00A53333" w:rsidP="00A53333">
      <w:r>
        <w:t>2. Percentage of population aged 20-29</w:t>
      </w:r>
    </w:p>
    <w:p w:rsidR="00A53333" w:rsidRDefault="00A53333" w:rsidP="00A53333">
      <w:r>
        <w:t>3. Median age</w:t>
      </w:r>
    </w:p>
    <w:p w:rsidR="00A53333" w:rsidRDefault="003F50A1" w:rsidP="00A53333">
      <w:r>
        <w:t>4</w:t>
      </w:r>
      <w:r w:rsidR="00A53333">
        <w:t xml:space="preserve">. </w:t>
      </w:r>
      <w:r>
        <w:t>Employment rate in the 20-24 age group</w:t>
      </w:r>
    </w:p>
    <w:p w:rsidR="00A53333" w:rsidRDefault="003F50A1" w:rsidP="00A53333">
      <w:r>
        <w:t>5</w:t>
      </w:r>
      <w:r w:rsidR="00A53333">
        <w:t>. Percentage of working-age population who hold a bachelor’s degree</w:t>
      </w:r>
    </w:p>
    <w:p w:rsidR="00A53333" w:rsidRDefault="003F50A1" w:rsidP="00A53333">
      <w:r>
        <w:t>6</w:t>
      </w:r>
      <w:r w:rsidR="00A53333">
        <w:t xml:space="preserve">. </w:t>
      </w:r>
      <w:r>
        <w:t>Employment rate of working-age degree holders</w:t>
      </w:r>
      <w:r>
        <w:br/>
        <w:t>7</w:t>
      </w:r>
      <w:r w:rsidR="00A90C45">
        <w:t>. Per capita personal income</w:t>
      </w:r>
      <w:r w:rsidR="00A90C45">
        <w:br/>
        <w:t>8</w:t>
      </w:r>
      <w:r w:rsidR="00A53333">
        <w:t>. Per capita real GDP</w:t>
      </w:r>
      <w:r w:rsidR="00A90C45">
        <w:br/>
        <w:t>9. Median income</w:t>
      </w:r>
      <w:r w:rsidR="00A90C45">
        <w:br/>
        <w:t>10</w:t>
      </w:r>
      <w:r w:rsidR="00A53333">
        <w:t>. Employment</w:t>
      </w:r>
      <w:r>
        <w:t xml:space="preserve"> levels</w:t>
      </w:r>
      <w:r w:rsidR="00A53333">
        <w:t xml:space="preserve"> in management, business, science, and arts occupations</w:t>
      </w:r>
    </w:p>
    <w:p w:rsidR="00A53333" w:rsidRDefault="00A90C45" w:rsidP="00A53333">
      <w:r>
        <w:t>11</w:t>
      </w:r>
      <w:r w:rsidR="00A53333">
        <w:t>. Median income in management, business, science, and arts occupations</w:t>
      </w:r>
    </w:p>
    <w:p w:rsidR="00A53333" w:rsidRDefault="00A90C45" w:rsidP="00A53333">
      <w:r>
        <w:t>12</w:t>
      </w:r>
      <w:r w:rsidR="00A53333">
        <w:t>. Employment</w:t>
      </w:r>
      <w:r w:rsidR="003F50A1">
        <w:t xml:space="preserve"> levels</w:t>
      </w:r>
      <w:r w:rsidR="00A53333">
        <w:t xml:space="preserve"> in service occupations</w:t>
      </w:r>
    </w:p>
    <w:p w:rsidR="00A53333" w:rsidRDefault="00A90C45" w:rsidP="00A53333">
      <w:r>
        <w:t>13</w:t>
      </w:r>
      <w:r w:rsidR="00A53333">
        <w:t xml:space="preserve">. Median income in </w:t>
      </w:r>
      <w:r w:rsidR="003F50A1">
        <w:t>service</w:t>
      </w:r>
      <w:r w:rsidR="00A53333">
        <w:t xml:space="preserve"> occupations</w:t>
      </w:r>
    </w:p>
    <w:p w:rsidR="00A53333" w:rsidRDefault="00A90C45" w:rsidP="00A53333">
      <w:r>
        <w:t>14</w:t>
      </w:r>
      <w:r w:rsidR="00A53333">
        <w:t>. Employment</w:t>
      </w:r>
      <w:r w:rsidR="003F50A1">
        <w:t xml:space="preserve"> levels</w:t>
      </w:r>
      <w:r w:rsidR="00A53333">
        <w:t xml:space="preserve"> in sales and office occupations</w:t>
      </w:r>
    </w:p>
    <w:p w:rsidR="00A53333" w:rsidRDefault="00A90C45" w:rsidP="00A53333">
      <w:r>
        <w:t>15</w:t>
      </w:r>
      <w:r w:rsidR="00A53333">
        <w:t>. Median income in sales and office occupations</w:t>
      </w:r>
      <w:r w:rsidR="00A53333">
        <w:br/>
      </w:r>
      <w:r>
        <w:t>16</w:t>
      </w:r>
      <w:r w:rsidR="00A53333">
        <w:t xml:space="preserve">. Housing </w:t>
      </w:r>
      <w:r>
        <w:t>affordability index</w:t>
      </w:r>
      <w:r>
        <w:br/>
        <w:t>17</w:t>
      </w:r>
      <w:r w:rsidR="00BC5DD9">
        <w:t>. Quality-of-</w:t>
      </w:r>
      <w:r>
        <w:t>life index</w:t>
      </w:r>
      <w:r>
        <w:br/>
        <w:t>18</w:t>
      </w:r>
      <w:r w:rsidR="00A53333">
        <w:t>. Amenities index</w:t>
      </w:r>
    </w:p>
    <w:p w:rsidR="00CB7959" w:rsidRDefault="00CB7959" w:rsidP="00A53333"/>
    <w:p w:rsidR="00CB7959" w:rsidRPr="00CB7959" w:rsidRDefault="00CB7959" w:rsidP="00A53333">
      <w:pPr>
        <w:rPr>
          <w:b/>
        </w:rPr>
      </w:pPr>
      <w:r w:rsidRPr="00CB7959">
        <w:rPr>
          <w:b/>
        </w:rPr>
        <w:t>Assumptions</w:t>
      </w:r>
    </w:p>
    <w:p w:rsidR="00CB7959" w:rsidRDefault="00CB7959" w:rsidP="00A53333"/>
    <w:p w:rsidR="00CB7959" w:rsidRDefault="00CB7959" w:rsidP="00CB7959">
      <w:r>
        <w:t>In choosing the top 100 based on population and median earnings, I made the following assumptions:</w:t>
      </w:r>
    </w:p>
    <w:p w:rsidR="00CB7959" w:rsidRDefault="00CB7959" w:rsidP="00CB7959">
      <w:r>
        <w:t>1</w:t>
      </w:r>
      <w:r>
        <w:t>. Holding all other factors constant, a higher population offers a higher likelihood of making friends and finding jobs.</w:t>
      </w:r>
    </w:p>
    <w:p w:rsidR="00CB7959" w:rsidRDefault="00CB7959" w:rsidP="00CB7959">
      <w:r>
        <w:t>2</w:t>
      </w:r>
      <w:r>
        <w:t>. People prefer higher e</w:t>
      </w:r>
      <w:r>
        <w:t>arnings to lower earnings</w:t>
      </w:r>
    </w:p>
    <w:p w:rsidR="00CB7959" w:rsidRDefault="00CB7959" w:rsidP="00CB7959"/>
    <w:p w:rsidR="00CB7959" w:rsidRDefault="00CB7959" w:rsidP="00CB7959">
      <w:r>
        <w:t>In c</w:t>
      </w:r>
      <w:r>
        <w:t xml:space="preserve">hoosing the top 25 by </w:t>
      </w:r>
      <w:r>
        <w:t>four variables</w:t>
      </w:r>
      <w:r>
        <w:t xml:space="preserve"> (</w:t>
      </w:r>
      <w:r>
        <w:t>per capita real GDP, housing affordability, low unemployment among those who hold a degree, and a young median age</w:t>
      </w:r>
      <w:r>
        <w:t>)</w:t>
      </w:r>
      <w:r>
        <w:t>, I made the following assumptions:</w:t>
      </w:r>
    </w:p>
    <w:p w:rsidR="00CB7959" w:rsidRDefault="00CB7959" w:rsidP="00CB7959">
      <w:r>
        <w:t>1. E</w:t>
      </w:r>
      <w:r>
        <w:t>conomic strength and employment are the highest priorities for college graduates entering the job market.</w:t>
      </w:r>
    </w:p>
    <w:p w:rsidR="00CB7959" w:rsidRDefault="00CB7959" w:rsidP="00CB7959">
      <w:r>
        <w:t>2</w:t>
      </w:r>
      <w:r>
        <w:t xml:space="preserve">. </w:t>
      </w:r>
      <w:r>
        <w:t>Housing affordability is the second highest priority for entry-level workers. They</w:t>
      </w:r>
      <w:r>
        <w:t xml:space="preserve"> want to have the option to </w:t>
      </w:r>
      <w:r>
        <w:t>start saving or consume more</w:t>
      </w:r>
      <w:r>
        <w:t xml:space="preserve"> by not having to spend disproportionate amounts on housing.</w:t>
      </w:r>
    </w:p>
    <w:p w:rsidR="00CB7959" w:rsidRDefault="00CB7959" w:rsidP="00CB7959">
      <w:r>
        <w:t>3</w:t>
      </w:r>
      <w:r>
        <w:t xml:space="preserve">. </w:t>
      </w:r>
      <w:r>
        <w:t>P</w:t>
      </w:r>
      <w:r>
        <w:t>eople tend to prefer to socialize wi</w:t>
      </w:r>
      <w:r>
        <w:t>th people in the same age group, and that’s the third highest priority for entry-level workers.</w:t>
      </w:r>
    </w:p>
    <w:p w:rsidR="00CB7959" w:rsidRDefault="00CB7959" w:rsidP="00CB7959"/>
    <w:p w:rsidR="00A53333" w:rsidRDefault="00A53333" w:rsidP="00A53333"/>
    <w:p w:rsidR="003738BA" w:rsidRDefault="003738BA" w:rsidP="00A53333">
      <w:r>
        <w:t>Data come from the Census Bureau, the Bureau of Economic Analysis, and the Bureau of Labor Statistics.</w:t>
      </w:r>
    </w:p>
    <w:p w:rsidR="003738BA" w:rsidRDefault="003738BA" w:rsidP="00A53333"/>
    <w:p w:rsidR="008F2D0D" w:rsidRDefault="00A53333" w:rsidP="00A53333">
      <w:r>
        <w:t>The indices on housing affordability, quality of life, and amenities a</w:t>
      </w:r>
      <w:r w:rsidR="00220942">
        <w:t xml:space="preserve">re based on </w:t>
      </w:r>
      <w:r w:rsidR="005A56EF">
        <w:t xml:space="preserve">Professor </w:t>
      </w:r>
      <w:r w:rsidR="00220942">
        <w:t xml:space="preserve">David </w:t>
      </w:r>
      <w:proofErr w:type="spellStart"/>
      <w:r w:rsidR="00220942">
        <w:t>Albouy’s</w:t>
      </w:r>
      <w:proofErr w:type="spellEnd"/>
      <w:r w:rsidR="00220942">
        <w:t xml:space="preserve"> 2015 </w:t>
      </w:r>
      <w:hyperlink r:id="rId8" w:history="1">
        <w:r w:rsidR="00220942" w:rsidRPr="00220942">
          <w:rPr>
            <w:rStyle w:val="Hyperlink"/>
          </w:rPr>
          <w:t>paper</w:t>
        </w:r>
      </w:hyperlink>
      <w:r w:rsidR="00220942">
        <w:t>, What Are Cities Worth? Land Rents, Local Productivity, and the Total Value of Amenities.</w:t>
      </w:r>
    </w:p>
    <w:p w:rsidR="00220942" w:rsidRDefault="00220942" w:rsidP="00A53333"/>
    <w:p w:rsidR="00220942" w:rsidRDefault="00BC5DD9" w:rsidP="00A53333">
      <w:r>
        <w:lastRenderedPageBreak/>
        <w:t>The a</w:t>
      </w:r>
      <w:r w:rsidR="00220942">
        <w:t>menities index includes factors of weather, average slope of land (presence of mountains), coastal proximity, crime rate, air quality, availability of bars and restaurants, and availability of arts and culture</w:t>
      </w:r>
      <w:r w:rsidR="005A56EF">
        <w:t xml:space="preserve"> services. I transformed the original index values to eliminate negative values.</w:t>
      </w:r>
    </w:p>
    <w:p w:rsidR="00BC5DD9" w:rsidRDefault="00BC5DD9" w:rsidP="00A53333"/>
    <w:p w:rsidR="00A354FB" w:rsidRDefault="00BC5DD9" w:rsidP="00A53333">
      <w:r>
        <w:t>The quality-of life index is based on the results from a model developed by Albouy, based on a series of scaled economic factors that express the cost of living, the price of capital, wages, tax rate, quality of life, and productivity.</w:t>
      </w:r>
    </w:p>
    <w:p w:rsidR="00A354FB" w:rsidRDefault="00A354FB" w:rsidP="00A53333"/>
    <w:p w:rsidR="0095005A" w:rsidRPr="00A354FB" w:rsidRDefault="00860F15" w:rsidP="00A53333">
      <w:r w:rsidRPr="00BC5DD9">
        <w:rPr>
          <w:b/>
        </w:rPr>
        <w:t xml:space="preserve">Additional </w:t>
      </w:r>
      <w:r w:rsidR="003738BA">
        <w:rPr>
          <w:b/>
        </w:rPr>
        <w:t>Comments</w:t>
      </w:r>
    </w:p>
    <w:p w:rsidR="00860F15" w:rsidRDefault="00860F15" w:rsidP="00A53333"/>
    <w:p w:rsidR="00BC5DD9" w:rsidRDefault="0095005A" w:rsidP="0095005A">
      <w:r>
        <w:t xml:space="preserve">A hierarchical clustering analysis </w:t>
      </w:r>
      <w:r w:rsidR="00A354FB">
        <w:t xml:space="preserve">shows a descriptive </w:t>
      </w:r>
      <w:r w:rsidR="00860F15">
        <w:t>view</w:t>
      </w:r>
      <w:r w:rsidR="00070613">
        <w:t xml:space="preserve"> (Fig. 1)</w:t>
      </w:r>
      <w:r w:rsidR="00860F15">
        <w:t xml:space="preserve"> on clusters of cities</w:t>
      </w:r>
      <w:r>
        <w:t xml:space="preserve"> that have the most similarity among</w:t>
      </w:r>
      <w:r w:rsidR="00860F15">
        <w:t xml:space="preserve"> cluster members</w:t>
      </w:r>
      <w:r>
        <w:t xml:space="preserve">, based on the selection factors. </w:t>
      </w:r>
      <w:r w:rsidR="00070613">
        <w:t>The higher level a city is at in the tree diagram, the less similar it is to other cities. New York</w:t>
      </w:r>
      <w:r w:rsidR="003738BA">
        <w:t>, towards the bottom of Fig.2, is almost unique among all cities in the pool, based on the selection factors.</w:t>
      </w:r>
    </w:p>
    <w:p w:rsidR="00BC5DD9" w:rsidRDefault="00BC5DD9" w:rsidP="0095005A"/>
    <w:p w:rsidR="0095005A" w:rsidRDefault="00070613" w:rsidP="0095005A">
      <w:r>
        <w:t xml:space="preserve">In the hand-drawn diagram (Fig. 2), the cluster on the top that </w:t>
      </w:r>
      <w:r w:rsidR="0095005A">
        <w:t>includ</w:t>
      </w:r>
      <w:r>
        <w:t>es</w:t>
      </w:r>
      <w:r w:rsidR="00BC5DD9">
        <w:t xml:space="preserve"> Nap</w:t>
      </w:r>
      <w:r>
        <w:t xml:space="preserve">les, Denver, and Seattle </w:t>
      </w:r>
      <w:r w:rsidR="00BC5DD9">
        <w:t xml:space="preserve">is a refreshing collection. Looking deeper into these </w:t>
      </w:r>
      <w:r w:rsidR="0095005A">
        <w:t>c</w:t>
      </w:r>
      <w:r w:rsidR="00860F15">
        <w:t>an be a novel</w:t>
      </w:r>
      <w:r w:rsidR="0095005A">
        <w:t xml:space="preserve"> </w:t>
      </w:r>
      <w:r w:rsidR="00860F15">
        <w:t xml:space="preserve">approach to selecting a relocation destination. </w:t>
      </w:r>
    </w:p>
    <w:p w:rsidR="00BC5DD9" w:rsidRDefault="00BC5DD9" w:rsidP="0095005A"/>
    <w:p w:rsidR="0095005A" w:rsidRPr="00A53333" w:rsidRDefault="0095005A" w:rsidP="0095005A">
      <w:r>
        <w:t>The large cluster on the</w:t>
      </w:r>
      <w:r w:rsidR="00BC5DD9">
        <w:t xml:space="preserve"> far </w:t>
      </w:r>
      <w:r>
        <w:t>right</w:t>
      </w:r>
      <w:r w:rsidR="00BC5DD9">
        <w:t xml:space="preserve"> </w:t>
      </w:r>
      <w:r>
        <w:t>contains mostl</w:t>
      </w:r>
      <w:r w:rsidR="00BC5DD9">
        <w:t>y middle-of-the-road</w:t>
      </w:r>
      <w:r>
        <w:t xml:space="preserve"> cities, </w:t>
      </w:r>
      <w:r w:rsidR="00BC5DD9">
        <w:t>and</w:t>
      </w:r>
      <w:r>
        <w:t xml:space="preserve"> you </w:t>
      </w:r>
      <w:r w:rsidR="00BC5DD9">
        <w:t xml:space="preserve">can </w:t>
      </w:r>
      <w:r>
        <w:t xml:space="preserve">cherry-pick the ones that you think might be a good market to target with the promotional campaign. Naturally, it seems that focusing on the top cluster of surprise cities and the bottom clusters of cliché </w:t>
      </w:r>
      <w:r w:rsidR="00BC5DD9">
        <w:t>mega</w:t>
      </w:r>
      <w:r>
        <w:t>cities would capture good chunks of market share.</w:t>
      </w:r>
    </w:p>
    <w:p w:rsidR="005A56EF" w:rsidRDefault="005A56EF" w:rsidP="005A56EF"/>
    <w:p w:rsidR="003738BA" w:rsidRDefault="00070613" w:rsidP="005A56EF">
      <w:r>
        <w:t xml:space="preserve">Sometimes the location </w:t>
      </w:r>
      <w:r w:rsidR="003738BA">
        <w:t xml:space="preserve">destination </w:t>
      </w:r>
      <w:r>
        <w:t>does depend heavily on the choice of career.</w:t>
      </w:r>
      <w:r w:rsidR="003738BA">
        <w:t xml:space="preserve"> This dependency could be higher than ever for a generation that grew up during the Great Recession.</w:t>
      </w:r>
      <w:r>
        <w:t xml:space="preserve"> </w:t>
      </w:r>
    </w:p>
    <w:p w:rsidR="003738BA" w:rsidRDefault="003738BA" w:rsidP="005A56EF"/>
    <w:p w:rsidR="005A56EF" w:rsidRDefault="00070613" w:rsidP="005A56EF">
      <w:r>
        <w:t>For students pursuing a career in institutional finance, New York is the first choice. For students choosing a career in computer science, the Bay Area and Silicon Valley are no-brainers. Laid-</w:t>
      </w:r>
      <w:r w:rsidR="005A56EF">
        <w:t>back arts</w:t>
      </w:r>
      <w:r>
        <w:t>y</w:t>
      </w:r>
      <w:r w:rsidR="005A56EF">
        <w:t xml:space="preserve"> </w:t>
      </w:r>
      <w:r>
        <w:t>types</w:t>
      </w:r>
      <w:r w:rsidR="005A56EF">
        <w:t xml:space="preserve"> </w:t>
      </w:r>
      <w:r>
        <w:t>might</w:t>
      </w:r>
      <w:r w:rsidR="005A56EF">
        <w:t xml:space="preserve"> tend towards cities like Madison, Minneapolis and Omaha</w:t>
      </w:r>
      <w:r>
        <w:t>, where they can stretch their money and hang out for a little before starting to work</w:t>
      </w:r>
      <w:r w:rsidR="005A56EF">
        <w:t xml:space="preserve">. For graduates pursuing a professional </w:t>
      </w:r>
      <w:r>
        <w:t>services career</w:t>
      </w:r>
      <w:r w:rsidR="005A56EF">
        <w:t xml:space="preserve">, </w:t>
      </w:r>
      <w:r>
        <w:t>the most favorable jobs are often located in megacities.</w:t>
      </w:r>
    </w:p>
    <w:p w:rsidR="00860F15" w:rsidRDefault="00860F15" w:rsidP="00860F15">
      <w:pPr>
        <w:ind w:left="1584"/>
      </w:pPr>
      <w:r w:rsidRPr="00860F15">
        <w:rPr>
          <w:noProof/>
        </w:rPr>
        <w:lastRenderedPageBreak/>
        <w:drawing>
          <wp:inline distT="0" distB="0" distL="0" distR="0">
            <wp:extent cx="4114800" cy="7459980"/>
            <wp:effectExtent l="0" t="0" r="0" b="7620"/>
            <wp:docPr id="4" name="Picture 4" descr="C:\Users\elaine.chan\Documents\Graduation1\Rplo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aine.chan\Documents\Graduation1\Rplot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207" cy="753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F15" w:rsidRDefault="00860F15" w:rsidP="00860F15"/>
    <w:p w:rsidR="00860F15" w:rsidRDefault="00860F15" w:rsidP="00860F15">
      <w:pPr>
        <w:tabs>
          <w:tab w:val="left" w:pos="5136"/>
        </w:tabs>
      </w:pPr>
      <w:r>
        <w:t xml:space="preserve">                                      Figure 1. Tree diagram that clusters cities according to similarity</w:t>
      </w:r>
      <w:r w:rsidR="00BC5DD9">
        <w:t>.</w:t>
      </w:r>
    </w:p>
    <w:p w:rsidR="00860F15" w:rsidRDefault="00860F15" w:rsidP="00860F15">
      <w:pPr>
        <w:spacing w:after="160" w:line="259" w:lineRule="auto"/>
        <w:ind w:left="288"/>
      </w:pPr>
      <w:r>
        <w:br w:type="page"/>
      </w:r>
      <w:r w:rsidRPr="00860F15">
        <w:rPr>
          <w:noProof/>
        </w:rPr>
        <w:lastRenderedPageBreak/>
        <w:drawing>
          <wp:inline distT="0" distB="0" distL="0" distR="0">
            <wp:extent cx="5600700" cy="7467600"/>
            <wp:effectExtent l="0" t="0" r="0" b="0"/>
            <wp:docPr id="5" name="Picture 5" descr="C:\Users\elaine.chan\Documents\Graduation1\cities_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aine.chan\Documents\Graduation1\cities_tre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6EF" w:rsidRPr="00860F15" w:rsidRDefault="00860F15" w:rsidP="00860F15">
      <w:r>
        <w:t xml:space="preserve">      Figure 2. Tree diagram showing names of cities clustered with similar members in the pool.</w:t>
      </w:r>
    </w:p>
    <w:sectPr w:rsidR="005A56EF" w:rsidRPr="00860F1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216" w:rsidRDefault="00314216" w:rsidP="00220942">
      <w:r>
        <w:separator/>
      </w:r>
    </w:p>
  </w:endnote>
  <w:endnote w:type="continuationSeparator" w:id="0">
    <w:p w:rsidR="00314216" w:rsidRDefault="00314216" w:rsidP="00220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24431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59D2" w:rsidRDefault="000359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54F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359D2" w:rsidRDefault="000359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216" w:rsidRDefault="00314216" w:rsidP="00220942">
      <w:r>
        <w:separator/>
      </w:r>
    </w:p>
  </w:footnote>
  <w:footnote w:type="continuationSeparator" w:id="0">
    <w:p w:rsidR="00314216" w:rsidRDefault="00314216" w:rsidP="00220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942" w:rsidRDefault="00220942" w:rsidP="00220942">
    <w:pPr>
      <w:rPr>
        <w:rFonts w:eastAsiaTheme="minorEastAsia"/>
        <w:noProof/>
        <w:sz w:val="24"/>
        <w:szCs w:val="24"/>
      </w:rPr>
    </w:pPr>
    <w:r>
      <w:rPr>
        <w:rFonts w:eastAsiaTheme="minorEastAsia"/>
        <w:noProof/>
      </w:rPr>
      <w:drawing>
        <wp:inline distT="0" distB="0" distL="0" distR="0" wp14:anchorId="4677A950" wp14:editId="77A72A24">
          <wp:extent cx="259080" cy="259080"/>
          <wp:effectExtent l="0" t="0" r="7620" b="7620"/>
          <wp:docPr id="2" name="Picture 2" descr="Bankrate_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ankrate_ic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080" cy="259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eastAsiaTheme="minorEastAsia"/>
        <w:noProof/>
      </w:rPr>
      <w:t xml:space="preserve">   </w:t>
    </w:r>
    <w:r>
      <w:rPr>
        <w:rFonts w:eastAsiaTheme="minorEastAsia"/>
        <w:noProof/>
        <w:sz w:val="24"/>
        <w:szCs w:val="24"/>
      </w:rPr>
      <w:t xml:space="preserve">Elaine Chan </w:t>
    </w:r>
  </w:p>
  <w:p w:rsidR="00220942" w:rsidRDefault="00220942" w:rsidP="00220942">
    <w:pPr>
      <w:rPr>
        <w:rFonts w:eastAsiaTheme="minorEastAsia"/>
        <w:noProof/>
        <w:sz w:val="16"/>
        <w:szCs w:val="16"/>
      </w:rPr>
    </w:pPr>
    <w:r>
      <w:rPr>
        <w:rFonts w:eastAsiaTheme="minorEastAsia"/>
        <w:noProof/>
        <w:sz w:val="16"/>
        <w:szCs w:val="16"/>
      </w:rPr>
      <w:t>Data and Automation Editor</w:t>
    </w:r>
    <w:r w:rsidR="000D13EC">
      <w:rPr>
        <w:rFonts w:eastAsiaTheme="minorEastAsia"/>
        <w:noProof/>
        <w:sz w:val="16"/>
        <w:szCs w:val="16"/>
      </w:rPr>
      <w:t>, Bankrate</w:t>
    </w:r>
  </w:p>
  <w:p w:rsidR="000D13EC" w:rsidRDefault="000D13EC" w:rsidP="000D13EC">
    <w:pPr>
      <w:pStyle w:val="Header"/>
    </w:pPr>
    <w:r>
      <w:rPr>
        <w:rFonts w:eastAsiaTheme="minorEastAsia"/>
        <w:noProof/>
        <w:sz w:val="16"/>
        <w:szCs w:val="16"/>
      </w:rPr>
      <w:t>E-mail: elaine.chan@bankrate.com</w:t>
    </w:r>
  </w:p>
  <w:p w:rsidR="00220942" w:rsidRDefault="00220942" w:rsidP="00220942">
    <w:pPr>
      <w:rPr>
        <w:rFonts w:eastAsiaTheme="minorEastAsia"/>
        <w:noProof/>
        <w:sz w:val="16"/>
        <w:szCs w:val="16"/>
      </w:rPr>
    </w:pPr>
    <w:r>
      <w:rPr>
        <w:rFonts w:eastAsiaTheme="minorEastAsia"/>
        <w:noProof/>
        <w:sz w:val="16"/>
        <w:szCs w:val="16"/>
      </w:rPr>
      <w:t>Phone: (917) 763-0462</w:t>
    </w:r>
  </w:p>
  <w:p w:rsidR="00220942" w:rsidRDefault="002209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13DCC"/>
    <w:multiLevelType w:val="hybridMultilevel"/>
    <w:tmpl w:val="D94E4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14DDB"/>
    <w:multiLevelType w:val="hybridMultilevel"/>
    <w:tmpl w:val="89E6A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70E"/>
    <w:rsid w:val="000359D2"/>
    <w:rsid w:val="00070613"/>
    <w:rsid w:val="000D13EC"/>
    <w:rsid w:val="00220942"/>
    <w:rsid w:val="00314216"/>
    <w:rsid w:val="003738BA"/>
    <w:rsid w:val="003F50A1"/>
    <w:rsid w:val="005A56EF"/>
    <w:rsid w:val="0063172A"/>
    <w:rsid w:val="007E2A2C"/>
    <w:rsid w:val="00860F15"/>
    <w:rsid w:val="008B0F36"/>
    <w:rsid w:val="008F2D0D"/>
    <w:rsid w:val="0095005A"/>
    <w:rsid w:val="00A354FB"/>
    <w:rsid w:val="00A53333"/>
    <w:rsid w:val="00A90C45"/>
    <w:rsid w:val="00B0386D"/>
    <w:rsid w:val="00BC5DD9"/>
    <w:rsid w:val="00BE467E"/>
    <w:rsid w:val="00CB7959"/>
    <w:rsid w:val="00DF070E"/>
    <w:rsid w:val="00F00221"/>
    <w:rsid w:val="00F1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1D110-7A98-4B7E-8BBB-16A6CE43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33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333"/>
    <w:pPr>
      <w:ind w:left="720"/>
    </w:pPr>
  </w:style>
  <w:style w:type="character" w:styleId="Hyperlink">
    <w:name w:val="Hyperlink"/>
    <w:basedOn w:val="DefaultParagraphFont"/>
    <w:uiPriority w:val="99"/>
    <w:unhideWhenUsed/>
    <w:rsid w:val="0022094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09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0942"/>
  </w:style>
  <w:style w:type="paragraph" w:styleId="Footer">
    <w:name w:val="footer"/>
    <w:basedOn w:val="Normal"/>
    <w:link w:val="FooterChar"/>
    <w:uiPriority w:val="99"/>
    <w:unhideWhenUsed/>
    <w:rsid w:val="002209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0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6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vidalbouy.net/cityvalue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D77B7-4557-47AF-AA40-890786750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5373</TotalTime>
  <Pages>8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Chan</dc:creator>
  <cp:keywords/>
  <dc:description/>
  <cp:lastModifiedBy>Elaine Chan</cp:lastModifiedBy>
  <cp:revision>10</cp:revision>
  <dcterms:created xsi:type="dcterms:W3CDTF">2016-04-07T12:01:00Z</dcterms:created>
  <dcterms:modified xsi:type="dcterms:W3CDTF">2016-04-11T15:31:00Z</dcterms:modified>
</cp:coreProperties>
</file>