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644" w:rsidRPr="00676694" w:rsidRDefault="00735644" w:rsidP="007356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  </w:t>
      </w:r>
      <w:hyperlink r:id="rId5" w:history="1">
        <w:r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Governança de Dados em Data Lake</w:t>
        </w:r>
      </w:hyperlink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735644" w:rsidRPr="00676694" w:rsidRDefault="00AA3A0E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="00735644"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Como promover a Governança em um Data Lake</w:t>
        </w:r>
      </w:hyperlink>
    </w:p>
    <w:p w:rsidR="00CF5459" w:rsidRPr="00676694" w:rsidRDefault="00CF5459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Governança Corporativa</w:t>
      </w:r>
    </w:p>
    <w:p w:rsidR="008C6A28" w:rsidRPr="00676694" w:rsidRDefault="005B3C21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>Governança é um tema da alta administração d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empresas maduras,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>na maioria das vezes é uma exigência dos acionistas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e a sua implantação tem como objetivo estratégico a obtenção de </w:t>
      </w:r>
      <w:proofErr w:type="gramStart"/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>melhores</w:t>
      </w:r>
      <w:proofErr w:type="gramEnd"/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resultados nos negócios, através da definição, medição e divulgação das de </w:t>
      </w:r>
      <w:r w:rsidR="005F5D7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grandes 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metas da organização. </w:t>
      </w:r>
    </w:p>
    <w:p w:rsidR="00735644" w:rsidRPr="00676694" w:rsidRDefault="005F5D7E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Podemos definir 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>governança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>com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um conjunto de processos e procedimentos para atingir os objetivos estratégicos de uma organização, ou também, como 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>uma prática de planejar, controlar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735644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medir e divulgar os resultados da estratégia das empresas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B3C21" w:rsidRPr="00676694" w:rsidRDefault="005B3C21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Deve-se implantar a governança para atingir os objetivos estratégicos de uma organização, para isso é necessário definir e acompanhar a implantação de programas alinhados a estratégia</w:t>
      </w:r>
      <w:r w:rsidR="00AA3A0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para obtenção de melhores resultados</w:t>
      </w:r>
      <w:r w:rsidR="008C6A28" w:rsidRPr="006766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12B7C" w:rsidRPr="00676694" w:rsidRDefault="00412B7C" w:rsidP="00412B7C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Para que haja um forte engajamento das pessoas com a governança, é importante estabelecer os responsáveis para ca</w:t>
      </w:r>
      <w:r w:rsidR="00226D64" w:rsidRPr="0067669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a atividade, os fóruns para definição, estudo e de tomada de decisão.</w:t>
      </w:r>
    </w:p>
    <w:p w:rsidR="00412B7C" w:rsidRPr="00676694" w:rsidRDefault="00412B7C" w:rsidP="00412B7C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Estrutura de Governança Corporativa</w:t>
      </w:r>
    </w:p>
    <w:p w:rsidR="00412B7C" w:rsidRPr="00676694" w:rsidRDefault="00412B7C" w:rsidP="00412B7C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660B2AB" wp14:editId="76B33AA9">
            <wp:extent cx="5400040" cy="381952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P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64" w:rsidRPr="00676694" w:rsidRDefault="00226D64" w:rsidP="00412B7C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676694">
        <w:rPr>
          <w:rFonts w:ascii="Arial" w:eastAsia="Times New Roman" w:hAnsi="Arial" w:cs="Arial"/>
          <w:sz w:val="16"/>
          <w:szCs w:val="16"/>
          <w:lang w:eastAsia="pt-BR"/>
        </w:rPr>
        <w:t xml:space="preserve">Fonte: </w:t>
      </w:r>
      <w:hyperlink r:id="rId8" w:history="1">
        <w:r w:rsidRPr="00676694">
          <w:rPr>
            <w:rStyle w:val="Hyperlink"/>
            <w:rFonts w:ascii="Arial" w:eastAsia="Times New Roman" w:hAnsi="Arial" w:cs="Arial"/>
            <w:sz w:val="16"/>
            <w:szCs w:val="16"/>
            <w:lang w:eastAsia="pt-BR"/>
          </w:rPr>
          <w:t>https://www.itau.com.br/relacoes-com-investidores/Home.aspx?linguagem=pt</w:t>
        </w:r>
      </w:hyperlink>
      <w:r w:rsidRPr="00676694">
        <w:rPr>
          <w:rFonts w:ascii="Arial" w:eastAsia="Times New Roman" w:hAnsi="Arial" w:cs="Arial"/>
          <w:sz w:val="16"/>
          <w:szCs w:val="16"/>
          <w:lang w:eastAsia="pt-BR"/>
        </w:rPr>
        <w:t xml:space="preserve"> – consulta em 28/10/2020</w:t>
      </w:r>
    </w:p>
    <w:p w:rsidR="00412B7C" w:rsidRPr="00676694" w:rsidRDefault="00412B7C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77AA5" w:rsidRPr="00676694" w:rsidRDefault="005F5D7E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Algumas empresas</w:t>
      </w:r>
      <w:r w:rsidR="001418E2"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250D73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com a governança corporativa</w:t>
      </w:r>
      <w:r w:rsidR="00A22698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já estabelecida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A22698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a partir do</w:t>
      </w:r>
      <w:r w:rsidR="001D0471" w:rsidRPr="0067669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26D64" w:rsidRPr="00676694">
        <w:rPr>
          <w:rFonts w:ascii="Arial" w:eastAsia="Times New Roman" w:hAnsi="Arial" w:cs="Arial"/>
          <w:sz w:val="24"/>
          <w:szCs w:val="24"/>
          <w:lang w:eastAsia="pt-BR"/>
        </w:rPr>
        <w:t>conselh</w:t>
      </w:r>
      <w:r w:rsidR="001D0471" w:rsidRPr="00676694">
        <w:rPr>
          <w:rFonts w:ascii="Arial" w:eastAsia="Times New Roman" w:hAnsi="Arial" w:cs="Arial"/>
          <w:sz w:val="24"/>
          <w:szCs w:val="24"/>
          <w:lang w:eastAsia="pt-BR"/>
        </w:rPr>
        <w:t>eiros</w:t>
      </w:r>
      <w:r w:rsidR="00226D64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da administração ou seu </w:t>
      </w:r>
      <w:r w:rsidR="00AA3A0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Presidente </w:t>
      </w:r>
      <w:r w:rsidR="001D047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seus </w:t>
      </w:r>
      <w:r w:rsidR="00AA3A0E" w:rsidRPr="00676694">
        <w:rPr>
          <w:rFonts w:ascii="Arial" w:eastAsia="Times New Roman" w:hAnsi="Arial" w:cs="Arial"/>
          <w:sz w:val="24"/>
          <w:szCs w:val="24"/>
          <w:lang w:eastAsia="pt-BR"/>
        </w:rPr>
        <w:t>Vices Presidentes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defini as grandes metas de médio e longo prazo, este </w:t>
      </w:r>
      <w:r w:rsidR="00226D64" w:rsidRPr="00676694">
        <w:rPr>
          <w:rFonts w:ascii="Arial" w:eastAsia="Times New Roman" w:hAnsi="Arial" w:cs="Arial"/>
          <w:sz w:val="24"/>
          <w:szCs w:val="24"/>
          <w:lang w:eastAsia="pt-BR"/>
        </w:rPr>
        <w:t>encontro</w:t>
      </w:r>
      <w:r w:rsidR="00D77AA5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r w:rsidR="00226D64" w:rsidRPr="00676694">
        <w:rPr>
          <w:rFonts w:ascii="Arial" w:eastAsia="Times New Roman" w:hAnsi="Arial" w:cs="Arial"/>
          <w:sz w:val="24"/>
          <w:szCs w:val="24"/>
          <w:lang w:eastAsia="pt-BR"/>
        </w:rPr>
        <w:t>reunião</w:t>
      </w:r>
      <w:r w:rsidR="00D77AA5"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226D64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pode ser definido com</w:t>
      </w:r>
      <w:r w:rsidR="00A22698" w:rsidRPr="0067669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67669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steering</w:t>
      </w:r>
      <w:proofErr w:type="spellEnd"/>
      <w:r w:rsidRPr="0067669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67669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comite</w:t>
      </w:r>
      <w:proofErr w:type="spellEnd"/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ou comitê </w:t>
      </w:r>
      <w:r w:rsidR="00A4216C" w:rsidRPr="00676694">
        <w:rPr>
          <w:rFonts w:ascii="Arial" w:eastAsia="Times New Roman" w:hAnsi="Arial" w:cs="Arial"/>
          <w:sz w:val="24"/>
          <w:szCs w:val="24"/>
          <w:lang w:eastAsia="pt-BR"/>
        </w:rPr>
        <w:t>executivo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226D64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ou ainda comitê estratégico,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a partir desta definição, é possível 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submeter ao PMO para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detalhamento </w:t>
      </w:r>
      <w:r w:rsidR="00A22698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de um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programa (conjunto de projetos </w:t>
      </w:r>
      <w:r w:rsidR="001D047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ou de esforços ou de ações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com objetivo </w:t>
      </w:r>
      <w:r w:rsidR="001D047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de produzir um bem ou serviço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em comum), </w:t>
      </w:r>
      <w:r w:rsidR="006265C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também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é nomeado um patrocinador </w:t>
      </w:r>
      <w:r w:rsidR="001D047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(uma pessoa ou um grupo de pessoas que fornece recursos e suporte financeiro para o programa), </w:t>
      </w:r>
      <w:r w:rsidR="00250D73" w:rsidRPr="00676694">
        <w:rPr>
          <w:rFonts w:ascii="Arial" w:eastAsia="Times New Roman" w:hAnsi="Arial" w:cs="Arial"/>
          <w:sz w:val="24"/>
          <w:szCs w:val="24"/>
          <w:lang w:eastAsia="pt-BR"/>
        </w:rPr>
        <w:t>da alta administração</w:t>
      </w:r>
      <w:r w:rsidR="00D77AA5" w:rsidRPr="006766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77AA5" w:rsidRPr="00676694" w:rsidRDefault="00D77AA5" w:rsidP="00D77AA5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 PMO, Project Management Office, ou em português, Escritório de Gerenciamento de Projetos.</w:t>
      </w:r>
    </w:p>
    <w:p w:rsidR="00D77AA5" w:rsidRPr="00676694" w:rsidRDefault="00D77AA5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O PMO tem como objetivo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desenvolver e fornecer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 intelectuais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processos e procedimentos para definição do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planejamento das atividades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3397B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pessoas  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03397B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aquisições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necessária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para execução, a qual fornece um estudo prévio de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prazo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 de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entregáveis, critérios de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qualidade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aceitação, também fornece um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orçamento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prévio para atingimento dos objetivos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com </w:t>
      </w:r>
      <w:r w:rsidR="0003397B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integração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de pessoas, áreas e ferramentas, identificação e monitoramento de </w:t>
      </w:r>
      <w:r w:rsidR="0003397B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riscos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a </w:t>
      </w:r>
      <w:r w:rsidR="0003397B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do andamento do programa </w:t>
      </w:r>
      <w:r w:rsidR="00D26237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performance e resultados medidos por indicadores pré-definidos para 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r w:rsidR="0003397B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partes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3397B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envolvidas</w:t>
      </w:r>
      <w:r w:rsidR="0003397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nos diversos fóruns comitês e demais canais.</w:t>
      </w:r>
    </w:p>
    <w:p w:rsidR="00A3210F" w:rsidRPr="00676694" w:rsidRDefault="00A22698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Ao receber uma demanda do comitê executivo, o responsável pelo PMO, seleciona uma pessoa e </w:t>
      </w:r>
      <w:r w:rsidR="00505A87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apresenta como Gerente do Programa, esta pessoa tem como responsabilidade, </w:t>
      </w:r>
      <w:r w:rsidR="00A3210F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entender a demanda e 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>definir, planejar, executar, monitorar e divulgar os resultados do programa</w:t>
      </w:r>
      <w:r w:rsidR="00A3210F" w:rsidRPr="006766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F265E" w:rsidRPr="00676694" w:rsidRDefault="00505A87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F265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ara uma melhor contextualização do nosso artigo, vamos descrever 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685556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objetivo </w:t>
      </w:r>
      <w:r w:rsidR="00A3210F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do programa </w:t>
      </w:r>
      <w:r w:rsidR="001F265E" w:rsidRPr="00676694">
        <w:rPr>
          <w:rFonts w:ascii="Arial" w:eastAsia="Times New Roman" w:hAnsi="Arial" w:cs="Arial"/>
          <w:sz w:val="24"/>
          <w:szCs w:val="24"/>
          <w:lang w:eastAsia="pt-BR"/>
        </w:rPr>
        <w:t>como “</w:t>
      </w:r>
      <w:r w:rsidR="00685556" w:rsidRPr="00676694">
        <w:rPr>
          <w:rFonts w:ascii="Arial" w:eastAsia="Times New Roman" w:hAnsi="Arial" w:cs="Arial"/>
          <w:sz w:val="24"/>
          <w:szCs w:val="24"/>
          <w:lang w:eastAsia="pt-BR"/>
        </w:rPr>
        <w:t>adequação a legislação de proteção dos dados</w:t>
      </w:r>
      <w:r w:rsidR="001F265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85556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identificar e corrigir </w:t>
      </w:r>
      <w:r w:rsidR="001F265E" w:rsidRPr="00676694">
        <w:rPr>
          <w:rFonts w:ascii="Arial" w:eastAsia="Times New Roman" w:hAnsi="Arial" w:cs="Arial"/>
          <w:sz w:val="24"/>
          <w:szCs w:val="24"/>
          <w:lang w:eastAsia="pt-BR"/>
        </w:rPr>
        <w:t>possíveis vazamentos de informação ou acesso indevido, com fins alheios aos interesses da empresa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, que possam vir a trazer algum prejuízo financeiro</w:t>
      </w:r>
      <w:r w:rsidR="00685556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via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indenizações ou a imagem da empresa</w:t>
      </w:r>
      <w:r w:rsidR="001F265E" w:rsidRPr="00676694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685556" w:rsidRPr="006766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F265E" w:rsidRPr="00676694" w:rsidRDefault="00390F91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</w:t>
      </w:r>
      <w:r w:rsidR="00685556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áreas de suporte intelectual e operacional,</w:t>
      </w:r>
      <w:r w:rsidR="00685556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Pessoas, </w:t>
      </w:r>
      <w:r w:rsidR="00685556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Tecnologia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Jurídico</w:t>
      </w:r>
    </w:p>
    <w:p w:rsidR="00685556" w:rsidRPr="00676694" w:rsidRDefault="00685556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Conforme nosso artigo, a área de tecnologia 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juntamente com a área Jurídica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tem papel fundamental no programa, </w:t>
      </w:r>
      <w:r w:rsidR="00EB776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é a partir 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das necessidades apresentadas pelo jurídico que os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estudos tecnológicos que são 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realizados, 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algumas alternativas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são discutidas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, sendo</w:t>
      </w:r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necessário estabelecer um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grupo multidisciplinar com pessoas capacitadas em suas áreas de conhecimento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para administrar os dados da empresa, canais de entrada, transformação e armazenamento</w:t>
      </w:r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este grupo </w:t>
      </w:r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>pode recomendar um estudo de maturidade da empresa em relação ao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s </w:t>
      </w:r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dados, 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onde </w:t>
      </w:r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>estão e como são protegidos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>. O grupo pode definir o uso conceitual d</w:t>
      </w:r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>DataLake</w:t>
      </w:r>
      <w:proofErr w:type="spellEnd"/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>, e neste momento é submetido ao PMO a carta de viabilidade, recursos intelectuais aquisições necessárias, b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7C7C4B" w:rsidRPr="00676694">
        <w:rPr>
          <w:rFonts w:ascii="Arial" w:eastAsia="Times New Roman" w:hAnsi="Arial" w:cs="Arial"/>
          <w:sz w:val="24"/>
          <w:szCs w:val="24"/>
          <w:lang w:eastAsia="pt-BR"/>
        </w:rPr>
        <w:t>m como plano de implantação e de investimentos.</w:t>
      </w:r>
    </w:p>
    <w:p w:rsidR="007C7C4B" w:rsidRPr="00676694" w:rsidRDefault="007C7C4B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</w:t>
      </w:r>
      <w:r w:rsidR="00390F91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 áreas de monitoramento,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Auditoria e Controles Internos</w:t>
      </w:r>
    </w:p>
    <w:p w:rsidR="00685556" w:rsidRPr="00676694" w:rsidRDefault="007C7C4B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Como vimos, nossa demanda é para atender a legislação, e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como vamos tratar de riscos operacionais e de imagem da organização afim de evitar prejuízos financeiros, as áreas de auditoria e controles internos define como avaliar o programa, e fazem recomendações de políticas e regras de </w:t>
      </w:r>
      <w:r w:rsidR="00AF2B57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proteção e </w:t>
      </w:r>
      <w:r w:rsidR="00390F91" w:rsidRPr="00676694">
        <w:rPr>
          <w:rFonts w:ascii="Arial" w:eastAsia="Times New Roman" w:hAnsi="Arial" w:cs="Arial"/>
          <w:sz w:val="24"/>
          <w:szCs w:val="24"/>
          <w:lang w:eastAsia="pt-BR"/>
        </w:rPr>
        <w:t>ac</w:t>
      </w:r>
      <w:r w:rsidR="00AF2B57" w:rsidRPr="00676694">
        <w:rPr>
          <w:rFonts w:ascii="Arial" w:eastAsia="Times New Roman" w:hAnsi="Arial" w:cs="Arial"/>
          <w:sz w:val="24"/>
          <w:szCs w:val="24"/>
          <w:lang w:eastAsia="pt-BR"/>
        </w:rPr>
        <w:t>esso aos dados, também desenvolvem um checklist de verificação para acompanhamento durante a implantação e após sua operacionalização.</w:t>
      </w:r>
    </w:p>
    <w:p w:rsidR="00AF2B57" w:rsidRPr="00676694" w:rsidRDefault="00AF2B57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 áreas de negócios, log</w:t>
      </w:r>
      <w:r w:rsidR="008458C0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í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stica e produção</w:t>
      </w:r>
    </w:p>
    <w:p w:rsidR="008458C0" w:rsidRPr="00676694" w:rsidRDefault="00AF2B57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Atualmente temos fonte infinita para captura dos dados, que pode ser por um aplicativo com interação humana, </w:t>
      </w:r>
      <w:proofErr w:type="spellStart"/>
      <w:r w:rsidRPr="00676694">
        <w:rPr>
          <w:rFonts w:ascii="Arial" w:eastAsia="Times New Roman" w:hAnsi="Arial" w:cs="Arial"/>
          <w:sz w:val="24"/>
          <w:szCs w:val="24"/>
          <w:lang w:eastAsia="pt-BR"/>
        </w:rPr>
        <w:t>IoT</w:t>
      </w:r>
      <w:proofErr w:type="spellEnd"/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aprendizado de máquina, sinais e transmissores de qualquer natureza, ás áreas de negócios, mais do que nunca estão entrelaçadas com a ás áreas de logística e produção, pois um pedido de manufatura, não necessariamente passa por uma pessoa, as vendas são realizadas por uma </w:t>
      </w:r>
      <w:proofErr w:type="spellStart"/>
      <w:r w:rsidRPr="00676694">
        <w:rPr>
          <w:rFonts w:ascii="Arial" w:eastAsia="Times New Roman" w:hAnsi="Arial" w:cs="Arial"/>
          <w:sz w:val="24"/>
          <w:szCs w:val="24"/>
          <w:lang w:eastAsia="pt-BR"/>
        </w:rPr>
        <w:t>coke</w:t>
      </w:r>
      <w:proofErr w:type="spellEnd"/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676694">
        <w:rPr>
          <w:rFonts w:ascii="Arial" w:eastAsia="Times New Roman" w:hAnsi="Arial" w:cs="Arial"/>
          <w:sz w:val="24"/>
          <w:szCs w:val="24"/>
          <w:lang w:eastAsia="pt-BR"/>
        </w:rPr>
        <w:t>coffe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spellEnd"/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676694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676694">
        <w:rPr>
          <w:rFonts w:ascii="Arial" w:eastAsia="Times New Roman" w:hAnsi="Arial" w:cs="Arial"/>
          <w:sz w:val="24"/>
          <w:szCs w:val="24"/>
          <w:lang w:eastAsia="pt-BR"/>
        </w:rPr>
        <w:t>, os pedidos são enviados automaticamente para logística que cuida da distribuição, que pode ser no modelo tradicional, usando carros e equipamentos com operador, ou até nos modelos atuais de drones, carros e equipamentos autônomos, responsáveis pelo abastecimentos</w:t>
      </w:r>
      <w:r w:rsidR="008458C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dos estoques finais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, que a partir de métricas de armazenamento, dispara um pedido de produção aos setores de manufatura, e não se trata apenas de um produto, pode ser um serviço ligado a vida, que faz o diagnóstico conforme parâmetros pré</w:t>
      </w:r>
      <w:r w:rsidR="008458C0" w:rsidRPr="00676694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estabelecidos</w:t>
      </w:r>
      <w:r w:rsidR="008458C0" w:rsidRPr="00676694">
        <w:rPr>
          <w:rFonts w:ascii="Arial" w:eastAsia="Times New Roman" w:hAnsi="Arial" w:cs="Arial"/>
          <w:sz w:val="24"/>
          <w:szCs w:val="24"/>
          <w:lang w:eastAsia="pt-BR"/>
        </w:rPr>
        <w:t>, e envia para um sistema que a partir de indicadores faz análise e recomendações para evitar enfermidades e a até morte, maquinas ligadas a vida monitoram sinais vitais e a partir da dinâmica do aprendizado de máquina, verifica-se a suplementação vitamínica e/ou proteica necessária.</w:t>
      </w:r>
    </w:p>
    <w:p w:rsidR="00C524CB" w:rsidRPr="00676694" w:rsidRDefault="008458C0" w:rsidP="00C524CB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A origem</w:t>
      </w:r>
      <w:r w:rsidR="00C524CB" w:rsidRPr="00676694">
        <w:rPr>
          <w:rFonts w:ascii="Arial" w:eastAsia="Times New Roman" w:hAnsi="Arial" w:cs="Arial"/>
          <w:sz w:val="24"/>
          <w:szCs w:val="24"/>
          <w:lang w:eastAsia="pt-BR"/>
        </w:rPr>
        <w:t>, os canais de captura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o formato dos dados não tem tanta importância em relação ao armazenamento, pois devemos estar preparados para armazenar </w:t>
      </w:r>
      <w:r w:rsidR="00C524C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todo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tipo de dado, mas para implementar uma estratégia de proteção e acesso aos dados, as áreas de negócios devem </w:t>
      </w:r>
      <w:r w:rsidR="00C524C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conhecer profundamente qual o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tipo de informação </w:t>
      </w:r>
      <w:r w:rsidR="00C524C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é importante para alavancar os negócios</w:t>
      </w:r>
      <w:r w:rsidR="00C524C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bem como o tipo de acesso que cada pessoa ou grupo de pessoas devem ter em seus canais de captura e inserção de dados e 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manipulação de </w:t>
      </w:r>
      <w:r w:rsidR="00C524CB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relatórios. </w:t>
      </w:r>
    </w:p>
    <w:p w:rsidR="00CF5459" w:rsidRPr="00676694" w:rsidRDefault="00C524CB" w:rsidP="00CF5459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Um pedido de venda originado pela área de negócios, em seus infinitos canais, contém informações que devem ser protegidas, como dados pessoais do comprador, documentos, endereço forma de pagamento, e de suas preferências de compra, produtos, preços, quantidade e intervalos de compras, pois ele passa pelo setor produtivo, onde é feito o planejamento de produção com dados do produto</w:t>
      </w:r>
      <w:r w:rsidR="00C9727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quantidade, e depois enviado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>s ao cliente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C9727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ou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C9727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um cliente que abre uma conta bancária por um canal digital, informa seus dados pessoais e patrimoniais, necessita transitar informações financeiras de uma organização para outra, e recebe as suas correspondências físicas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ou</w:t>
      </w:r>
      <w:r w:rsidR="009158C1"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no envio de um pedido de vitamina D para uma farmácia, gerado por um equipamento ligado a vida, em comum, todos passam por um setor de logística e de distribuição, que pode ter muitas pessoas, através de suas empresas, 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parcerias e terceirizações e envolvidas com a informação, assim, e</w:t>
      </w:r>
      <w:r w:rsidR="00C9727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mbora tenhamos um ponto de encontro dos dados, 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eles </w:t>
      </w:r>
      <w:r w:rsidR="00C97270" w:rsidRPr="00676694">
        <w:rPr>
          <w:rFonts w:ascii="Arial" w:eastAsia="Times New Roman" w:hAnsi="Arial" w:cs="Arial"/>
          <w:sz w:val="24"/>
          <w:szCs w:val="24"/>
          <w:lang w:eastAsia="pt-BR"/>
        </w:rPr>
        <w:t>estão replicados em outras estruturas de dados nos canais de parceria ou de prestação de serviços, sendo necessário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uma política completa para</w:t>
      </w:r>
      <w:r w:rsidR="00C9727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a fragmentação da informação,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de modo que cada acesso seja monitora</w:t>
      </w:r>
      <w:r w:rsidR="002876DC" w:rsidRPr="00676694">
        <w:rPr>
          <w:rFonts w:ascii="Arial" w:eastAsia="Times New Roman" w:hAnsi="Arial" w:cs="Arial"/>
          <w:sz w:val="24"/>
          <w:szCs w:val="24"/>
          <w:lang w:eastAsia="pt-BR"/>
        </w:rPr>
        <w:t>do</w:t>
      </w:r>
      <w:r w:rsidR="00CF545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controlado, uma definição clara de quem pode ver o que, de forma centralizada na origem da demanda, o demandado deve controlar e proteger a informação nos diversos canais, oferecendo acesso seguro e simplificado nas suas relações empresariais.</w:t>
      </w:r>
    </w:p>
    <w:p w:rsidR="002876DC" w:rsidRPr="00676694" w:rsidRDefault="002876DC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A3210F" w:rsidRPr="00676694" w:rsidRDefault="00A3210F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Escritório de Investimentos</w:t>
      </w:r>
    </w:p>
    <w:p w:rsidR="00A3210F" w:rsidRPr="00676694" w:rsidRDefault="00A3210F" w:rsidP="00A3210F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Após viabilidade técnica e identificação das áreas envolvidas e suas responsabilidades, o programa é apresentado no escritório de investimentos pelo patrocinador, gerente do programa e os executivos das áreas envolvidas. O escritório de investimento tem uma cadeira permanente no comitê </w:t>
      </w:r>
      <w:r w:rsidR="002876DC" w:rsidRPr="00676694">
        <w:rPr>
          <w:rFonts w:ascii="Arial" w:eastAsia="Times New Roman" w:hAnsi="Arial" w:cs="Arial"/>
          <w:sz w:val="24"/>
          <w:szCs w:val="24"/>
          <w:lang w:eastAsia="pt-BR"/>
        </w:rPr>
        <w:t>executivo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, tem como responsabilidade estabelecer processos e procedimentos para análise de viabilidade financeira, ferramentas e técnicas para definição e controle de orçamento para liberação de recursos financeiros conforme entregas realizadas e o monitoramento do retorno do investimento.</w:t>
      </w:r>
    </w:p>
    <w:p w:rsidR="00AF2B57" w:rsidRPr="00676694" w:rsidRDefault="00A3210F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Governança Data</w:t>
      </w:r>
      <w:r w:rsidR="002876DC"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Lake</w:t>
      </w:r>
    </w:p>
    <w:p w:rsidR="00AF2B57" w:rsidRPr="00676694" w:rsidRDefault="00A3210F" w:rsidP="008C6A2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Agora que entendemos o que precisa ser feito, quem faz o que e quando e qual o investimento, é desenvolvida a governança 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>para 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Data</w:t>
      </w:r>
      <w:r w:rsidR="002876DC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Lake, um dos itens mais importante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é 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fator de sucesso do programa, </w:t>
      </w:r>
      <w:r w:rsidR="002876DC" w:rsidRPr="00676694">
        <w:rPr>
          <w:rFonts w:ascii="Arial" w:eastAsia="Times New Roman" w:hAnsi="Arial" w:cs="Arial"/>
          <w:sz w:val="24"/>
          <w:szCs w:val="24"/>
          <w:lang w:eastAsia="pt-BR"/>
        </w:rPr>
        <w:t>que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após definida, deve ser submetida para aprovação do comitê executivo, que aprovada com pessoas, fóruns e responsabilidades, inicia o trabalho.</w:t>
      </w:r>
    </w:p>
    <w:p w:rsidR="00735644" w:rsidRPr="00676694" w:rsidRDefault="00F3644A" w:rsidP="00550A5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Estrutura de governan</w:t>
      </w:r>
      <w:r w:rsidRPr="006766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ça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de um Data</w:t>
      </w:r>
      <w:r w:rsidR="002876DC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Lake</w:t>
      </w:r>
    </w:p>
    <w:p w:rsidR="00F3644A" w:rsidRPr="00676694" w:rsidRDefault="00F3644A" w:rsidP="00550A5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86400" cy="32004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644A" w:rsidRPr="00676694" w:rsidRDefault="00F3644A" w:rsidP="00550A5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5644" w:rsidRPr="00676694" w:rsidRDefault="00AA3A0E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14" w:history="1">
        <w:r w:rsidR="00F3644A"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</w:t>
        </w:r>
        <w:r w:rsidR="00735644"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 xml:space="preserve">omitê </w:t>
        </w:r>
        <w:r w:rsidR="00F3644A"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Executivo</w:t>
        </w:r>
      </w:hyperlink>
    </w:p>
    <w:p w:rsidR="00F3644A" w:rsidRPr="00676694" w:rsidRDefault="00550A58" w:rsidP="00AA3A0E">
      <w:pPr>
        <w:spacing w:before="100"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comitê 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executivo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deve ser formado por executivos das diversas áreas envolvidas com dados, desde a 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>captação pelos diversos canais, pela transformação por infinitos sistemas, aplicativos e máquinas, até o armazenamento, proteção e disponibilização da informação.</w:t>
      </w:r>
      <w:r w:rsidR="00AA3A0E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Mensalmente, d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>elibera e aprova ações e recursos necessários para completude do programa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876DC" w:rsidRPr="00676694" w:rsidRDefault="002876DC" w:rsidP="00550A5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</w:pPr>
    </w:p>
    <w:p w:rsidR="00F3644A" w:rsidRPr="00676694" w:rsidRDefault="00F3644A" w:rsidP="00550A5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</w:pPr>
      <w:r w:rsidRPr="00676694"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  <w:t>Comitê Operacional</w:t>
      </w:r>
    </w:p>
    <w:p w:rsidR="00F3644A" w:rsidRPr="00676694" w:rsidRDefault="00AA3A0E" w:rsidP="00F3644A">
      <w:pPr>
        <w:spacing w:before="100"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Formado por representantes executivos e especialistas de cada área, aprova o detalhamento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>programa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s recursos intelectuais, 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>realiza integração entre áreas, identifica riscos (ameaças e oportunidades), define critério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de qualidade para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aceitação do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>s entregáveis, faz o monitoramento e controle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divulga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ção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avanço do programa, apresenta resultados e pontos de decisão ao 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omitê </w:t>
      </w:r>
      <w:r w:rsidR="00DD5CF0" w:rsidRPr="00676694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F3644A" w:rsidRPr="00676694">
        <w:rPr>
          <w:rFonts w:ascii="Arial" w:eastAsia="Times New Roman" w:hAnsi="Arial" w:cs="Arial"/>
          <w:sz w:val="24"/>
          <w:szCs w:val="24"/>
          <w:lang w:eastAsia="pt-BR"/>
        </w:rPr>
        <w:t>xecutivo.</w:t>
      </w:r>
    </w:p>
    <w:p w:rsidR="002876DC" w:rsidRPr="00676694" w:rsidRDefault="002876DC" w:rsidP="002876DC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</w:pPr>
      <w:r w:rsidRPr="00676694"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  <w:t>Escritório de Gerenciamento de Dados</w:t>
      </w:r>
    </w:p>
    <w:p w:rsidR="002876DC" w:rsidRPr="00676694" w:rsidRDefault="002876DC" w:rsidP="002876DC">
      <w:pPr>
        <w:spacing w:before="100"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Com uma equipe multidisciplinar f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ormad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por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especialistas de cada área envolvida no programa, atua fortemente em pesquisa e desenvolvimento das melhores práticas para definição dos tipos e formato de dados (metadados), ferramentas para inclusão e manipulação dos dados, formas e técnicas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armazenamento e de proteção da informação.</w:t>
      </w:r>
    </w:p>
    <w:p w:rsidR="00550A58" w:rsidRDefault="00550A58" w:rsidP="004114D3">
      <w:pPr>
        <w:spacing w:before="100"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>Cada empresa pode eleger sobre qual aspecto olhar para os dados, um banco por exempl</w:t>
      </w:r>
      <w:r w:rsidR="004114D3" w:rsidRPr="00676694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, deixar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>á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a responsabilidade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do escritório de gerenciamento dos dados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>para área de risco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de </w:t>
      </w: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capital, onde a partir de modelos matemáticos defini o apetite de risco que a organização quer correr, pois para crescer sua carteira de negócios será necessário um aporte de capital dos acionistas, e este aporte pode ser calculado através da probabilidade de inadimplência da sua carteira, a exposição ao risco no momento da inadimplência e a </w:t>
      </w:r>
      <w:r w:rsidR="00B65D4D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qual a perda provável no momento da inadimplência, tudo isto é calculado para definir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>a perda esperada, o principal indicador na formação d</w:t>
      </w:r>
      <w:r w:rsidR="00B65D4D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 preço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(juros) </w:t>
      </w:r>
      <w:r w:rsidR="00B65D4D" w:rsidRPr="00676694">
        <w:rPr>
          <w:rFonts w:ascii="Arial" w:eastAsia="Times New Roman" w:hAnsi="Arial" w:cs="Arial"/>
          <w:sz w:val="24"/>
          <w:szCs w:val="24"/>
          <w:lang w:eastAsia="pt-BR"/>
        </w:rPr>
        <w:t>que o banco vai cobrar nas suas linhas de crédito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  <w:r w:rsidR="00B65D4D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 se for uma indústria de transformação, provavelmente a área de produção fica com a responsabilidade, pois a partir dos dados recebidos pela área comercial,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dados recebidos pelos fornecedores de matéria prima e a captura das informações das máquinas será possível planejar a produção de forma orquestrada, sem a perda de produção por falta de matéria prima ou produção acima da capacidade de vendas, pois nos dois pode-se gerar prejuízos a empresa; ou uma </w:t>
      </w:r>
      <w:r w:rsidR="003A71D4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rede varejista,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onde </w:t>
      </w:r>
      <w:r w:rsidR="003A71D4" w:rsidRPr="00676694">
        <w:rPr>
          <w:rFonts w:ascii="Arial" w:eastAsia="Times New Roman" w:hAnsi="Arial" w:cs="Arial"/>
          <w:sz w:val="24"/>
          <w:szCs w:val="24"/>
          <w:lang w:eastAsia="pt-BR"/>
        </w:rPr>
        <w:t>tem grande chance de ficar com a área de marketing, pois a partir dos dados recebidos pelos clientes nos seus diversos canais, é possível direcionar o crescimento da empresa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, por </w:t>
      </w:r>
      <w:r w:rsidR="00BE0E19" w:rsidRPr="0067669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produto, região, preço afinidades e até gênero. O importante é que as empresas percebam a necessidade de ter centralizado o gerenciamento dos dados, um lugar para discutir sobre o assunto.</w:t>
      </w:r>
    </w:p>
    <w:p w:rsidR="00676694" w:rsidRDefault="00676694" w:rsidP="004114D3">
      <w:pPr>
        <w:spacing w:before="100" w:beforeAutospacing="1" w:after="100" w:afterAutospacing="1" w:line="24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escritório de gerenciamento de dados pode definir um framework para governança dos dados, hoje existem alguns disponíveis, segundo o autor Barbieri, </w:t>
      </w:r>
      <w:r w:rsidR="00CB0DE8">
        <w:rPr>
          <w:rFonts w:ascii="Arial" w:eastAsia="Times New Roman" w:hAnsi="Arial" w:cs="Arial"/>
          <w:sz w:val="24"/>
          <w:szCs w:val="24"/>
          <w:lang w:eastAsia="pt-BR"/>
        </w:rPr>
        <w:t xml:space="preserve">2019, </w:t>
      </w:r>
      <w:r>
        <w:rPr>
          <w:rFonts w:ascii="Arial" w:eastAsia="Times New Roman" w:hAnsi="Arial" w:cs="Arial"/>
          <w:sz w:val="24"/>
          <w:szCs w:val="24"/>
          <w:lang w:eastAsia="pt-BR"/>
        </w:rPr>
        <w:t>em seu livro Governança de Dados</w:t>
      </w:r>
      <w:r w:rsidR="00CB0DE8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editora Alta Books</w:t>
      </w:r>
      <w:r w:rsidR="00CB0DE8">
        <w:rPr>
          <w:rFonts w:ascii="Arial" w:eastAsia="Times New Roman" w:hAnsi="Arial" w:cs="Arial"/>
          <w:sz w:val="24"/>
          <w:szCs w:val="24"/>
          <w:lang w:eastAsia="pt-BR"/>
        </w:rPr>
        <w:t>, os principais são:</w:t>
      </w:r>
    </w:p>
    <w:p w:rsidR="00CB0DE8" w:rsidRDefault="00CB0DE8" w:rsidP="00CB0DE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B0DE8">
        <w:rPr>
          <w:rFonts w:ascii="Arial" w:eastAsia="Times New Roman" w:hAnsi="Arial" w:cs="Arial"/>
          <w:sz w:val="24"/>
          <w:szCs w:val="24"/>
          <w:lang w:eastAsia="pt-BR"/>
        </w:rPr>
        <w:t xml:space="preserve">5W2H, </w:t>
      </w:r>
      <w:proofErr w:type="spellStart"/>
      <w:r w:rsidRPr="00CB0DE8">
        <w:rPr>
          <w:rFonts w:ascii="Arial" w:eastAsia="Times New Roman" w:hAnsi="Arial" w:cs="Arial"/>
          <w:sz w:val="24"/>
          <w:szCs w:val="24"/>
          <w:lang w:eastAsia="pt-BR"/>
        </w:rPr>
        <w:t>What</w:t>
      </w:r>
      <w:proofErr w:type="spellEnd"/>
      <w:r w:rsidRPr="00CB0DE8">
        <w:rPr>
          <w:rFonts w:ascii="Arial" w:eastAsia="Times New Roman" w:hAnsi="Arial" w:cs="Arial"/>
          <w:sz w:val="24"/>
          <w:szCs w:val="24"/>
          <w:lang w:eastAsia="pt-BR"/>
        </w:rPr>
        <w:t xml:space="preserve"> (o quê), </w:t>
      </w:r>
      <w:proofErr w:type="spellStart"/>
      <w:r w:rsidRPr="00CB0DE8">
        <w:rPr>
          <w:rFonts w:ascii="Arial" w:eastAsia="Times New Roman" w:hAnsi="Arial" w:cs="Arial"/>
          <w:sz w:val="24"/>
          <w:szCs w:val="24"/>
          <w:lang w:eastAsia="pt-BR"/>
        </w:rPr>
        <w:t>Why</w:t>
      </w:r>
      <w:proofErr w:type="spellEnd"/>
      <w:r w:rsidRPr="00CB0DE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CB0DE8">
        <w:rPr>
          <w:rFonts w:ascii="Arial" w:eastAsia="Times New Roman" w:hAnsi="Arial" w:cs="Arial"/>
          <w:sz w:val="24"/>
          <w:szCs w:val="24"/>
          <w:lang w:eastAsia="pt-BR"/>
        </w:rPr>
        <w:t>porqu</w:t>
      </w:r>
      <w:r>
        <w:rPr>
          <w:rFonts w:ascii="Arial" w:eastAsia="Times New Roman" w:hAnsi="Arial" w:cs="Arial"/>
          <w:sz w:val="24"/>
          <w:szCs w:val="24"/>
          <w:lang w:eastAsia="pt-BR"/>
        </w:rPr>
        <w:t>ê</w:t>
      </w:r>
      <w:r w:rsidRPr="00CB0DE8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proofErr w:type="spellStart"/>
      <w:r w:rsidRPr="00CB0DE8">
        <w:rPr>
          <w:rFonts w:ascii="Arial" w:eastAsia="Times New Roman" w:hAnsi="Arial" w:cs="Arial"/>
          <w:sz w:val="24"/>
          <w:szCs w:val="24"/>
          <w:lang w:eastAsia="pt-BR"/>
        </w:rPr>
        <w:t>Where</w:t>
      </w:r>
      <w:proofErr w:type="spellEnd"/>
      <w:r w:rsidRPr="00CB0DE8">
        <w:rPr>
          <w:rFonts w:ascii="Arial" w:eastAsia="Times New Roman" w:hAnsi="Arial" w:cs="Arial"/>
          <w:sz w:val="24"/>
          <w:szCs w:val="24"/>
          <w:lang w:eastAsia="pt-BR"/>
        </w:rPr>
        <w:t xml:space="preserve"> (onde), </w:t>
      </w:r>
      <w:proofErr w:type="spellStart"/>
      <w:r w:rsidRPr="00CB0DE8">
        <w:rPr>
          <w:rFonts w:ascii="Arial" w:eastAsia="Times New Roman" w:hAnsi="Arial" w:cs="Arial"/>
          <w:sz w:val="24"/>
          <w:szCs w:val="24"/>
          <w:lang w:eastAsia="pt-BR"/>
        </w:rPr>
        <w:t>Whe</w:t>
      </w:r>
      <w:r>
        <w:rPr>
          <w:rFonts w:ascii="Arial" w:eastAsia="Times New Roman" w:hAnsi="Arial" w:cs="Arial"/>
          <w:sz w:val="24"/>
          <w:szCs w:val="24"/>
          <w:lang w:eastAsia="pt-BR"/>
        </w:rPr>
        <w:t>n</w:t>
      </w:r>
      <w:proofErr w:type="spellEnd"/>
      <w:r w:rsidRPr="00CB0DE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quando), Who (quem),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(como)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much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(quanto);</w:t>
      </w:r>
    </w:p>
    <w:p w:rsidR="00CB0DE8" w:rsidRDefault="00CB0DE8" w:rsidP="00CB0DE8">
      <w:pPr>
        <w:pStyle w:val="PargrafodaLista"/>
        <w:spacing w:before="100" w:beforeAutospacing="1" w:after="100" w:afterAutospacing="1" w:line="240" w:lineRule="auto"/>
        <w:ind w:left="21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B0DE8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IMAGEM</w:t>
      </w:r>
    </w:p>
    <w:p w:rsidR="00CB0DE8" w:rsidRDefault="00CB0DE8" w:rsidP="00CB0DE8">
      <w:pPr>
        <w:pStyle w:val="PargrafodaLista"/>
        <w:spacing w:before="100" w:beforeAutospacing="1" w:after="100" w:afterAutospacing="1" w:line="240" w:lineRule="auto"/>
        <w:ind w:left="21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0DE8" w:rsidRDefault="00CB0DE8" w:rsidP="00CB0DE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IBM, viabilizadores, disciplinas centrais e disciplinas de apoio;</w:t>
      </w:r>
    </w:p>
    <w:p w:rsidR="00CB0DE8" w:rsidRDefault="00CB0DE8" w:rsidP="00CB0DE8">
      <w:pPr>
        <w:pStyle w:val="PargrafodaLista"/>
        <w:spacing w:before="100" w:beforeAutospacing="1" w:after="100" w:afterAutospacing="1" w:line="240" w:lineRule="auto"/>
        <w:ind w:left="21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B0DE8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IMAGEM</w:t>
      </w:r>
    </w:p>
    <w:p w:rsidR="00CB0DE8" w:rsidRDefault="00CB0DE8" w:rsidP="00CB0DE8">
      <w:pPr>
        <w:pStyle w:val="PargrafodaLista"/>
        <w:spacing w:before="100" w:beforeAutospacing="1" w:after="100" w:afterAutospacing="1" w:line="240" w:lineRule="auto"/>
        <w:ind w:left="21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0DE8" w:rsidRDefault="00CB0DE8" w:rsidP="00CB0DE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6B64">
        <w:rPr>
          <w:rFonts w:ascii="Arial" w:eastAsia="Times New Roman" w:hAnsi="Arial" w:cs="Arial"/>
          <w:sz w:val="24"/>
          <w:szCs w:val="24"/>
          <w:lang w:eastAsia="pt-BR"/>
        </w:rPr>
        <w:t xml:space="preserve">EDM (Enterprise Data Management </w:t>
      </w:r>
      <w:proofErr w:type="spellStart"/>
      <w:r w:rsidRPr="00576B64">
        <w:rPr>
          <w:rFonts w:ascii="Arial" w:eastAsia="Times New Roman" w:hAnsi="Arial" w:cs="Arial"/>
          <w:sz w:val="24"/>
          <w:szCs w:val="24"/>
          <w:lang w:eastAsia="pt-BR"/>
        </w:rPr>
        <w:t>Council</w:t>
      </w:r>
      <w:proofErr w:type="spellEnd"/>
      <w:r w:rsidRPr="00576B64">
        <w:rPr>
          <w:rFonts w:ascii="Arial" w:eastAsia="Times New Roman" w:hAnsi="Arial" w:cs="Arial"/>
          <w:sz w:val="24"/>
          <w:szCs w:val="24"/>
          <w:lang w:eastAsia="pt-BR"/>
        </w:rPr>
        <w:t>) e DCAM (Data Management</w:t>
      </w:r>
      <w:r w:rsidR="00576B64" w:rsidRPr="00576B6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576B64" w:rsidRPr="00576B64">
        <w:rPr>
          <w:rFonts w:ascii="Arial" w:eastAsia="Times New Roman" w:hAnsi="Arial" w:cs="Arial"/>
          <w:sz w:val="24"/>
          <w:szCs w:val="24"/>
          <w:lang w:eastAsia="pt-BR"/>
        </w:rPr>
        <w:t>Capability</w:t>
      </w:r>
      <w:proofErr w:type="spellEnd"/>
      <w:r w:rsidR="00576B64" w:rsidRPr="00576B64">
        <w:rPr>
          <w:rFonts w:ascii="Arial" w:eastAsia="Times New Roman" w:hAnsi="Arial" w:cs="Arial"/>
          <w:sz w:val="24"/>
          <w:szCs w:val="24"/>
          <w:lang w:eastAsia="pt-BR"/>
        </w:rPr>
        <w:t xml:space="preserve"> Assessment </w:t>
      </w:r>
      <w:proofErr w:type="spellStart"/>
      <w:r w:rsidR="00576B64" w:rsidRPr="00576B64">
        <w:rPr>
          <w:rFonts w:ascii="Arial" w:eastAsia="Times New Roman" w:hAnsi="Arial" w:cs="Arial"/>
          <w:sz w:val="24"/>
          <w:szCs w:val="24"/>
          <w:lang w:eastAsia="pt-BR"/>
        </w:rPr>
        <w:t>Model</w:t>
      </w:r>
      <w:proofErr w:type="spellEnd"/>
      <w:r w:rsidR="00576B64" w:rsidRPr="00576B64">
        <w:rPr>
          <w:rFonts w:ascii="Arial" w:eastAsia="Times New Roman" w:hAnsi="Arial" w:cs="Arial"/>
          <w:sz w:val="24"/>
          <w:szCs w:val="24"/>
          <w:lang w:eastAsia="pt-BR"/>
        </w:rPr>
        <w:t>), Ontologia para indústria financei</w:t>
      </w:r>
      <w:r w:rsidR="00576B64">
        <w:rPr>
          <w:rFonts w:ascii="Arial" w:eastAsia="Times New Roman" w:hAnsi="Arial" w:cs="Arial"/>
          <w:sz w:val="24"/>
          <w:szCs w:val="24"/>
          <w:lang w:eastAsia="pt-BR"/>
        </w:rPr>
        <w:t>ra, assessment e networking</w:t>
      </w:r>
    </w:p>
    <w:p w:rsidR="00576B64" w:rsidRDefault="00576B64" w:rsidP="00576B64">
      <w:pPr>
        <w:pStyle w:val="PargrafodaLista"/>
        <w:spacing w:before="100" w:beforeAutospacing="1" w:after="100" w:afterAutospacing="1" w:line="240" w:lineRule="auto"/>
        <w:ind w:left="21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B0DE8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IMAGEM</w:t>
      </w:r>
    </w:p>
    <w:p w:rsidR="00576B64" w:rsidRDefault="00576B64" w:rsidP="00576B64">
      <w:pPr>
        <w:pStyle w:val="PargrafodaLista"/>
        <w:spacing w:before="100" w:beforeAutospacing="1" w:after="100" w:afterAutospacing="1" w:line="240" w:lineRule="auto"/>
        <w:ind w:left="21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6B64" w:rsidRPr="00576B64" w:rsidRDefault="00576B64" w:rsidP="00576B6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6B64">
        <w:rPr>
          <w:rFonts w:ascii="Arial" w:eastAsia="Times New Roman" w:hAnsi="Arial" w:cs="Arial"/>
          <w:sz w:val="24"/>
          <w:szCs w:val="24"/>
          <w:lang w:eastAsia="pt-BR"/>
        </w:rPr>
        <w:t xml:space="preserve">Data Management </w:t>
      </w:r>
      <w:proofErr w:type="spellStart"/>
      <w:r w:rsidRPr="00576B64">
        <w:rPr>
          <w:rFonts w:ascii="Arial" w:eastAsia="Times New Roman" w:hAnsi="Arial" w:cs="Arial"/>
          <w:sz w:val="24"/>
          <w:szCs w:val="24"/>
          <w:lang w:eastAsia="pt-BR"/>
        </w:rPr>
        <w:t>Maturity</w:t>
      </w:r>
      <w:proofErr w:type="spellEnd"/>
      <w:r w:rsidRPr="00576B64">
        <w:rPr>
          <w:rFonts w:ascii="Arial" w:eastAsia="Times New Roman" w:hAnsi="Arial" w:cs="Arial"/>
          <w:sz w:val="24"/>
          <w:szCs w:val="24"/>
          <w:lang w:eastAsia="pt-BR"/>
        </w:rPr>
        <w:t xml:space="preserve"> (DMM) do CMMI </w:t>
      </w:r>
      <w:proofErr w:type="spellStart"/>
      <w:r w:rsidRPr="00576B64">
        <w:rPr>
          <w:rFonts w:ascii="Arial" w:eastAsia="Times New Roman" w:hAnsi="Arial" w:cs="Arial"/>
          <w:sz w:val="24"/>
          <w:szCs w:val="24"/>
          <w:lang w:eastAsia="pt-BR"/>
        </w:rPr>
        <w:t>Institute</w:t>
      </w:r>
      <w:proofErr w:type="spellEnd"/>
      <w:r w:rsidRPr="00576B64">
        <w:rPr>
          <w:rFonts w:ascii="Arial" w:eastAsia="Times New Roman" w:hAnsi="Arial" w:cs="Arial"/>
          <w:sz w:val="24"/>
          <w:szCs w:val="24"/>
          <w:lang w:eastAsia="pt-BR"/>
        </w:rPr>
        <w:t>, estraté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gia de gestão dos dados, governança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do dados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, qualidade dos dados, operação dos dados, plataforma e arquitetura e processos e suporte.</w:t>
      </w:r>
    </w:p>
    <w:p w:rsidR="00576B64" w:rsidRDefault="00576B64" w:rsidP="00576B6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B0DE8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IMAGEM</w:t>
      </w:r>
    </w:p>
    <w:p w:rsidR="00576B64" w:rsidRDefault="00576B64" w:rsidP="00576B64">
      <w:pPr>
        <w:pStyle w:val="PargrafodaLista"/>
        <w:spacing w:before="100" w:beforeAutospacing="1" w:after="100" w:afterAutospacing="1" w:line="240" w:lineRule="auto"/>
        <w:ind w:left="21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1662" w:rsidRPr="001E1662" w:rsidRDefault="00576B64" w:rsidP="001E1662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Dama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DMBok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V2, modelo de alinhamento estratégico, modelo de informações de Amsterdã</w:t>
      </w:r>
      <w:r w:rsidR="001E1662">
        <w:rPr>
          <w:rFonts w:ascii="Arial" w:eastAsia="Times New Roman" w:hAnsi="Arial" w:cs="Arial"/>
          <w:sz w:val="24"/>
          <w:szCs w:val="24"/>
          <w:lang w:eastAsia="pt-BR"/>
        </w:rPr>
        <w:t>, composição, evolução, ética, gerencia de mudanças, Big Data e ciências de dados, maturidade em dados</w:t>
      </w:r>
    </w:p>
    <w:p w:rsidR="00576B64" w:rsidRPr="001E1662" w:rsidRDefault="001E1662" w:rsidP="00576B6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B0DE8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IMAGEM</w:t>
      </w:r>
    </w:p>
    <w:p w:rsidR="00A4216C" w:rsidRPr="00576B64" w:rsidRDefault="00A4216C" w:rsidP="00550A58">
      <w:pPr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5644" w:rsidRPr="00676694" w:rsidRDefault="00AA3A0E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15" w:history="1">
        <w:r w:rsidR="00735644"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Política de acesso a dados</w:t>
        </w:r>
      </w:hyperlink>
    </w:p>
    <w:p w:rsidR="00A4216C" w:rsidRPr="00676694" w:rsidRDefault="00A4216C" w:rsidP="00A421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735644" w:rsidRPr="00676694" w:rsidRDefault="00AA3A0E" w:rsidP="0073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16" w:history="1">
        <w:r w:rsidR="00735644"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Captação, transformação e expurgo dos dados</w:t>
        </w:r>
      </w:hyperlink>
    </w:p>
    <w:p w:rsidR="00A4216C" w:rsidRPr="00676694" w:rsidRDefault="00A4216C" w:rsidP="00735644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A4216C" w:rsidRPr="00676694" w:rsidRDefault="00A4216C" w:rsidP="00735644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:rsidR="00735644" w:rsidRPr="00676694" w:rsidRDefault="00735644" w:rsidP="00735644">
      <w:pPr>
        <w:rPr>
          <w:rFonts w:ascii="Arial" w:hAnsi="Arial" w:cs="Arial"/>
        </w:rPr>
      </w:pPr>
      <w:r w:rsidRPr="00676694">
        <w:rPr>
          <w:rFonts w:ascii="Arial" w:eastAsia="Times New Roman" w:hAnsi="Arial" w:cs="Arial"/>
          <w:sz w:val="24"/>
          <w:szCs w:val="24"/>
          <w:lang w:eastAsia="pt-BR"/>
        </w:rPr>
        <w:t xml:space="preserve">  </w:t>
      </w:r>
      <w:hyperlink r:id="rId17" w:history="1">
        <w:r w:rsidRPr="0067669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Conclusão</w:t>
        </w:r>
      </w:hyperlink>
    </w:p>
    <w:sectPr w:rsidR="00735644" w:rsidRPr="00676694" w:rsidSect="00412B7C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0F5A"/>
    <w:multiLevelType w:val="multilevel"/>
    <w:tmpl w:val="6162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A69A6"/>
    <w:multiLevelType w:val="hybridMultilevel"/>
    <w:tmpl w:val="A482832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44"/>
    <w:rsid w:val="0003397B"/>
    <w:rsid w:val="001176B1"/>
    <w:rsid w:val="001418E2"/>
    <w:rsid w:val="001D0471"/>
    <w:rsid w:val="001E1662"/>
    <w:rsid w:val="001F265E"/>
    <w:rsid w:val="00226D64"/>
    <w:rsid w:val="00250D73"/>
    <w:rsid w:val="002876DC"/>
    <w:rsid w:val="00321D50"/>
    <w:rsid w:val="00390F91"/>
    <w:rsid w:val="003A71D4"/>
    <w:rsid w:val="004114D3"/>
    <w:rsid w:val="00412B7C"/>
    <w:rsid w:val="00505A87"/>
    <w:rsid w:val="00550A58"/>
    <w:rsid w:val="00576B64"/>
    <w:rsid w:val="005B3C21"/>
    <w:rsid w:val="005F5D7E"/>
    <w:rsid w:val="006265CE"/>
    <w:rsid w:val="00676694"/>
    <w:rsid w:val="00685556"/>
    <w:rsid w:val="00685847"/>
    <w:rsid w:val="00735644"/>
    <w:rsid w:val="007C7C4B"/>
    <w:rsid w:val="00806419"/>
    <w:rsid w:val="008458C0"/>
    <w:rsid w:val="008A3D9E"/>
    <w:rsid w:val="008C6A28"/>
    <w:rsid w:val="009158C1"/>
    <w:rsid w:val="00A22698"/>
    <w:rsid w:val="00A3210F"/>
    <w:rsid w:val="00A4216C"/>
    <w:rsid w:val="00AA3A0E"/>
    <w:rsid w:val="00AF2B57"/>
    <w:rsid w:val="00B65D4D"/>
    <w:rsid w:val="00BE0E19"/>
    <w:rsid w:val="00C524CB"/>
    <w:rsid w:val="00C67934"/>
    <w:rsid w:val="00C84610"/>
    <w:rsid w:val="00C97270"/>
    <w:rsid w:val="00CB0DE8"/>
    <w:rsid w:val="00CF5459"/>
    <w:rsid w:val="00D26237"/>
    <w:rsid w:val="00D61AF9"/>
    <w:rsid w:val="00D77AA5"/>
    <w:rsid w:val="00DD5CF0"/>
    <w:rsid w:val="00EB776E"/>
    <w:rsid w:val="00EC2C50"/>
    <w:rsid w:val="00F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EECD"/>
  <w15:chartTrackingRefBased/>
  <w15:docId w15:val="{52B810C9-C24B-442B-BBFC-6EFDD65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64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61AF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26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u.com.br/relacoes-com-investidores/Home.aspx?linguagem=pt" TargetMode="Externa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hyperlink" Target="https://github.com/elainefabiola/datala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ainefabiola/datalak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ainefabiola/datalake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https://github.com/elainefabiola/datalake" TargetMode="External"/><Relationship Id="rId15" Type="http://schemas.openxmlformats.org/officeDocument/2006/relationships/hyperlink" Target="https://github.com/elainefabiola/datalake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elainefabiola/datalak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EF291D-E991-4AFC-BA61-D7E3FD63F03F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14193DB5-55F5-4F1A-BDC8-C93E3A041402}">
      <dgm:prSet phldrT="[Texto]"/>
      <dgm:spPr/>
      <dgm:t>
        <a:bodyPr/>
        <a:lstStyle/>
        <a:p>
          <a:r>
            <a:rPr lang="pt-BR"/>
            <a:t>Comitê Executivo</a:t>
          </a:r>
        </a:p>
      </dgm:t>
    </dgm:pt>
    <dgm:pt modelId="{8C02F4D1-0AEA-49AB-AFD9-962606B8AE43}" type="parTrans" cxnId="{8BB084CC-69ED-49E7-8740-4CD3C639CCB4}">
      <dgm:prSet/>
      <dgm:spPr/>
      <dgm:t>
        <a:bodyPr/>
        <a:lstStyle/>
        <a:p>
          <a:endParaRPr lang="pt-BR"/>
        </a:p>
      </dgm:t>
    </dgm:pt>
    <dgm:pt modelId="{DC26A424-4582-40B6-8BC6-4B03D55D3714}" type="sibTrans" cxnId="{8BB084CC-69ED-49E7-8740-4CD3C639CCB4}">
      <dgm:prSet/>
      <dgm:spPr/>
      <dgm:t>
        <a:bodyPr/>
        <a:lstStyle/>
        <a:p>
          <a:endParaRPr lang="pt-BR"/>
        </a:p>
      </dgm:t>
    </dgm:pt>
    <dgm:pt modelId="{E9B45DCF-D690-4120-8402-9B14FC105E66}">
      <dgm:prSet phldrT="[Texto]"/>
      <dgm:spPr/>
      <dgm:t>
        <a:bodyPr/>
        <a:lstStyle/>
        <a:p>
          <a:r>
            <a:rPr lang="pt-BR"/>
            <a:t>Comitê Operacioal</a:t>
          </a:r>
        </a:p>
      </dgm:t>
    </dgm:pt>
    <dgm:pt modelId="{E694477A-A455-40C1-9BC5-444E928FB7FF}" type="parTrans" cxnId="{4172655A-5BC3-4D24-8185-7959B1563F3D}">
      <dgm:prSet/>
      <dgm:spPr/>
      <dgm:t>
        <a:bodyPr/>
        <a:lstStyle/>
        <a:p>
          <a:endParaRPr lang="pt-BR"/>
        </a:p>
      </dgm:t>
    </dgm:pt>
    <dgm:pt modelId="{899C3701-77BD-48FC-9A9D-D74BD3248F55}" type="sibTrans" cxnId="{4172655A-5BC3-4D24-8185-7959B1563F3D}">
      <dgm:prSet/>
      <dgm:spPr/>
      <dgm:t>
        <a:bodyPr/>
        <a:lstStyle/>
        <a:p>
          <a:endParaRPr lang="pt-BR"/>
        </a:p>
      </dgm:t>
    </dgm:pt>
    <dgm:pt modelId="{649B9E9D-3F3A-4D4D-8C2E-E1F6B1293E75}">
      <dgm:prSet phldrT="[Texto]"/>
      <dgm:spPr/>
      <dgm:t>
        <a:bodyPr/>
        <a:lstStyle/>
        <a:p>
          <a:r>
            <a:rPr lang="pt-BR"/>
            <a:t>Escritório de Gerenciamento de Dados</a:t>
          </a:r>
        </a:p>
      </dgm:t>
    </dgm:pt>
    <dgm:pt modelId="{F38C9E44-3632-4386-88BF-06AD8AEF12E0}" type="parTrans" cxnId="{DBDA05AE-5D93-42E6-B54B-CB4A4CF6E572}">
      <dgm:prSet/>
      <dgm:spPr/>
      <dgm:t>
        <a:bodyPr/>
        <a:lstStyle/>
        <a:p>
          <a:endParaRPr lang="pt-BR"/>
        </a:p>
      </dgm:t>
    </dgm:pt>
    <dgm:pt modelId="{D8319C8F-FFFA-4717-9EB2-02FF629397C9}" type="sibTrans" cxnId="{DBDA05AE-5D93-42E6-B54B-CB4A4CF6E572}">
      <dgm:prSet/>
      <dgm:spPr/>
      <dgm:t>
        <a:bodyPr/>
        <a:lstStyle/>
        <a:p>
          <a:endParaRPr lang="pt-BR"/>
        </a:p>
      </dgm:t>
    </dgm:pt>
    <dgm:pt modelId="{5A1F3672-6404-4805-8448-21DCF5E5AE75}" type="pres">
      <dgm:prSet presAssocID="{44EF291D-E991-4AFC-BA61-D7E3FD63F03F}" presName="compositeShape" presStyleCnt="0">
        <dgm:presLayoutVars>
          <dgm:dir/>
          <dgm:resizeHandles/>
        </dgm:presLayoutVars>
      </dgm:prSet>
      <dgm:spPr/>
    </dgm:pt>
    <dgm:pt modelId="{67A5B394-F1EE-457B-9EB0-7495E234E4C0}" type="pres">
      <dgm:prSet presAssocID="{44EF291D-E991-4AFC-BA61-D7E3FD63F03F}" presName="pyramid" presStyleLbl="node1" presStyleIdx="0" presStyleCnt="1"/>
      <dgm:spPr/>
    </dgm:pt>
    <dgm:pt modelId="{CE873066-39A9-437D-B94E-7AC36559C0E3}" type="pres">
      <dgm:prSet presAssocID="{44EF291D-E991-4AFC-BA61-D7E3FD63F03F}" presName="theList" presStyleCnt="0"/>
      <dgm:spPr/>
    </dgm:pt>
    <dgm:pt modelId="{EF51A1F6-5A9E-49BA-A115-60A45F1ED4E5}" type="pres">
      <dgm:prSet presAssocID="{14193DB5-55F5-4F1A-BDC8-C93E3A041402}" presName="aNode" presStyleLbl="fgAcc1" presStyleIdx="0" presStyleCnt="3">
        <dgm:presLayoutVars>
          <dgm:bulletEnabled val="1"/>
        </dgm:presLayoutVars>
      </dgm:prSet>
      <dgm:spPr/>
    </dgm:pt>
    <dgm:pt modelId="{97CA40D0-D809-4337-9D4F-F886269BE3A4}" type="pres">
      <dgm:prSet presAssocID="{14193DB5-55F5-4F1A-BDC8-C93E3A041402}" presName="aSpace" presStyleCnt="0"/>
      <dgm:spPr/>
    </dgm:pt>
    <dgm:pt modelId="{5182E634-D763-4FF5-B7A9-F840D4A4ECC8}" type="pres">
      <dgm:prSet presAssocID="{E9B45DCF-D690-4120-8402-9B14FC105E66}" presName="aNode" presStyleLbl="fgAcc1" presStyleIdx="1" presStyleCnt="3">
        <dgm:presLayoutVars>
          <dgm:bulletEnabled val="1"/>
        </dgm:presLayoutVars>
      </dgm:prSet>
      <dgm:spPr/>
    </dgm:pt>
    <dgm:pt modelId="{A25C424E-A427-4EFF-B736-21EE99171926}" type="pres">
      <dgm:prSet presAssocID="{E9B45DCF-D690-4120-8402-9B14FC105E66}" presName="aSpace" presStyleCnt="0"/>
      <dgm:spPr/>
    </dgm:pt>
    <dgm:pt modelId="{70B1D2A6-2B04-44B3-BE99-E1C127764375}" type="pres">
      <dgm:prSet presAssocID="{649B9E9D-3F3A-4D4D-8C2E-E1F6B1293E75}" presName="aNode" presStyleLbl="fgAcc1" presStyleIdx="2" presStyleCnt="3">
        <dgm:presLayoutVars>
          <dgm:bulletEnabled val="1"/>
        </dgm:presLayoutVars>
      </dgm:prSet>
      <dgm:spPr/>
    </dgm:pt>
    <dgm:pt modelId="{5BA1E6A7-2D15-41A4-9F5E-90744666C83F}" type="pres">
      <dgm:prSet presAssocID="{649B9E9D-3F3A-4D4D-8C2E-E1F6B1293E75}" presName="aSpace" presStyleCnt="0"/>
      <dgm:spPr/>
    </dgm:pt>
  </dgm:ptLst>
  <dgm:cxnLst>
    <dgm:cxn modelId="{C8235006-9132-4A4D-8D39-B2D2F2B17F32}" type="presOf" srcId="{14193DB5-55F5-4F1A-BDC8-C93E3A041402}" destId="{EF51A1F6-5A9E-49BA-A115-60A45F1ED4E5}" srcOrd="0" destOrd="0" presId="urn:microsoft.com/office/officeart/2005/8/layout/pyramid2"/>
    <dgm:cxn modelId="{A076140C-5129-4C28-8C34-E8C10542D713}" type="presOf" srcId="{44EF291D-E991-4AFC-BA61-D7E3FD63F03F}" destId="{5A1F3672-6404-4805-8448-21DCF5E5AE75}" srcOrd="0" destOrd="0" presId="urn:microsoft.com/office/officeart/2005/8/layout/pyramid2"/>
    <dgm:cxn modelId="{6CB77A36-BCE0-4069-A9E0-AC2B7D567F89}" type="presOf" srcId="{649B9E9D-3F3A-4D4D-8C2E-E1F6B1293E75}" destId="{70B1D2A6-2B04-44B3-BE99-E1C127764375}" srcOrd="0" destOrd="0" presId="urn:microsoft.com/office/officeart/2005/8/layout/pyramid2"/>
    <dgm:cxn modelId="{4172655A-5BC3-4D24-8185-7959B1563F3D}" srcId="{44EF291D-E991-4AFC-BA61-D7E3FD63F03F}" destId="{E9B45DCF-D690-4120-8402-9B14FC105E66}" srcOrd="1" destOrd="0" parTransId="{E694477A-A455-40C1-9BC5-444E928FB7FF}" sibTransId="{899C3701-77BD-48FC-9A9D-D74BD3248F55}"/>
    <dgm:cxn modelId="{4AEB149E-2716-4EBC-B52F-AF003CBA8A6B}" type="presOf" srcId="{E9B45DCF-D690-4120-8402-9B14FC105E66}" destId="{5182E634-D763-4FF5-B7A9-F840D4A4ECC8}" srcOrd="0" destOrd="0" presId="urn:microsoft.com/office/officeart/2005/8/layout/pyramid2"/>
    <dgm:cxn modelId="{DBDA05AE-5D93-42E6-B54B-CB4A4CF6E572}" srcId="{44EF291D-E991-4AFC-BA61-D7E3FD63F03F}" destId="{649B9E9D-3F3A-4D4D-8C2E-E1F6B1293E75}" srcOrd="2" destOrd="0" parTransId="{F38C9E44-3632-4386-88BF-06AD8AEF12E0}" sibTransId="{D8319C8F-FFFA-4717-9EB2-02FF629397C9}"/>
    <dgm:cxn modelId="{8BB084CC-69ED-49E7-8740-4CD3C639CCB4}" srcId="{44EF291D-E991-4AFC-BA61-D7E3FD63F03F}" destId="{14193DB5-55F5-4F1A-BDC8-C93E3A041402}" srcOrd="0" destOrd="0" parTransId="{8C02F4D1-0AEA-49AB-AFD9-962606B8AE43}" sibTransId="{DC26A424-4582-40B6-8BC6-4B03D55D3714}"/>
    <dgm:cxn modelId="{DD94A24A-67BE-454B-B68B-E77218EC4569}" type="presParOf" srcId="{5A1F3672-6404-4805-8448-21DCF5E5AE75}" destId="{67A5B394-F1EE-457B-9EB0-7495E234E4C0}" srcOrd="0" destOrd="0" presId="urn:microsoft.com/office/officeart/2005/8/layout/pyramid2"/>
    <dgm:cxn modelId="{D976FCAD-FC1B-4AD5-A68E-29DA3E7F41AC}" type="presParOf" srcId="{5A1F3672-6404-4805-8448-21DCF5E5AE75}" destId="{CE873066-39A9-437D-B94E-7AC36559C0E3}" srcOrd="1" destOrd="0" presId="urn:microsoft.com/office/officeart/2005/8/layout/pyramid2"/>
    <dgm:cxn modelId="{27A3BD74-F646-45D6-AAC3-7B123912D08F}" type="presParOf" srcId="{CE873066-39A9-437D-B94E-7AC36559C0E3}" destId="{EF51A1F6-5A9E-49BA-A115-60A45F1ED4E5}" srcOrd="0" destOrd="0" presId="urn:microsoft.com/office/officeart/2005/8/layout/pyramid2"/>
    <dgm:cxn modelId="{E2F90964-6542-42B7-81B4-AC4741E24DD0}" type="presParOf" srcId="{CE873066-39A9-437D-B94E-7AC36559C0E3}" destId="{97CA40D0-D809-4337-9D4F-F886269BE3A4}" srcOrd="1" destOrd="0" presId="urn:microsoft.com/office/officeart/2005/8/layout/pyramid2"/>
    <dgm:cxn modelId="{832ADF35-C8BC-4A5D-96F1-66F0B323FC42}" type="presParOf" srcId="{CE873066-39A9-437D-B94E-7AC36559C0E3}" destId="{5182E634-D763-4FF5-B7A9-F840D4A4ECC8}" srcOrd="2" destOrd="0" presId="urn:microsoft.com/office/officeart/2005/8/layout/pyramid2"/>
    <dgm:cxn modelId="{60E4ED20-4D96-415E-B0B3-BBFDBF9F8A57}" type="presParOf" srcId="{CE873066-39A9-437D-B94E-7AC36559C0E3}" destId="{A25C424E-A427-4EFF-B736-21EE99171926}" srcOrd="3" destOrd="0" presId="urn:microsoft.com/office/officeart/2005/8/layout/pyramid2"/>
    <dgm:cxn modelId="{08B011BD-8086-4F88-8DE6-295A5AA70416}" type="presParOf" srcId="{CE873066-39A9-437D-B94E-7AC36559C0E3}" destId="{70B1D2A6-2B04-44B3-BE99-E1C127764375}" srcOrd="4" destOrd="0" presId="urn:microsoft.com/office/officeart/2005/8/layout/pyramid2"/>
    <dgm:cxn modelId="{109223B5-1C6E-412F-80AC-19FC8327A9A3}" type="presParOf" srcId="{CE873066-39A9-437D-B94E-7AC36559C0E3}" destId="{5BA1E6A7-2D15-41A4-9F5E-90744666C83F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A5B394-F1EE-457B-9EB0-7495E234E4C0}">
      <dsp:nvSpPr>
        <dsp:cNvPr id="0" name=""/>
        <dsp:cNvSpPr/>
      </dsp:nvSpPr>
      <dsp:spPr>
        <a:xfrm>
          <a:off x="902969" y="0"/>
          <a:ext cx="3200400" cy="32004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1A1F6-5A9E-49BA-A115-60A45F1ED4E5}">
      <dsp:nvSpPr>
        <dsp:cNvPr id="0" name=""/>
        <dsp:cNvSpPr/>
      </dsp:nvSpPr>
      <dsp:spPr>
        <a:xfrm>
          <a:off x="2503170" y="321758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Comitê Executivo</a:t>
          </a:r>
        </a:p>
      </dsp:txBody>
      <dsp:txXfrm>
        <a:off x="2540153" y="358741"/>
        <a:ext cx="2006294" cy="683628"/>
      </dsp:txXfrm>
    </dsp:sp>
    <dsp:sp modelId="{5182E634-D763-4FF5-B7A9-F840D4A4ECC8}">
      <dsp:nvSpPr>
        <dsp:cNvPr id="0" name=""/>
        <dsp:cNvSpPr/>
      </dsp:nvSpPr>
      <dsp:spPr>
        <a:xfrm>
          <a:off x="2503170" y="1174052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Comitê Operacioal</a:t>
          </a:r>
        </a:p>
      </dsp:txBody>
      <dsp:txXfrm>
        <a:off x="2540153" y="1211035"/>
        <a:ext cx="2006294" cy="683628"/>
      </dsp:txXfrm>
    </dsp:sp>
    <dsp:sp modelId="{70B1D2A6-2B04-44B3-BE99-E1C127764375}">
      <dsp:nvSpPr>
        <dsp:cNvPr id="0" name=""/>
        <dsp:cNvSpPr/>
      </dsp:nvSpPr>
      <dsp:spPr>
        <a:xfrm>
          <a:off x="2503170" y="2026347"/>
          <a:ext cx="2080260" cy="75759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Escritório de Gerenciamento de Dados</a:t>
          </a:r>
        </a:p>
      </dsp:txBody>
      <dsp:txXfrm>
        <a:off x="2540153" y="2063330"/>
        <a:ext cx="2006294" cy="683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2034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2020-11-09T01:49:00Z</dcterms:created>
  <dcterms:modified xsi:type="dcterms:W3CDTF">2020-11-09T01:49:00Z</dcterms:modified>
</cp:coreProperties>
</file>