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87A0AB" w14:textId="3608574C" w:rsidR="00C13EBB" w:rsidRDefault="00953CE2" w:rsidP="00DE73FB">
      <w:pPr>
        <w:spacing w:line="480" w:lineRule="auto"/>
        <w:jc w:val="center"/>
        <w:rPr>
          <w:rFonts w:cs="Times New Roman"/>
        </w:rPr>
      </w:pPr>
      <w:r>
        <w:rPr>
          <w:noProof/>
        </w:rPr>
        <mc:AlternateContent>
          <mc:Choice Requires="wps">
            <w:drawing>
              <wp:anchor distT="0" distB="0" distL="114300" distR="114300" simplePos="0" relativeHeight="251659264" behindDoc="0" locked="0" layoutInCell="1" allowOverlap="1" wp14:anchorId="7909C929" wp14:editId="00C54925">
                <wp:simplePos x="0" y="0"/>
                <wp:positionH relativeFrom="column">
                  <wp:posOffset>0</wp:posOffset>
                </wp:positionH>
                <wp:positionV relativeFrom="paragraph">
                  <wp:posOffset>346710</wp:posOffset>
                </wp:positionV>
                <wp:extent cx="1828800" cy="1828800"/>
                <wp:effectExtent l="0" t="0" r="19050" b="1397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tx2"/>
                          </a:solidFill>
                        </a:ln>
                      </wps:spPr>
                      <wps:txbx>
                        <w:txbxContent>
                          <w:p w14:paraId="0F00296B" w14:textId="5BF654EE" w:rsidR="00953CE2" w:rsidRPr="00050702" w:rsidRDefault="00953CE2" w:rsidP="00953CE2">
                            <w:pPr>
                              <w:autoSpaceDE w:val="0"/>
                              <w:autoSpaceDN w:val="0"/>
                              <w:adjustRightInd w:val="0"/>
                              <w:jc w:val="center"/>
                              <w:rPr>
                                <w:rFonts w:ascii="Arial" w:hAnsi="Arial" w:cs="Arial"/>
                                <w:color w:val="1F497D" w:themeColor="text2"/>
                                <w:sz w:val="22"/>
                                <w:szCs w:val="22"/>
                              </w:rPr>
                            </w:pPr>
                            <w:r w:rsidRPr="00050702">
                              <w:rPr>
                                <w:rFonts w:ascii="Arial" w:hAnsi="Arial" w:cs="Arial"/>
                                <w:color w:val="1F497D" w:themeColor="text2"/>
                                <w:sz w:val="22"/>
                                <w:szCs w:val="22"/>
                              </w:rPr>
                              <w:t xml:space="preserve">This is the </w:t>
                            </w:r>
                            <w:r w:rsidRPr="00050702">
                              <w:rPr>
                                <w:rFonts w:ascii="Arial" w:hAnsi="Arial" w:cs="Arial"/>
                                <w:i/>
                                <w:color w:val="1F497D" w:themeColor="text2"/>
                                <w:sz w:val="22"/>
                                <w:szCs w:val="22"/>
                              </w:rPr>
                              <w:t>Accepted Manuscript</w:t>
                            </w:r>
                            <w:r w:rsidRPr="00050702">
                              <w:rPr>
                                <w:rFonts w:ascii="Arial" w:hAnsi="Arial" w:cs="Arial"/>
                                <w:color w:val="1F497D" w:themeColor="text2"/>
                                <w:sz w:val="22"/>
                                <w:szCs w:val="22"/>
                              </w:rPr>
                              <w:t xml:space="preserve"> of an article published by</w:t>
                            </w:r>
                            <w:r w:rsidR="004D198F">
                              <w:rPr>
                                <w:rFonts w:ascii="Arial" w:hAnsi="Arial" w:cs="Arial"/>
                                <w:color w:val="1F497D" w:themeColor="text2"/>
                                <w:sz w:val="22"/>
                                <w:szCs w:val="22"/>
                              </w:rPr>
                              <w:t xml:space="preserve"> the</w:t>
                            </w:r>
                            <w:r w:rsidRPr="00050702">
                              <w:rPr>
                                <w:rFonts w:ascii="Arial" w:hAnsi="Arial" w:cs="Arial"/>
                                <w:color w:val="1F497D" w:themeColor="text2"/>
                                <w:sz w:val="22"/>
                                <w:szCs w:val="22"/>
                              </w:rPr>
                              <w:t xml:space="preserve"> Taylor &amp; Francis Group in </w:t>
                            </w:r>
                            <w:r w:rsidRPr="00050702">
                              <w:rPr>
                                <w:rFonts w:ascii="Arial" w:hAnsi="Arial" w:cs="Arial"/>
                                <w:i/>
                                <w:color w:val="1F497D" w:themeColor="text2"/>
                                <w:sz w:val="22"/>
                                <w:szCs w:val="22"/>
                              </w:rPr>
                              <w:t>Disability and Rehabilitation</w:t>
                            </w:r>
                            <w:r w:rsidRPr="00050702">
                              <w:rPr>
                                <w:rFonts w:ascii="Arial" w:hAnsi="Arial" w:cs="Arial"/>
                                <w:color w:val="1F497D" w:themeColor="text2"/>
                                <w:sz w:val="22"/>
                                <w:szCs w:val="22"/>
                              </w:rPr>
                              <w:t xml:space="preserve"> © 201</w:t>
                            </w:r>
                            <w:r w:rsidR="00DE7AF5">
                              <w:rPr>
                                <w:rFonts w:ascii="Arial" w:hAnsi="Arial" w:cs="Arial"/>
                                <w:color w:val="1F497D" w:themeColor="text2"/>
                                <w:sz w:val="22"/>
                                <w:szCs w:val="22"/>
                              </w:rPr>
                              <w:t>9</w:t>
                            </w:r>
                            <w:r w:rsidRPr="00050702">
                              <w:rPr>
                                <w:rFonts w:ascii="Arial" w:hAnsi="Arial" w:cs="Arial"/>
                                <w:color w:val="1F497D" w:themeColor="text2"/>
                                <w:sz w:val="22"/>
                                <w:szCs w:val="22"/>
                              </w:rPr>
                              <w:t xml:space="preserve">. The manuscript is reprinted here with permission from Taylor &amp; Francis Group and is further available online </w:t>
                            </w:r>
                            <w:r w:rsidRPr="00050702">
                              <w:rPr>
                                <w:rStyle w:val="Hyperlink"/>
                                <w:rFonts w:ascii="Arial" w:hAnsi="Arial" w:cs="Arial"/>
                                <w:color w:val="1F497D" w:themeColor="text2"/>
                                <w:sz w:val="22"/>
                                <w:szCs w:val="22"/>
                              </w:rPr>
                              <w:t>https://doi.org/10.1080/09638288.2017.1419292</w:t>
                            </w:r>
                            <w:r w:rsidRPr="00050702">
                              <w:rPr>
                                <w:rFonts w:ascii="Arial" w:hAnsi="Arial" w:cs="Arial"/>
                                <w:color w:val="1F497D" w:themeColor="text2"/>
                                <w:sz w:val="22"/>
                                <w:szCs w:val="2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909C929" id="_x0000_t202" coordsize="21600,21600" o:spt="202" path="m,l,21600r21600,l21600,xe">
                <v:stroke joinstyle="miter"/>
                <v:path gradientshapeok="t" o:connecttype="rect"/>
              </v:shapetype>
              <v:shape id="Text Box 1" o:spid="_x0000_s1026" type="#_x0000_t202" style="position:absolute;left:0;text-align:left;margin-left:0;margin-top:27.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" filled="f" strokecolor="#1f497d [3215]" strokeweight=".5pt">
                <v:textbox style="mso-fit-shape-to-text:t">
                  <w:txbxContent>
                    <w:p w14:paraId="0F00296B" w14:textId="5BF654EE" w:rsidR="00953CE2" w:rsidRPr="00050702" w:rsidRDefault="00953CE2" w:rsidP="00953CE2">
                      <w:pPr>
                        <w:autoSpaceDE w:val="0"/>
                        <w:autoSpaceDN w:val="0"/>
                        <w:adjustRightInd w:val="0"/>
                        <w:jc w:val="center"/>
                        <w:rPr>
                          <w:rFonts w:ascii="Arial" w:hAnsi="Arial" w:cs="Arial"/>
                          <w:color w:val="1F497D" w:themeColor="text2"/>
                          <w:sz w:val="22"/>
                          <w:szCs w:val="22"/>
                        </w:rPr>
                      </w:pPr>
                      <w:r w:rsidRPr="00050702">
                        <w:rPr>
                          <w:rFonts w:ascii="Arial" w:hAnsi="Arial" w:cs="Arial"/>
                          <w:color w:val="1F497D" w:themeColor="text2"/>
                          <w:sz w:val="22"/>
                          <w:szCs w:val="22"/>
                        </w:rPr>
                        <w:t xml:space="preserve">This is the </w:t>
                      </w:r>
                      <w:r w:rsidRPr="00050702">
                        <w:rPr>
                          <w:rFonts w:ascii="Arial" w:hAnsi="Arial" w:cs="Arial"/>
                          <w:i/>
                          <w:color w:val="1F497D" w:themeColor="text2"/>
                          <w:sz w:val="22"/>
                          <w:szCs w:val="22"/>
                        </w:rPr>
                        <w:t>Accepted Manuscript</w:t>
                      </w:r>
                      <w:r w:rsidRPr="00050702">
                        <w:rPr>
                          <w:rFonts w:ascii="Arial" w:hAnsi="Arial" w:cs="Arial"/>
                          <w:color w:val="1F497D" w:themeColor="text2"/>
                          <w:sz w:val="22"/>
                          <w:szCs w:val="22"/>
                        </w:rPr>
                        <w:t xml:space="preserve"> of an article published by</w:t>
                      </w:r>
                      <w:r w:rsidR="004D198F">
                        <w:rPr>
                          <w:rFonts w:ascii="Arial" w:hAnsi="Arial" w:cs="Arial"/>
                          <w:color w:val="1F497D" w:themeColor="text2"/>
                          <w:sz w:val="22"/>
                          <w:szCs w:val="22"/>
                        </w:rPr>
                        <w:t xml:space="preserve"> the</w:t>
                      </w:r>
                      <w:r w:rsidRPr="00050702">
                        <w:rPr>
                          <w:rFonts w:ascii="Arial" w:hAnsi="Arial" w:cs="Arial"/>
                          <w:color w:val="1F497D" w:themeColor="text2"/>
                          <w:sz w:val="22"/>
                          <w:szCs w:val="22"/>
                        </w:rPr>
                        <w:t xml:space="preserve"> Taylor &amp; Francis Group in </w:t>
                      </w:r>
                      <w:r w:rsidRPr="00050702">
                        <w:rPr>
                          <w:rFonts w:ascii="Arial" w:hAnsi="Arial" w:cs="Arial"/>
                          <w:i/>
                          <w:color w:val="1F497D" w:themeColor="text2"/>
                          <w:sz w:val="22"/>
                          <w:szCs w:val="22"/>
                        </w:rPr>
                        <w:t>Disability and Rehabilitation</w:t>
                      </w:r>
                      <w:r w:rsidRPr="00050702">
                        <w:rPr>
                          <w:rFonts w:ascii="Arial" w:hAnsi="Arial" w:cs="Arial"/>
                          <w:color w:val="1F497D" w:themeColor="text2"/>
                          <w:sz w:val="22"/>
                          <w:szCs w:val="22"/>
                        </w:rPr>
                        <w:t xml:space="preserve"> © 201</w:t>
                      </w:r>
                      <w:r w:rsidR="00DE7AF5">
                        <w:rPr>
                          <w:rFonts w:ascii="Arial" w:hAnsi="Arial" w:cs="Arial"/>
                          <w:color w:val="1F497D" w:themeColor="text2"/>
                          <w:sz w:val="22"/>
                          <w:szCs w:val="22"/>
                        </w:rPr>
                        <w:t>9</w:t>
                      </w:r>
                      <w:r w:rsidRPr="00050702">
                        <w:rPr>
                          <w:rFonts w:ascii="Arial" w:hAnsi="Arial" w:cs="Arial"/>
                          <w:color w:val="1F497D" w:themeColor="text2"/>
                          <w:sz w:val="22"/>
                          <w:szCs w:val="22"/>
                        </w:rPr>
                        <w:t xml:space="preserve">. The manuscript is reprinted here with permission from Taylor &amp; Francis Group and is further available online </w:t>
                      </w:r>
                      <w:r w:rsidRPr="00050702">
                        <w:rPr>
                          <w:rStyle w:val="Hyperlink"/>
                          <w:rFonts w:ascii="Arial" w:hAnsi="Arial" w:cs="Arial"/>
                          <w:color w:val="1F497D" w:themeColor="text2"/>
                          <w:sz w:val="22"/>
                          <w:szCs w:val="22"/>
                        </w:rPr>
                        <w:t>https://doi.org/10.1080/09638288.2017.1419292</w:t>
                      </w:r>
                      <w:r w:rsidRPr="00050702">
                        <w:rPr>
                          <w:rFonts w:ascii="Arial" w:hAnsi="Arial" w:cs="Arial"/>
                          <w:color w:val="1F497D" w:themeColor="text2"/>
                          <w:sz w:val="22"/>
                          <w:szCs w:val="22"/>
                        </w:rPr>
                        <w:t>.</w:t>
                      </w:r>
                    </w:p>
                  </w:txbxContent>
                </v:textbox>
                <w10:wrap type="square"/>
              </v:shape>
            </w:pict>
          </mc:Fallback>
        </mc:AlternateContent>
      </w:r>
    </w:p>
    <w:p w14:paraId="4D2BA1FA" w14:textId="77777777" w:rsidR="00C13EBB" w:rsidRPr="00EC7D99" w:rsidRDefault="00C13EBB" w:rsidP="00DE73FB">
      <w:pPr>
        <w:spacing w:line="480" w:lineRule="auto"/>
        <w:jc w:val="center"/>
        <w:outlineLvl w:val="0"/>
        <w:rPr>
          <w:rFonts w:cs="Times New Roman"/>
          <w:b/>
        </w:rPr>
      </w:pPr>
      <w:r w:rsidRPr="00EC7D99">
        <w:rPr>
          <w:rFonts w:cs="Times New Roman"/>
          <w:b/>
        </w:rPr>
        <w:t>Augmented Visual Feedback-Aided Interventions for Motor Rehabilitation</w:t>
      </w:r>
    </w:p>
    <w:p w14:paraId="1DF1D65A" w14:textId="77777777" w:rsidR="00C13EBB" w:rsidRPr="00EC7D99" w:rsidRDefault="00C13EBB" w:rsidP="00DE73FB">
      <w:pPr>
        <w:spacing w:line="480" w:lineRule="auto"/>
        <w:jc w:val="center"/>
        <w:outlineLvl w:val="0"/>
        <w:rPr>
          <w:rFonts w:cs="Times New Roman"/>
          <w:b/>
        </w:rPr>
      </w:pPr>
      <w:r w:rsidRPr="00EC7D99">
        <w:rPr>
          <w:rFonts w:cs="Times New Roman"/>
          <w:b/>
        </w:rPr>
        <w:t>in Parkinson’s Disease: A Systematic Review</w:t>
      </w:r>
    </w:p>
    <w:p w14:paraId="61B90F10" w14:textId="77777777" w:rsidR="00C13EBB" w:rsidRPr="00EC7D99" w:rsidRDefault="00C13EBB" w:rsidP="00DE73FB">
      <w:pPr>
        <w:spacing w:line="480" w:lineRule="auto"/>
        <w:jc w:val="center"/>
        <w:rPr>
          <w:rFonts w:cs="Times New Roman"/>
        </w:rPr>
      </w:pPr>
    </w:p>
    <w:p w14:paraId="1383C6E3" w14:textId="77777777" w:rsidR="00C13EBB" w:rsidRPr="00EC7D99" w:rsidRDefault="00C13EBB" w:rsidP="00DE73FB">
      <w:pPr>
        <w:spacing w:line="480" w:lineRule="auto"/>
        <w:jc w:val="center"/>
        <w:outlineLvl w:val="0"/>
        <w:rPr>
          <w:rFonts w:cs="Times New Roman"/>
        </w:rPr>
      </w:pPr>
      <w:r w:rsidRPr="00EC7D99">
        <w:rPr>
          <w:rFonts w:cs="Times New Roman"/>
        </w:rPr>
        <w:t>Elaine Kearney</w:t>
      </w:r>
      <w:r w:rsidRPr="00EC7D99">
        <w:rPr>
          <w:rFonts w:cs="Times New Roman"/>
          <w:vertAlign w:val="superscript"/>
        </w:rPr>
        <w:t>a, b</w:t>
      </w:r>
      <w:r w:rsidRPr="00EC7D99">
        <w:rPr>
          <w:rFonts w:cs="Times New Roman"/>
        </w:rPr>
        <w:t>, Sanjana Shellikeri</w:t>
      </w:r>
      <w:r w:rsidRPr="00EC7D99">
        <w:rPr>
          <w:rFonts w:cs="Times New Roman"/>
          <w:vertAlign w:val="superscript"/>
        </w:rPr>
        <w:t>a, c</w:t>
      </w:r>
      <w:r w:rsidRPr="00EC7D99">
        <w:rPr>
          <w:rFonts w:cs="Times New Roman"/>
        </w:rPr>
        <w:t>, Rosemary Martino</w:t>
      </w:r>
      <w:r w:rsidRPr="00EC7D99">
        <w:rPr>
          <w:rFonts w:cs="Times New Roman"/>
          <w:vertAlign w:val="superscript"/>
        </w:rPr>
        <w:t>a, d</w:t>
      </w:r>
      <w:r w:rsidRPr="00EC7D99">
        <w:rPr>
          <w:rFonts w:cs="Times New Roman"/>
        </w:rPr>
        <w:t>, Yana Yunusova</w:t>
      </w:r>
      <w:r w:rsidRPr="00EC7D99">
        <w:rPr>
          <w:rFonts w:cs="Times New Roman"/>
          <w:vertAlign w:val="superscript"/>
        </w:rPr>
        <w:t>a, b, c</w:t>
      </w:r>
    </w:p>
    <w:p w14:paraId="41719F6C" w14:textId="77777777" w:rsidR="00C13EBB" w:rsidRPr="00EC7D99" w:rsidRDefault="00C13EBB" w:rsidP="00DE73FB">
      <w:pPr>
        <w:spacing w:line="480" w:lineRule="auto"/>
        <w:jc w:val="center"/>
        <w:rPr>
          <w:rFonts w:cs="Times New Roman"/>
          <w:vertAlign w:val="subscript"/>
        </w:rPr>
      </w:pPr>
    </w:p>
    <w:p w14:paraId="3EFDCB79" w14:textId="77777777" w:rsidR="00C13EBB" w:rsidRPr="00EC7D99" w:rsidRDefault="00C13EBB" w:rsidP="00DE73FB">
      <w:pPr>
        <w:spacing w:line="480" w:lineRule="auto"/>
        <w:jc w:val="center"/>
        <w:rPr>
          <w:rFonts w:cs="Times New Roman"/>
        </w:rPr>
      </w:pPr>
      <w:r w:rsidRPr="00EC7D99">
        <w:rPr>
          <w:rFonts w:cs="Times New Roman"/>
          <w:vertAlign w:val="superscript"/>
        </w:rPr>
        <w:t>a</w:t>
      </w:r>
      <w:r w:rsidRPr="00EC7D99">
        <w:rPr>
          <w:rFonts w:cs="Times New Roman"/>
        </w:rPr>
        <w:t xml:space="preserve">Department of Speech-Language Pathology, University of Toronto, Toronto, Ontario, Canada; </w:t>
      </w:r>
      <w:r w:rsidRPr="00EC7D99">
        <w:rPr>
          <w:rFonts w:cs="Times New Roman"/>
          <w:vertAlign w:val="superscript"/>
        </w:rPr>
        <w:t>b</w:t>
      </w:r>
      <w:r w:rsidRPr="00EC7D99">
        <w:rPr>
          <w:rFonts w:cs="Times New Roman"/>
        </w:rPr>
        <w:t xml:space="preserve">University Health Network – Toronto Rehabilitation Institute, Toronto, Ontario, Canada; </w:t>
      </w:r>
      <w:r w:rsidRPr="00EC7D99">
        <w:rPr>
          <w:rFonts w:cs="Times New Roman"/>
          <w:vertAlign w:val="superscript"/>
        </w:rPr>
        <w:t>c</w:t>
      </w:r>
      <w:r w:rsidRPr="00EC7D99">
        <w:rPr>
          <w:rFonts w:cs="Times New Roman"/>
        </w:rPr>
        <w:t>Sunnybrook Research Institute, Biological Sciences, Toronto, Ontario,</w:t>
      </w:r>
      <w:r w:rsidRPr="00EC7D99">
        <w:t xml:space="preserve"> </w:t>
      </w:r>
      <w:r w:rsidRPr="00EC7D99">
        <w:rPr>
          <w:rFonts w:cs="Times New Roman"/>
        </w:rPr>
        <w:t xml:space="preserve">Canada; </w:t>
      </w:r>
      <w:r w:rsidRPr="00EC7D99">
        <w:rPr>
          <w:rFonts w:cs="Times New Roman"/>
          <w:vertAlign w:val="superscript"/>
        </w:rPr>
        <w:t>d</w:t>
      </w:r>
      <w:r w:rsidRPr="00EC7D99">
        <w:t xml:space="preserve"> </w:t>
      </w:r>
      <w:r w:rsidRPr="00EC7D99">
        <w:rPr>
          <w:rFonts w:cs="Times New Roman"/>
        </w:rPr>
        <w:t>Division of Healthcare and Outcomes Research, Krembil Research Institute, Toronto, Ontario, Canada.</w:t>
      </w:r>
    </w:p>
    <w:p w14:paraId="2973C79C" w14:textId="77777777" w:rsidR="00C13EBB" w:rsidRPr="00EC7D99" w:rsidRDefault="00C13EBB" w:rsidP="00DE73FB">
      <w:pPr>
        <w:spacing w:line="480" w:lineRule="auto"/>
        <w:rPr>
          <w:rFonts w:cs="Times New Roman"/>
        </w:rPr>
      </w:pPr>
    </w:p>
    <w:p w14:paraId="59BD7FAA" w14:textId="77777777" w:rsidR="00C13EBB" w:rsidRPr="00EC7D99" w:rsidRDefault="00C13EBB" w:rsidP="00DE73FB">
      <w:pPr>
        <w:spacing w:line="480" w:lineRule="auto"/>
        <w:jc w:val="center"/>
        <w:rPr>
          <w:rFonts w:cs="Times New Roman"/>
        </w:rPr>
      </w:pPr>
      <w:r w:rsidRPr="00EC7D99">
        <w:rPr>
          <w:rFonts w:cs="Times New Roman"/>
        </w:rPr>
        <w:t>Elaine Kearney, Ph. D. (corresponding author)</w:t>
      </w:r>
    </w:p>
    <w:p w14:paraId="55D78E59" w14:textId="77777777" w:rsidR="00C13EBB" w:rsidRPr="00EC7D99" w:rsidRDefault="00C13EBB" w:rsidP="00DE73FB">
      <w:pPr>
        <w:spacing w:line="480" w:lineRule="auto"/>
        <w:jc w:val="center"/>
        <w:rPr>
          <w:rFonts w:cs="Times New Roman"/>
        </w:rPr>
      </w:pPr>
      <w:r w:rsidRPr="00EC7D99">
        <w:rPr>
          <w:rFonts w:cs="Times New Roman"/>
        </w:rPr>
        <w:t>Department of Speech-Language Pathology,</w:t>
      </w:r>
    </w:p>
    <w:p w14:paraId="497CD442" w14:textId="77777777" w:rsidR="00C13EBB" w:rsidRPr="00EC7D99" w:rsidRDefault="00C13EBB" w:rsidP="00DE73FB">
      <w:pPr>
        <w:spacing w:line="480" w:lineRule="auto"/>
        <w:jc w:val="center"/>
        <w:rPr>
          <w:rFonts w:cs="Times New Roman"/>
        </w:rPr>
      </w:pPr>
      <w:r w:rsidRPr="00EC7D99">
        <w:rPr>
          <w:rFonts w:cs="Times New Roman"/>
        </w:rPr>
        <w:t>Rehabilitation Sciences Building</w:t>
      </w:r>
    </w:p>
    <w:p w14:paraId="54E7BF58" w14:textId="77777777" w:rsidR="00C13EBB" w:rsidRPr="00EC7D99" w:rsidRDefault="00C13EBB" w:rsidP="00DE73FB">
      <w:pPr>
        <w:spacing w:line="480" w:lineRule="auto"/>
        <w:jc w:val="center"/>
        <w:rPr>
          <w:rFonts w:cs="Times New Roman"/>
        </w:rPr>
      </w:pPr>
      <w:r w:rsidRPr="00EC7D99">
        <w:rPr>
          <w:rFonts w:cs="Times New Roman"/>
        </w:rPr>
        <w:t>Faculty of Medicine, University of Toronto</w:t>
      </w:r>
    </w:p>
    <w:p w14:paraId="59A464DD" w14:textId="77777777" w:rsidR="00C13EBB" w:rsidRPr="00EC7D99" w:rsidRDefault="00C13EBB" w:rsidP="00DE73FB">
      <w:pPr>
        <w:spacing w:line="480" w:lineRule="auto"/>
        <w:jc w:val="center"/>
        <w:rPr>
          <w:rFonts w:cs="Times New Roman"/>
        </w:rPr>
      </w:pPr>
      <w:r w:rsidRPr="00EC7D99">
        <w:rPr>
          <w:rFonts w:cs="Times New Roman"/>
        </w:rPr>
        <w:t>160-500 University Avenue</w:t>
      </w:r>
    </w:p>
    <w:p w14:paraId="12BE6095" w14:textId="77777777" w:rsidR="00C13EBB" w:rsidRPr="00EC7D99" w:rsidRDefault="00C13EBB" w:rsidP="00DE73FB">
      <w:pPr>
        <w:spacing w:line="480" w:lineRule="auto"/>
        <w:jc w:val="center"/>
        <w:rPr>
          <w:rFonts w:cs="Times New Roman"/>
        </w:rPr>
      </w:pPr>
      <w:r w:rsidRPr="00EC7D99">
        <w:rPr>
          <w:rFonts w:cs="Times New Roman"/>
        </w:rPr>
        <w:t>Toronto, ON M5G 1V7</w:t>
      </w:r>
    </w:p>
    <w:p w14:paraId="2C8BF5FE" w14:textId="77777777" w:rsidR="00C13EBB" w:rsidRPr="00EC7D99" w:rsidRDefault="00C13EBB" w:rsidP="00DE73FB">
      <w:pPr>
        <w:spacing w:line="480" w:lineRule="auto"/>
        <w:jc w:val="center"/>
      </w:pPr>
      <w:r w:rsidRPr="00EC7D99">
        <w:rPr>
          <w:rFonts w:cs="Times New Roman"/>
        </w:rPr>
        <w:t>elaine.kearney@mail.utoronto.ca</w:t>
      </w:r>
    </w:p>
    <w:p w14:paraId="1068DE27" w14:textId="77777777" w:rsidR="00C13EBB" w:rsidRPr="00EC7D99" w:rsidRDefault="00C13EBB" w:rsidP="00DE73FB">
      <w:pPr>
        <w:spacing w:line="480" w:lineRule="auto"/>
        <w:jc w:val="center"/>
        <w:sectPr w:rsidR="00C13EBB" w:rsidRPr="00EC7D99" w:rsidSect="00C07BB8">
          <w:headerReference w:type="even" r:id="rId7"/>
          <w:headerReference w:type="default" r:id="rId8"/>
          <w:headerReference w:type="first" r:id="rId9"/>
          <w:pgSz w:w="12240" w:h="15840"/>
          <w:pgMar w:top="1440" w:right="1440" w:bottom="1440" w:left="1440" w:header="708" w:footer="708" w:gutter="0"/>
          <w:cols w:space="708"/>
          <w:docGrid w:linePitch="360"/>
        </w:sectPr>
      </w:pPr>
    </w:p>
    <w:p w14:paraId="221F3F95" w14:textId="77777777" w:rsidR="00C13EBB" w:rsidRPr="00EC7D99" w:rsidRDefault="00C13EBB" w:rsidP="00DE73FB">
      <w:pPr>
        <w:spacing w:line="480" w:lineRule="auto"/>
        <w:jc w:val="center"/>
        <w:outlineLvl w:val="0"/>
        <w:rPr>
          <w:rFonts w:cs="Times New Roman"/>
          <w:b/>
        </w:rPr>
      </w:pPr>
      <w:r w:rsidRPr="00EC7D99">
        <w:rPr>
          <w:b/>
        </w:rPr>
        <w:br w:type="page"/>
      </w:r>
      <w:r w:rsidRPr="00EC7D99">
        <w:rPr>
          <w:rFonts w:cs="Times New Roman"/>
          <w:b/>
        </w:rPr>
        <w:lastRenderedPageBreak/>
        <w:t>Augmented Visual Feedback-Aided Interventions for Motor Rehabilitation</w:t>
      </w:r>
    </w:p>
    <w:p w14:paraId="23D70090" w14:textId="77777777" w:rsidR="00C13EBB" w:rsidRPr="00EC7D99" w:rsidRDefault="00C13EBB" w:rsidP="00BD2946">
      <w:pPr>
        <w:spacing w:line="480" w:lineRule="auto"/>
        <w:jc w:val="center"/>
        <w:outlineLvl w:val="0"/>
        <w:rPr>
          <w:b/>
        </w:rPr>
      </w:pPr>
      <w:r w:rsidRPr="00EC7D99">
        <w:rPr>
          <w:rFonts w:cs="Times New Roman"/>
          <w:b/>
        </w:rPr>
        <w:t>in Parkinson’s Disease: A Systematic Review</w:t>
      </w:r>
    </w:p>
    <w:p w14:paraId="0A3D4817" w14:textId="77777777" w:rsidR="00C13EBB" w:rsidRPr="00EC7D99" w:rsidRDefault="00C13EBB" w:rsidP="00DE73FB">
      <w:pPr>
        <w:spacing w:line="480" w:lineRule="auto"/>
        <w:outlineLvl w:val="0"/>
        <w:rPr>
          <w:rFonts w:cs="Times New Roman"/>
        </w:rPr>
      </w:pPr>
      <w:r w:rsidRPr="00EC7D99">
        <w:rPr>
          <w:b/>
        </w:rPr>
        <w:t>Abstract</w:t>
      </w:r>
    </w:p>
    <w:p w14:paraId="6C036189" w14:textId="77777777" w:rsidR="00C13EBB" w:rsidRPr="00EC7D99" w:rsidRDefault="00C13EBB" w:rsidP="00DE73FB">
      <w:pPr>
        <w:spacing w:line="480" w:lineRule="auto"/>
      </w:pPr>
      <w:r w:rsidRPr="00EC7D99">
        <w:rPr>
          <w:b/>
        </w:rPr>
        <w:t>Purpose:</w:t>
      </w:r>
      <w:r w:rsidRPr="00EC7D99">
        <w:t xml:space="preserve"> A systematic review was performed to (1) evaluate the effectiveness of augmented visual feedback-based treatments for motor rehabilitation in Parkinson’s disease, and (2) examine treatment design factors associated with enhanced outcomes following these treatments. </w:t>
      </w:r>
    </w:p>
    <w:p w14:paraId="58C1B409" w14:textId="77777777" w:rsidR="00C13EBB" w:rsidRPr="00EC7D99" w:rsidRDefault="00C13EBB" w:rsidP="00DE73FB">
      <w:pPr>
        <w:spacing w:line="480" w:lineRule="auto"/>
      </w:pPr>
      <w:r w:rsidRPr="00EC7D99">
        <w:rPr>
          <w:b/>
        </w:rPr>
        <w:t>Methods:</w:t>
      </w:r>
      <w:r w:rsidRPr="00EC7D99">
        <w:t xml:space="preserve"> Eight databases were searched from their start-date up to January 2017 using the key terms </w:t>
      </w:r>
      <w:r w:rsidRPr="00EC7D99">
        <w:rPr>
          <w:i/>
        </w:rPr>
        <w:t>Parkinson’s Disease</w:t>
      </w:r>
      <w:r w:rsidRPr="00EC7D99">
        <w:t xml:space="preserve"> and </w:t>
      </w:r>
      <w:r w:rsidRPr="00EC7D99">
        <w:rPr>
          <w:i/>
        </w:rPr>
        <w:t>augmented visual feedback</w:t>
      </w:r>
      <w:r w:rsidRPr="00EC7D99">
        <w:t>. Two independent raters screened the abstracts and full articles for inclusion. Relevant data were extracted and summarized, and methodological quality of accepted articles was assessed.</w:t>
      </w:r>
    </w:p>
    <w:p w14:paraId="1A24B36F" w14:textId="77777777" w:rsidR="00C13EBB" w:rsidRPr="00EC7D99" w:rsidRDefault="00C13EBB" w:rsidP="00DE73FB">
      <w:pPr>
        <w:spacing w:line="480" w:lineRule="auto"/>
      </w:pPr>
      <w:r w:rsidRPr="00EC7D99">
        <w:rPr>
          <w:b/>
        </w:rPr>
        <w:t>Results:</w:t>
      </w:r>
      <w:r w:rsidRPr="00EC7D99">
        <w:t xml:space="preserve"> Eight single-group studies and 10 randomized control trials were included in the review. Augmented visual feedback-based treatments resulted in improved outcomes with small to large effect sizes post treatment for the majority of impairment, activity, participation, and global motor function measures, and these improvements were often superior to traditional rehabilitation/education programs. Enhanced treatment outcomes were observed in studies that provided large amounts and high intensities of treatment; gamified feedback; and provided knowledge of performance feedback in real-time on 100% of practice trials. </w:t>
      </w:r>
    </w:p>
    <w:p w14:paraId="0D046DF6" w14:textId="77777777" w:rsidR="00C13EBB" w:rsidRPr="00EC7D99" w:rsidRDefault="00C13EBB" w:rsidP="00DE73FB">
      <w:pPr>
        <w:spacing w:line="480" w:lineRule="auto"/>
      </w:pPr>
      <w:r w:rsidRPr="00EC7D99">
        <w:rPr>
          <w:b/>
        </w:rPr>
        <w:t>Conclusion:</w:t>
      </w:r>
      <w:r w:rsidRPr="00EC7D99">
        <w:t xml:space="preserve"> Augmented visual feedback appears to be a useful motor rehabilitation tool in Parkinson’s disease; however, high-quality, rigorous studies remain limited. Future studies should consider factors that enhance rehabilitation outcomes when designing augmented visual feedback-based interventions.</w:t>
      </w:r>
    </w:p>
    <w:p w14:paraId="49BB04C9" w14:textId="456A59CD" w:rsidR="005250CD" w:rsidRDefault="00C13EBB" w:rsidP="005250CD">
      <w:pPr>
        <w:spacing w:line="480" w:lineRule="auto"/>
      </w:pPr>
      <w:r w:rsidRPr="00EC7D99">
        <w:rPr>
          <w:b/>
        </w:rPr>
        <w:t>Keywords:</w:t>
      </w:r>
      <w:r w:rsidRPr="00EC7D99">
        <w:t xml:space="preserve"> Parkinson’s disease, motor rehabilitation, augmented visual feedback, systematic review</w:t>
      </w:r>
    </w:p>
    <w:p w14:paraId="26B366CB" w14:textId="77777777" w:rsidR="005250CD" w:rsidRPr="005250CD" w:rsidRDefault="005250CD" w:rsidP="005250CD">
      <w:pPr>
        <w:spacing w:line="480" w:lineRule="auto"/>
        <w:outlineLvl w:val="0"/>
        <w:rPr>
          <w:b/>
        </w:rPr>
      </w:pPr>
      <w:r w:rsidRPr="005250CD">
        <w:rPr>
          <w:b/>
        </w:rPr>
        <w:lastRenderedPageBreak/>
        <w:t>Implications for Rehabilitation</w:t>
      </w:r>
    </w:p>
    <w:p w14:paraId="4B7B3012" w14:textId="77777777" w:rsidR="005250CD" w:rsidRPr="005250CD" w:rsidRDefault="005250CD" w:rsidP="00507F89">
      <w:pPr>
        <w:pStyle w:val="ListParagraph"/>
        <w:numPr>
          <w:ilvl w:val="0"/>
          <w:numId w:val="18"/>
        </w:numPr>
        <w:spacing w:before="100" w:beforeAutospacing="1" w:after="100" w:afterAutospacing="1" w:line="480" w:lineRule="auto"/>
        <w:rPr>
          <w:rFonts w:cs="Times New Roman"/>
        </w:rPr>
      </w:pPr>
      <w:r w:rsidRPr="005250CD">
        <w:rPr>
          <w:rFonts w:cs="Times New Roman"/>
        </w:rPr>
        <w:t>Augmented visual feedback is a useful tool for motor rehabilitation in Parkinson’s disease; augmented visual feedback-based treatments are often superior to traditional programs.</w:t>
      </w:r>
    </w:p>
    <w:p w14:paraId="4FEFF077" w14:textId="77777777" w:rsidR="005250CD" w:rsidRPr="005250CD" w:rsidRDefault="005250CD" w:rsidP="00507F89">
      <w:pPr>
        <w:pStyle w:val="ListParagraph"/>
        <w:numPr>
          <w:ilvl w:val="0"/>
          <w:numId w:val="18"/>
        </w:numPr>
        <w:spacing w:line="480" w:lineRule="auto"/>
        <w:rPr>
          <w:rFonts w:cs="Times New Roman"/>
        </w:rPr>
      </w:pPr>
      <w:r w:rsidRPr="005250CD">
        <w:rPr>
          <w:rFonts w:cs="Times New Roman"/>
        </w:rPr>
        <w:t>These treatments are associated with improved outcomes in impairment, activity, participation, and global motor function domains.</w:t>
      </w:r>
    </w:p>
    <w:p w14:paraId="42E8DB79" w14:textId="77777777" w:rsidR="005250CD" w:rsidRPr="005250CD" w:rsidRDefault="005250CD" w:rsidP="00507F89">
      <w:pPr>
        <w:pStyle w:val="ListParagraph"/>
        <w:numPr>
          <w:ilvl w:val="0"/>
          <w:numId w:val="18"/>
        </w:numPr>
        <w:spacing w:line="480" w:lineRule="auto"/>
        <w:rPr>
          <w:rFonts w:cs="Times New Roman"/>
          <w:lang w:val="en-US"/>
        </w:rPr>
      </w:pPr>
      <w:r w:rsidRPr="005250CD">
        <w:rPr>
          <w:rFonts w:cs="Times New Roman"/>
        </w:rPr>
        <w:t xml:space="preserve">Rehabilitation professionals can optimize their use of augmented visual feedback-based treatments by </w:t>
      </w:r>
      <w:r w:rsidRPr="005250CD">
        <w:rPr>
          <w:rFonts w:cs="Times New Roman"/>
          <w:lang w:val="en-US"/>
        </w:rPr>
        <w:t>providing large amounts and a high intensity of treatment</w:t>
      </w:r>
      <w:r w:rsidRPr="005250CD">
        <w:rPr>
          <w:rFonts w:cs="Times New Roman"/>
        </w:rPr>
        <w:t>, gamifying feedback, and providing knowledge of performance feedback in real-time and at a high frequency.</w:t>
      </w:r>
    </w:p>
    <w:p w14:paraId="17EA5D4F" w14:textId="77777777" w:rsidR="00C13EBB" w:rsidRPr="00EC7D99" w:rsidRDefault="00C13EBB" w:rsidP="00DE73FB">
      <w:pPr>
        <w:spacing w:line="480" w:lineRule="auto"/>
      </w:pPr>
    </w:p>
    <w:p w14:paraId="29B47BCB" w14:textId="77777777" w:rsidR="00C13EBB" w:rsidRPr="00EC7D99" w:rsidRDefault="00C13EBB" w:rsidP="00DE73FB">
      <w:pPr>
        <w:spacing w:line="480" w:lineRule="auto"/>
        <w:outlineLvl w:val="0"/>
        <w:rPr>
          <w:rFonts w:cs="Times New Roman"/>
          <w:b/>
        </w:rPr>
      </w:pPr>
      <w:r w:rsidRPr="00EC7D99">
        <w:rPr>
          <w:rFonts w:cs="Times New Roman"/>
        </w:rPr>
        <w:br w:type="page"/>
      </w:r>
      <w:r w:rsidRPr="00EC7D99">
        <w:rPr>
          <w:rFonts w:cs="Times New Roman"/>
          <w:b/>
        </w:rPr>
        <w:lastRenderedPageBreak/>
        <w:t>Introduction</w:t>
      </w:r>
    </w:p>
    <w:p w14:paraId="0BFDF231" w14:textId="77777777" w:rsidR="00C13EBB" w:rsidRPr="00EC7D99" w:rsidRDefault="00C13EBB" w:rsidP="00DE73FB">
      <w:pPr>
        <w:spacing w:line="480" w:lineRule="auto"/>
        <w:rPr>
          <w:rFonts w:cs="Times New Roman"/>
        </w:rPr>
      </w:pPr>
      <w:r w:rsidRPr="00EC7D99">
        <w:rPr>
          <w:rFonts w:cs="Times New Roman"/>
        </w:rPr>
        <w:t xml:space="preserve">Parkinson’s disease (PD) is a progressive neurodegenerative disease characterized by four primary motor symptoms, namely resting tremor, rigidity, bradykinesia, and postural impairment </w:t>
      </w:r>
      <w:r w:rsidRPr="00EC7D99">
        <w:rPr>
          <w:rFonts w:cs="Times New Roman"/>
          <w:noProof/>
        </w:rPr>
        <w:t>[1]</w:t>
      </w:r>
      <w:r w:rsidRPr="00EC7D99">
        <w:rPr>
          <w:rFonts w:cs="Times New Roman"/>
        </w:rPr>
        <w:t xml:space="preserve">. In spite of advances in pharmaceutical and surgical treatments in PD, individuals develop progressive motor impairments, resulting in complex gait dysfunction (i.e., freezing of gait, shuffling and festination), postural instability, dyskinesia, dystonia, micrographia, dysarthria, and dysphagia </w:t>
      </w:r>
      <w:r w:rsidR="00DE73FB" w:rsidRPr="00EC7D99">
        <w:rPr>
          <w:rFonts w:cs="Times New Roman"/>
          <w:noProof/>
        </w:rPr>
        <w:t>[1–</w:t>
      </w:r>
      <w:r w:rsidRPr="00EC7D99">
        <w:rPr>
          <w:rFonts w:cs="Times New Roman"/>
          <w:noProof/>
        </w:rPr>
        <w:t>3]</w:t>
      </w:r>
      <w:r w:rsidRPr="00EC7D99">
        <w:rPr>
          <w:rFonts w:cs="Times New Roman"/>
        </w:rPr>
        <w:t xml:space="preserve">. As a result, patients experience lack of independence, inactivity, social isolation, and ultimately, a reduced quality of life </w:t>
      </w:r>
      <w:r w:rsidRPr="00EC7D99">
        <w:rPr>
          <w:rFonts w:cs="Times New Roman"/>
          <w:noProof/>
        </w:rPr>
        <w:t>[4]</w:t>
      </w:r>
      <w:r w:rsidRPr="00EC7D99">
        <w:rPr>
          <w:rFonts w:cs="Times New Roman"/>
        </w:rPr>
        <w:t xml:space="preserve">. Support for rehabilitation therapies in the area of motor impairment is growing </w:t>
      </w:r>
      <w:r w:rsidRPr="00EC7D99">
        <w:rPr>
          <w:rFonts w:cs="Times New Roman"/>
          <w:noProof/>
        </w:rPr>
        <w:t>[5,6]</w:t>
      </w:r>
      <w:r w:rsidRPr="00EC7D99">
        <w:rPr>
          <w:rFonts w:cs="Times New Roman"/>
        </w:rPr>
        <w:t xml:space="preserve"> to enhance personal wellbeing as well as to reduce the economic impact of the disease on society </w:t>
      </w:r>
      <w:r w:rsidRPr="00EC7D99">
        <w:rPr>
          <w:rFonts w:cs="Times New Roman"/>
          <w:noProof/>
        </w:rPr>
        <w:t>[7]</w:t>
      </w:r>
      <w:r w:rsidRPr="00EC7D99">
        <w:rPr>
          <w:rFonts w:cs="Times New Roman"/>
        </w:rPr>
        <w:t>.</w:t>
      </w:r>
    </w:p>
    <w:p w14:paraId="2840F44E" w14:textId="77777777" w:rsidR="00C13EBB" w:rsidRPr="00EC7D99" w:rsidRDefault="00C13EBB" w:rsidP="00DE73FB">
      <w:pPr>
        <w:spacing w:line="480" w:lineRule="auto"/>
        <w:ind w:firstLine="720"/>
        <w:rPr>
          <w:rFonts w:cs="Times New Roman"/>
        </w:rPr>
      </w:pPr>
      <w:r w:rsidRPr="00EC7D99">
        <w:rPr>
          <w:rFonts w:cs="Times New Roman"/>
        </w:rPr>
        <w:t xml:space="preserve">Physio-, occupational, speech, and swallowing therapies aim to reduce motor impairments and maximize functional ability through rehabilitation. Clinical guidelines for professionals that deliver these therapies outline goals for best practice when addressing motor impairments in PD. Specifically, physiotherapy aims to normalize body posture, stimulate reaching and grasping movements, improve balance and gait, prevent inactivity, preserve or improve physical capacity (aerobic capacity, muscle strength, and joint mobility), improve transfers, and prevent falls </w:t>
      </w:r>
      <w:r w:rsidRPr="00EC7D99">
        <w:rPr>
          <w:rFonts w:cs="Times New Roman"/>
          <w:noProof/>
        </w:rPr>
        <w:t>[8]</w:t>
      </w:r>
      <w:r w:rsidRPr="00EC7D99">
        <w:rPr>
          <w:rFonts w:cs="Times New Roman"/>
        </w:rPr>
        <w:t xml:space="preserve">. Occupational therapy focuses on improving or maintaining hand and arm function </w:t>
      </w:r>
      <w:r w:rsidRPr="00EC7D99">
        <w:rPr>
          <w:rFonts w:cs="Times New Roman"/>
          <w:noProof/>
        </w:rPr>
        <w:t>[9]</w:t>
      </w:r>
      <w:r w:rsidRPr="00EC7D99">
        <w:rPr>
          <w:rFonts w:cs="Times New Roman"/>
        </w:rPr>
        <w:t xml:space="preserve">. Speech-language therapy aims to improve patients’ speech intelligibility as well as to remediate the impairments associated with swallowing, chewing, and saliva management </w:t>
      </w:r>
      <w:r w:rsidRPr="00EC7D99">
        <w:rPr>
          <w:rFonts w:cs="Times New Roman"/>
          <w:noProof/>
        </w:rPr>
        <w:t>[10]</w:t>
      </w:r>
      <w:r w:rsidRPr="00EC7D99">
        <w:rPr>
          <w:rFonts w:cs="Times New Roman"/>
        </w:rPr>
        <w:t>. Despite best practice guidelines, evidence for the effectiveness of rehabilitation therapies in PD remains limited.</w:t>
      </w:r>
    </w:p>
    <w:p w14:paraId="5EE91825" w14:textId="77777777" w:rsidR="00C13EBB" w:rsidRPr="00EC7D99" w:rsidRDefault="00C13EBB" w:rsidP="00164917">
      <w:pPr>
        <w:spacing w:line="480" w:lineRule="auto"/>
        <w:ind w:firstLine="720"/>
        <w:rPr>
          <w:rFonts w:cs="Times New Roman"/>
        </w:rPr>
      </w:pPr>
      <w:r w:rsidRPr="00EC7D99">
        <w:rPr>
          <w:rFonts w:cs="Times New Roman"/>
        </w:rPr>
        <w:t xml:space="preserve">Identifying treatment techniques and developing novel treatments is challenging in PD due to the complex disease pathophysiology </w:t>
      </w:r>
      <w:r w:rsidRPr="00EC7D99">
        <w:rPr>
          <w:rFonts w:cs="Times New Roman"/>
          <w:noProof/>
        </w:rPr>
        <w:t>[11]</w:t>
      </w:r>
      <w:r w:rsidRPr="00EC7D99">
        <w:rPr>
          <w:rFonts w:cs="Times New Roman"/>
        </w:rPr>
        <w:t xml:space="preserve">. Among the most relevant considerations, </w:t>
      </w:r>
      <w:r w:rsidRPr="00EC7D99">
        <w:rPr>
          <w:rFonts w:cs="Times New Roman"/>
        </w:rPr>
        <w:lastRenderedPageBreak/>
        <w:t xml:space="preserve">individuals with PD experience reduction in motor learning abilities due to the central role of the basal ganglia in motor learning </w:t>
      </w:r>
      <w:r w:rsidRPr="00EC7D99">
        <w:rPr>
          <w:rFonts w:cs="Times New Roman"/>
          <w:noProof/>
        </w:rPr>
        <w:t>[12,13]</w:t>
      </w:r>
      <w:r w:rsidRPr="00EC7D99">
        <w:rPr>
          <w:rFonts w:cs="Times New Roman"/>
        </w:rPr>
        <w:t xml:space="preserve">. While studies have shown that individuals with PD can successfully acquire or re-acquire motor skills, they do so at a slower rate than their healthy peers </w:t>
      </w:r>
      <w:r w:rsidRPr="00EC7D99">
        <w:rPr>
          <w:rFonts w:cs="Times New Roman"/>
          <w:noProof/>
        </w:rPr>
        <w:t>[14,15]</w:t>
      </w:r>
      <w:r w:rsidRPr="00EC7D99">
        <w:rPr>
          <w:rFonts w:cs="Times New Roman"/>
        </w:rPr>
        <w:t xml:space="preserve">. Further, implicit motor learning mechanisms, which rely on motor practice rather than declarative memory, are particularly impaired in PD </w:t>
      </w:r>
      <w:r w:rsidRPr="00EC7D99">
        <w:rPr>
          <w:rFonts w:cs="Times New Roman"/>
          <w:noProof/>
        </w:rPr>
        <w:t>[16]</w:t>
      </w:r>
      <w:r w:rsidRPr="00EC7D99">
        <w:rPr>
          <w:rFonts w:cs="Times New Roman"/>
        </w:rPr>
        <w:t xml:space="preserve">. As a result, patients with PD appear to benefit from </w:t>
      </w:r>
      <w:r w:rsidR="00C07BB8" w:rsidRPr="00EC7D99">
        <w:rPr>
          <w:rFonts w:cs="Times New Roman"/>
        </w:rPr>
        <w:t xml:space="preserve">a lot of practice, and </w:t>
      </w:r>
      <w:r w:rsidRPr="00EC7D99">
        <w:rPr>
          <w:rFonts w:cs="Times New Roman"/>
        </w:rPr>
        <w:t>explicit methods of mo</w:t>
      </w:r>
      <w:r w:rsidR="00C07BB8" w:rsidRPr="00EC7D99">
        <w:rPr>
          <w:rFonts w:cs="Times New Roman"/>
        </w:rPr>
        <w:t>tor learning</w:t>
      </w:r>
      <w:r w:rsidRPr="00EC7D99">
        <w:rPr>
          <w:rFonts w:cs="Times New Roman"/>
        </w:rPr>
        <w:t xml:space="preserve">, particularly at the later stages of motor learning when skill transfer occurs </w:t>
      </w:r>
      <w:r w:rsidRPr="00EC7D99">
        <w:rPr>
          <w:rFonts w:cs="Times New Roman"/>
          <w:noProof/>
        </w:rPr>
        <w:t>[11]</w:t>
      </w:r>
      <w:r w:rsidRPr="00EC7D99">
        <w:rPr>
          <w:rFonts w:cs="Times New Roman"/>
        </w:rPr>
        <w:t>. One of the most challenging asp</w:t>
      </w:r>
      <w:r w:rsidR="00C07BB8" w:rsidRPr="00EC7D99">
        <w:rPr>
          <w:rFonts w:cs="Times New Roman"/>
        </w:rPr>
        <w:t>ects of rehabilitation</w:t>
      </w:r>
      <w:r w:rsidRPr="00EC7D99">
        <w:rPr>
          <w:rFonts w:cs="Times New Roman"/>
        </w:rPr>
        <w:t xml:space="preserve"> is to motivate clients to perform an adequate number of trials during training to achieve sustainable improvements in their motor control. Motivation is yet another challenge that is pronounced in PD, where the dopamine-dependent circuits for motivation are affected </w:t>
      </w:r>
      <w:r w:rsidRPr="00EC7D99">
        <w:rPr>
          <w:rFonts w:cs="Times New Roman"/>
          <w:noProof/>
        </w:rPr>
        <w:t>[17]</w:t>
      </w:r>
      <w:r w:rsidRPr="00EC7D99">
        <w:rPr>
          <w:rFonts w:cs="Times New Roman"/>
        </w:rPr>
        <w:t xml:space="preserve">. Effective therapies need to be highly motivating in order to engage patients in the process of rehabilitation. Finally, individuals with PD become more dependent on external visual stimuli to execute or learn motor patterns </w:t>
      </w:r>
      <w:r w:rsidR="00DE73FB" w:rsidRPr="00EC7D99">
        <w:rPr>
          <w:rFonts w:cs="Times New Roman"/>
          <w:noProof/>
        </w:rPr>
        <w:t>[18–</w:t>
      </w:r>
      <w:r w:rsidRPr="00EC7D99">
        <w:rPr>
          <w:rFonts w:cs="Times New Roman"/>
          <w:noProof/>
        </w:rPr>
        <w:t>20]</w:t>
      </w:r>
      <w:r w:rsidRPr="00EC7D99">
        <w:rPr>
          <w:rFonts w:cs="Times New Roman"/>
        </w:rPr>
        <w:t xml:space="preserve">. The addition of visual feedback may help to compensate for proprioceptive deficits observed in PD during motor tasks </w:t>
      </w:r>
      <w:r w:rsidR="00DE73FB" w:rsidRPr="00EC7D99">
        <w:rPr>
          <w:rFonts w:cs="Times New Roman"/>
          <w:noProof/>
        </w:rPr>
        <w:t>[21–</w:t>
      </w:r>
      <w:r w:rsidRPr="00EC7D99">
        <w:rPr>
          <w:rFonts w:cs="Times New Roman"/>
          <w:noProof/>
        </w:rPr>
        <w:t>23]</w:t>
      </w:r>
      <w:r w:rsidRPr="00EC7D99">
        <w:rPr>
          <w:rFonts w:cs="Times New Roman"/>
        </w:rPr>
        <w:t>.</w:t>
      </w:r>
    </w:p>
    <w:p w14:paraId="2F502C0B" w14:textId="77777777" w:rsidR="00C13EBB" w:rsidRPr="00EC7D99" w:rsidRDefault="00C13EBB" w:rsidP="00DE73FB">
      <w:pPr>
        <w:widowControl w:val="0"/>
        <w:autoSpaceDE w:val="0"/>
        <w:autoSpaceDN w:val="0"/>
        <w:adjustRightInd w:val="0"/>
        <w:spacing w:line="480" w:lineRule="auto"/>
        <w:ind w:firstLine="720"/>
        <w:rPr>
          <w:rFonts w:cs="Times New Roman"/>
        </w:rPr>
      </w:pPr>
      <w:r w:rsidRPr="00EC7D99">
        <w:rPr>
          <w:rFonts w:cs="Times New Roman"/>
        </w:rPr>
        <w:t xml:space="preserve">Rehabilitation science turned to technology and paradigms based on augmented visual feedback to enhance learning, increase engagement and improve treatment outcomes </w:t>
      </w:r>
      <w:r w:rsidRPr="00EC7D99">
        <w:rPr>
          <w:rFonts w:cs="Times New Roman"/>
          <w:noProof/>
        </w:rPr>
        <w:t>[24]</w:t>
      </w:r>
      <w:r w:rsidRPr="00EC7D99">
        <w:rPr>
          <w:rFonts w:cs="Times New Roman"/>
        </w:rPr>
        <w:t>. Augmented feedback is defined as “extrinsic feedback provided to a learner” that “supplements the information that is naturally available” </w:t>
      </w:r>
      <w:r w:rsidRPr="00EC7D99">
        <w:rPr>
          <w:rFonts w:cs="Times New Roman"/>
          <w:noProof/>
        </w:rPr>
        <w:t>[25,p.39]</w:t>
      </w:r>
      <w:r w:rsidRPr="00EC7D99">
        <w:rPr>
          <w:rFonts w:cs="Times New Roman"/>
        </w:rPr>
        <w:t xml:space="preserve">, for example, providing an individual with information regarding their step length during walking </w:t>
      </w:r>
      <w:r w:rsidRPr="00EC7D99">
        <w:rPr>
          <w:rFonts w:cs="Times New Roman"/>
          <w:noProof/>
        </w:rPr>
        <w:t>[26]</w:t>
      </w:r>
      <w:r w:rsidRPr="00EC7D99">
        <w:rPr>
          <w:rFonts w:cs="Times New Roman"/>
        </w:rPr>
        <w:t xml:space="preserve">, or tongue movements during speech </w:t>
      </w:r>
      <w:r w:rsidRPr="00EC7D99">
        <w:rPr>
          <w:rFonts w:cs="Times New Roman"/>
          <w:noProof/>
        </w:rPr>
        <w:t>[27]</w:t>
      </w:r>
      <w:r w:rsidRPr="00EC7D99">
        <w:rPr>
          <w:rFonts w:cs="Times New Roman"/>
        </w:rPr>
        <w:t xml:space="preserve">. Augmented visual feedback has been shown to enhance motor learning in healthy and disordered populations </w:t>
      </w:r>
      <w:r w:rsidRPr="00EC7D99">
        <w:rPr>
          <w:rFonts w:cs="Times New Roman"/>
          <w:noProof/>
        </w:rPr>
        <w:t>[e.g., stroke; 28]</w:t>
      </w:r>
      <w:r w:rsidRPr="00EC7D99">
        <w:rPr>
          <w:rFonts w:cs="Times New Roman"/>
        </w:rPr>
        <w:t>. It engages visual sensory channels and can make the learning process more explicit by providing visual information regarding the outcome of movement and movement characteristics, termed knowledge of results and knowled</w:t>
      </w:r>
      <w:r w:rsidR="00DE73FB" w:rsidRPr="00EC7D99">
        <w:rPr>
          <w:rFonts w:cs="Times New Roman"/>
        </w:rPr>
        <w:t xml:space="preserve">ge of </w:t>
      </w:r>
      <w:r w:rsidR="00DE73FB" w:rsidRPr="00EC7D99">
        <w:rPr>
          <w:rFonts w:cs="Times New Roman"/>
        </w:rPr>
        <w:lastRenderedPageBreak/>
        <w:t>performance, respectively</w:t>
      </w:r>
      <w:r w:rsidRPr="00EC7D99">
        <w:rPr>
          <w:rFonts w:cs="Times New Roman"/>
        </w:rPr>
        <w:t xml:space="preserve"> </w:t>
      </w:r>
      <w:r w:rsidRPr="00EC7D99">
        <w:rPr>
          <w:rFonts w:cs="Times New Roman"/>
          <w:noProof/>
        </w:rPr>
        <w:t>[29]</w:t>
      </w:r>
      <w:r w:rsidRPr="00EC7D99">
        <w:rPr>
          <w:rFonts w:cs="Times New Roman"/>
        </w:rPr>
        <w:t>. In PD, there has recently been a surge in a number of studies reporting novel therapies with augmented visual feedback, particularly in the domain of physiotherapy. The goal of this study is to comprehensi</w:t>
      </w:r>
      <w:r w:rsidR="00164917" w:rsidRPr="00EC7D99">
        <w:rPr>
          <w:rFonts w:cs="Times New Roman"/>
        </w:rPr>
        <w:t xml:space="preserve">vely review this </w:t>
      </w:r>
      <w:r w:rsidR="00392ADC" w:rsidRPr="00EC7D99">
        <w:rPr>
          <w:rFonts w:cs="Times New Roman"/>
        </w:rPr>
        <w:t>literature, evaluate the outcomes</w:t>
      </w:r>
      <w:r w:rsidR="00164917" w:rsidRPr="00EC7D99">
        <w:rPr>
          <w:rFonts w:cs="Times New Roman"/>
        </w:rPr>
        <w:t xml:space="preserve"> of these novel interventions, </w:t>
      </w:r>
      <w:r w:rsidRPr="00EC7D99">
        <w:rPr>
          <w:rFonts w:cs="Times New Roman"/>
        </w:rPr>
        <w:t>and identify common factors associated with enhanced outcomes in these studies.</w:t>
      </w:r>
    </w:p>
    <w:p w14:paraId="31B66B5A" w14:textId="77777777" w:rsidR="00C13EBB" w:rsidRPr="00EC7D99" w:rsidRDefault="00C13EBB" w:rsidP="00DE73FB">
      <w:pPr>
        <w:widowControl w:val="0"/>
        <w:autoSpaceDE w:val="0"/>
        <w:autoSpaceDN w:val="0"/>
        <w:adjustRightInd w:val="0"/>
        <w:spacing w:line="480" w:lineRule="auto"/>
        <w:ind w:firstLine="720"/>
        <w:rPr>
          <w:rFonts w:cs="Times New Roman"/>
        </w:rPr>
      </w:pPr>
      <w:r w:rsidRPr="00EC7D99">
        <w:rPr>
          <w:rFonts w:cs="Times New Roman"/>
        </w:rPr>
        <w:t xml:space="preserve">A number of treatment design factors have been associated with enhanced motor learning and improved outcomes in the rehabilitation literature. These factors include (1) the amount of treatment </w:t>
      </w:r>
      <w:r w:rsidRPr="00EC7D99">
        <w:rPr>
          <w:rFonts w:cs="Times New Roman"/>
          <w:noProof/>
        </w:rPr>
        <w:t>[30]</w:t>
      </w:r>
      <w:r w:rsidRPr="00EC7D99">
        <w:rPr>
          <w:rFonts w:cs="Times New Roman"/>
        </w:rPr>
        <w:t xml:space="preserve">; (2) the intensity of the treatment schedule </w:t>
      </w:r>
      <w:r w:rsidRPr="00EC7D99">
        <w:rPr>
          <w:rFonts w:cs="Times New Roman"/>
          <w:noProof/>
        </w:rPr>
        <w:t>[31]</w:t>
      </w:r>
      <w:r w:rsidRPr="00EC7D99">
        <w:rPr>
          <w:rFonts w:cs="Times New Roman"/>
        </w:rPr>
        <w:t xml:space="preserve">; (3) gamification of feedback </w:t>
      </w:r>
      <w:r w:rsidRPr="00EC7D99">
        <w:rPr>
          <w:rFonts w:cs="Times New Roman"/>
          <w:noProof/>
        </w:rPr>
        <w:t>[24]</w:t>
      </w:r>
      <w:r w:rsidRPr="00EC7D99">
        <w:rPr>
          <w:rFonts w:cs="Times New Roman"/>
        </w:rPr>
        <w:t xml:space="preserve">; (4) nature of feedback (i.e., knowledge of results vs. knowledge of performance) </w:t>
      </w:r>
      <w:r w:rsidRPr="00EC7D99">
        <w:rPr>
          <w:rFonts w:cs="Times New Roman"/>
          <w:noProof/>
        </w:rPr>
        <w:t>[32]</w:t>
      </w:r>
      <w:r w:rsidRPr="00EC7D99">
        <w:rPr>
          <w:rFonts w:cs="Times New Roman"/>
        </w:rPr>
        <w:t xml:space="preserve">; (5) timing of feedback (e.g., real-time vs. delayed) </w:t>
      </w:r>
      <w:r w:rsidRPr="00EC7D99">
        <w:rPr>
          <w:rFonts w:cs="Times New Roman"/>
          <w:noProof/>
        </w:rPr>
        <w:t>[33]</w:t>
      </w:r>
      <w:r w:rsidRPr="00EC7D99">
        <w:rPr>
          <w:rFonts w:cs="Times New Roman"/>
        </w:rPr>
        <w:t>; and (6) frequency of feedback (e.</w:t>
      </w:r>
      <w:r w:rsidR="00164917" w:rsidRPr="00EC7D99">
        <w:rPr>
          <w:rFonts w:cs="Times New Roman"/>
        </w:rPr>
        <w:t>g., every trial vs. summary of five</w:t>
      </w:r>
      <w:r w:rsidRPr="00EC7D99">
        <w:rPr>
          <w:rFonts w:cs="Times New Roman"/>
        </w:rPr>
        <w:t xml:space="preserve"> trials) </w:t>
      </w:r>
      <w:r w:rsidRPr="00EC7D99">
        <w:rPr>
          <w:rFonts w:cs="Times New Roman"/>
          <w:noProof/>
        </w:rPr>
        <w:t>[34]</w:t>
      </w:r>
      <w:r w:rsidRPr="00EC7D99">
        <w:rPr>
          <w:rFonts w:cs="Times New Roman"/>
        </w:rPr>
        <w:t xml:space="preserve">. Some of these factors have been examined </w:t>
      </w:r>
      <w:r w:rsidR="00164917" w:rsidRPr="00EC7D99">
        <w:rPr>
          <w:rFonts w:cs="Times New Roman"/>
        </w:rPr>
        <w:t>in experimental studies of motor learning in</w:t>
      </w:r>
      <w:r w:rsidRPr="00EC7D99">
        <w:rPr>
          <w:rFonts w:cs="Times New Roman"/>
        </w:rPr>
        <w:t xml:space="preserve"> PD. For example, in a group of patients with PD with gait abnormalit</w:t>
      </w:r>
      <w:r w:rsidR="00164917" w:rsidRPr="00EC7D99">
        <w:rPr>
          <w:rFonts w:cs="Times New Roman"/>
        </w:rPr>
        <w:t>ies, a treadmill training program</w:t>
      </w:r>
      <w:r w:rsidRPr="00EC7D99">
        <w:rPr>
          <w:rFonts w:cs="Times New Roman"/>
        </w:rPr>
        <w:t xml:space="preserve"> showed better outcomes following low-to-medium intensity (2-3 times/wee</w:t>
      </w:r>
      <w:r w:rsidR="00164917" w:rsidRPr="00EC7D99">
        <w:rPr>
          <w:rFonts w:cs="Times New Roman"/>
        </w:rPr>
        <w:t>k) than a high intensity schedule</w:t>
      </w:r>
      <w:r w:rsidRPr="00EC7D99">
        <w:rPr>
          <w:rFonts w:cs="Times New Roman"/>
        </w:rPr>
        <w:t xml:space="preserve"> (5 times/week) </w:t>
      </w:r>
      <w:r w:rsidRPr="00EC7D99">
        <w:rPr>
          <w:rFonts w:cs="Times New Roman"/>
          <w:noProof/>
        </w:rPr>
        <w:t>[35]</w:t>
      </w:r>
      <w:r w:rsidRPr="00EC7D99">
        <w:rPr>
          <w:rFonts w:cs="Times New Roman"/>
        </w:rPr>
        <w:t xml:space="preserve">. Further, reduced frequency of feedback enhanced the retention of motor skills for a hand-positioning </w:t>
      </w:r>
      <w:r w:rsidR="00164917" w:rsidRPr="00EC7D99">
        <w:rPr>
          <w:rFonts w:cs="Times New Roman"/>
        </w:rPr>
        <w:t xml:space="preserve">training </w:t>
      </w:r>
      <w:r w:rsidRPr="00EC7D99">
        <w:rPr>
          <w:rFonts w:cs="Times New Roman"/>
        </w:rPr>
        <w:t>t</w:t>
      </w:r>
      <w:r w:rsidR="00164917" w:rsidRPr="00EC7D99">
        <w:rPr>
          <w:rFonts w:cs="Times New Roman"/>
        </w:rPr>
        <w:t>ask</w:t>
      </w:r>
      <w:r w:rsidRPr="00EC7D99">
        <w:rPr>
          <w:rFonts w:cs="Times New Roman"/>
        </w:rPr>
        <w:t xml:space="preserve"> </w:t>
      </w:r>
      <w:r w:rsidRPr="00EC7D99">
        <w:rPr>
          <w:rFonts w:cs="Times New Roman"/>
          <w:noProof/>
        </w:rPr>
        <w:t>[36]</w:t>
      </w:r>
      <w:r w:rsidRPr="00EC7D99">
        <w:rPr>
          <w:rFonts w:cs="Times New Roman"/>
        </w:rPr>
        <w:t xml:space="preserve"> and a speech-timing task </w:t>
      </w:r>
      <w:r w:rsidRPr="00EC7D99">
        <w:rPr>
          <w:rFonts w:cs="Times New Roman"/>
          <w:noProof/>
        </w:rPr>
        <w:t>[37]</w:t>
      </w:r>
      <w:r w:rsidRPr="00EC7D99">
        <w:rPr>
          <w:rFonts w:cs="Times New Roman"/>
        </w:rPr>
        <w:t xml:space="preserve">. Whereas often not experimentally manipulated within </w:t>
      </w:r>
      <w:r w:rsidR="00392ADC" w:rsidRPr="00EC7D99">
        <w:rPr>
          <w:rFonts w:cs="Times New Roman"/>
        </w:rPr>
        <w:t xml:space="preserve">treatment </w:t>
      </w:r>
      <w:r w:rsidRPr="00EC7D99">
        <w:rPr>
          <w:rFonts w:cs="Times New Roman"/>
        </w:rPr>
        <w:t>studies, these factors have been implicitly incorporated into the design of rehabilitation programs, and are important to examine across studies</w:t>
      </w:r>
      <w:r w:rsidR="00164917" w:rsidRPr="00EC7D99">
        <w:rPr>
          <w:rFonts w:cs="Times New Roman"/>
        </w:rPr>
        <w:t xml:space="preserve"> because</w:t>
      </w:r>
      <w:r w:rsidRPr="00EC7D99">
        <w:rPr>
          <w:rFonts w:cs="Times New Roman"/>
        </w:rPr>
        <w:t xml:space="preserve"> they may significantly affect the</w:t>
      </w:r>
      <w:r w:rsidR="00164917" w:rsidRPr="00EC7D99">
        <w:rPr>
          <w:rFonts w:cs="Times New Roman"/>
        </w:rPr>
        <w:t>ir</w:t>
      </w:r>
      <w:r w:rsidRPr="00EC7D99">
        <w:rPr>
          <w:rFonts w:cs="Times New Roman"/>
        </w:rPr>
        <w:t xml:space="preserve"> study outcomes.</w:t>
      </w:r>
    </w:p>
    <w:p w14:paraId="3E412EDE" w14:textId="77777777" w:rsidR="00C13EBB" w:rsidRPr="00EC7D99" w:rsidRDefault="00C13EBB" w:rsidP="00BD2946">
      <w:pPr>
        <w:spacing w:line="480" w:lineRule="auto"/>
        <w:ind w:firstLine="720"/>
        <w:rPr>
          <w:rFonts w:cs="Times New Roman"/>
        </w:rPr>
      </w:pPr>
      <w:r w:rsidRPr="00EC7D99">
        <w:rPr>
          <w:rFonts w:cs="Times New Roman"/>
        </w:rPr>
        <w:t xml:space="preserve">The purpose of this systematic review of literature was to (1) evaluate the effectiveness of augmented visual feedback-based treatments as used for rehabilitation of motor skills in PD, and (2) examine the effect of treatment design factors associated with enhanced treatment outcomes in these studies. These findings are expected to provide future directions for the development and </w:t>
      </w:r>
      <w:r w:rsidRPr="00EC7D99">
        <w:rPr>
          <w:rFonts w:cs="Times New Roman"/>
        </w:rPr>
        <w:lastRenderedPageBreak/>
        <w:t>implementation of augmented visual feedback approaches for motor rehabilitation in adults with PD.</w:t>
      </w:r>
    </w:p>
    <w:p w14:paraId="65AFC5F3" w14:textId="77777777" w:rsidR="00C13EBB" w:rsidRPr="00EC7D99" w:rsidRDefault="00C13EBB" w:rsidP="00DE73FB">
      <w:pPr>
        <w:spacing w:line="480" w:lineRule="auto"/>
        <w:outlineLvl w:val="0"/>
        <w:rPr>
          <w:rFonts w:cs="Times New Roman"/>
        </w:rPr>
      </w:pPr>
      <w:r w:rsidRPr="00EC7D99">
        <w:rPr>
          <w:rFonts w:cs="Times New Roman"/>
          <w:b/>
        </w:rPr>
        <w:t>Method</w:t>
      </w:r>
    </w:p>
    <w:p w14:paraId="2349EA2C" w14:textId="77777777" w:rsidR="00C13EBB" w:rsidRPr="00EC7D99" w:rsidRDefault="00C13EBB" w:rsidP="00DE73FB">
      <w:pPr>
        <w:spacing w:line="480" w:lineRule="auto"/>
        <w:outlineLvl w:val="0"/>
        <w:rPr>
          <w:rFonts w:cs="Times New Roman"/>
          <w:b/>
          <w:i/>
        </w:rPr>
      </w:pPr>
      <w:r w:rsidRPr="00EC7D99">
        <w:rPr>
          <w:rFonts w:cs="Times New Roman"/>
          <w:b/>
          <w:i/>
        </w:rPr>
        <w:t>Operational Definitions</w:t>
      </w:r>
    </w:p>
    <w:p w14:paraId="65A96D3A" w14:textId="77777777" w:rsidR="00C13EBB" w:rsidRPr="00EC7D99" w:rsidRDefault="00C13EBB" w:rsidP="00BD2946">
      <w:pPr>
        <w:spacing w:line="480" w:lineRule="auto"/>
        <w:rPr>
          <w:rFonts w:cs="Times New Roman"/>
        </w:rPr>
      </w:pPr>
      <w:r w:rsidRPr="00EC7D99">
        <w:rPr>
          <w:rFonts w:cs="Times New Roman"/>
        </w:rPr>
        <w:t xml:space="preserve">Operational definitions, determined a priori, guided the search and included: </w:t>
      </w:r>
      <w:r w:rsidRPr="00EC7D99">
        <w:rPr>
          <w:rFonts w:cs="Times New Roman"/>
          <w:i/>
        </w:rPr>
        <w:t xml:space="preserve">Augmented visual feedback, </w:t>
      </w:r>
      <w:r w:rsidRPr="00EC7D99">
        <w:rPr>
          <w:rFonts w:cs="Times New Roman"/>
        </w:rPr>
        <w:t xml:space="preserve">as movement-related information presented by an external source in the visual modality, including knowledge of results – information related to the outcome of movement - and/or knowledge of performance – information related to the quality of movement </w:t>
      </w:r>
      <w:r w:rsidRPr="00EC7D99">
        <w:rPr>
          <w:rFonts w:cs="Times New Roman"/>
          <w:noProof/>
        </w:rPr>
        <w:t>[38]</w:t>
      </w:r>
      <w:r w:rsidRPr="00EC7D99">
        <w:rPr>
          <w:rFonts w:cs="Times New Roman"/>
        </w:rPr>
        <w:t xml:space="preserve">; </w:t>
      </w:r>
      <w:r w:rsidRPr="00EC7D99">
        <w:rPr>
          <w:rFonts w:cs="Times New Roman"/>
          <w:i/>
        </w:rPr>
        <w:t>Motor rehabilitation,</w:t>
      </w:r>
      <w:r w:rsidRPr="00EC7D99">
        <w:rPr>
          <w:rFonts w:cs="Times New Roman"/>
        </w:rPr>
        <w:t xml:space="preserve"> as any intervention that focused on the recovery of motor skill, including but not limited to, balance, gait, hand-writing, speech and swallowing. </w:t>
      </w:r>
    </w:p>
    <w:p w14:paraId="2FD042B5" w14:textId="77777777" w:rsidR="00C13EBB" w:rsidRPr="00EC7D99" w:rsidRDefault="00C13EBB" w:rsidP="00DE73FB">
      <w:pPr>
        <w:spacing w:line="480" w:lineRule="auto"/>
        <w:outlineLvl w:val="0"/>
        <w:rPr>
          <w:rFonts w:cs="Times New Roman"/>
          <w:b/>
          <w:i/>
        </w:rPr>
      </w:pPr>
      <w:r w:rsidRPr="00EC7D99">
        <w:rPr>
          <w:rFonts w:cs="Times New Roman"/>
          <w:b/>
          <w:i/>
        </w:rPr>
        <w:t>Search Strategy</w:t>
      </w:r>
    </w:p>
    <w:p w14:paraId="639BDE29" w14:textId="00A8E5C6" w:rsidR="00C13EBB" w:rsidRPr="00EC7D99" w:rsidRDefault="00C13EBB" w:rsidP="00DE73FB">
      <w:pPr>
        <w:spacing w:line="480" w:lineRule="auto"/>
        <w:rPr>
          <w:rFonts w:cs="Times New Roman"/>
        </w:rPr>
      </w:pPr>
      <w:r w:rsidRPr="00EC7D99">
        <w:rPr>
          <w:rFonts w:cs="Times New Roman"/>
        </w:rPr>
        <w:t>Eight databases were searched from their inception to January 11</w:t>
      </w:r>
      <w:r w:rsidRPr="00EC7D99">
        <w:rPr>
          <w:rFonts w:cs="Times New Roman"/>
          <w:vertAlign w:val="superscript"/>
        </w:rPr>
        <w:t>th</w:t>
      </w:r>
      <w:r w:rsidRPr="00EC7D99">
        <w:rPr>
          <w:rFonts w:cs="Times New Roman"/>
        </w:rPr>
        <w:t>, 2017, including MEDLINE, MEDLINE In-Process and Other Non-Indexed Citations, Embase, Cumulative Index to Nursing and Allied Health Literature, Allied and Complimentary Medicine Database, PsycINFO, Cochrane Database of Systematic Reviews, and Cochrane Central Register of Controlled Trials. The start-date varied by database, with th</w:t>
      </w:r>
      <w:r w:rsidR="00951FBC" w:rsidRPr="00EC7D99">
        <w:rPr>
          <w:rFonts w:cs="Times New Roman"/>
        </w:rPr>
        <w:t>e earliest</w:t>
      </w:r>
      <w:r w:rsidRPr="00EC7D99">
        <w:rPr>
          <w:rFonts w:cs="Times New Roman"/>
        </w:rPr>
        <w:t xml:space="preserve"> beginning in 1806 (PsychINFO). The key search terms were </w:t>
      </w:r>
      <w:r w:rsidRPr="00EC7D99">
        <w:rPr>
          <w:rFonts w:cs="Times New Roman"/>
          <w:i/>
        </w:rPr>
        <w:t>Parkinson’s disease</w:t>
      </w:r>
      <w:r w:rsidRPr="00EC7D99">
        <w:rPr>
          <w:rFonts w:cs="Times New Roman"/>
        </w:rPr>
        <w:t xml:space="preserve"> combined with </w:t>
      </w:r>
      <w:r w:rsidRPr="00EC7D99">
        <w:rPr>
          <w:rFonts w:cs="Times New Roman"/>
          <w:i/>
        </w:rPr>
        <w:t xml:space="preserve">augmented visual feedback </w:t>
      </w:r>
      <w:r w:rsidRPr="00EC7D99">
        <w:rPr>
          <w:rFonts w:cs="Times New Roman"/>
        </w:rPr>
        <w:t>or associated terms (such as sensory feedback, visual feedback, knowledge of results, knowledge of performance).</w:t>
      </w:r>
      <w:r w:rsidRPr="00EC7D99">
        <w:rPr>
          <w:rFonts w:cs="Times New Roman"/>
          <w:i/>
        </w:rPr>
        <w:t xml:space="preserve"> </w:t>
      </w:r>
      <w:r w:rsidRPr="00EC7D99">
        <w:rPr>
          <w:rFonts w:cs="Times New Roman"/>
        </w:rPr>
        <w:t xml:space="preserve">The search terms were adapted for each database (for example, MeSH headings in MEDLINE vs. subject headings in the Cumulative Index to Nursing and Allied Health Literature. See supplementary table S1 for the search strategy used per database. Additionally, the reference lists of pertinent articles (i.e., related review articles and included studies) were examined to ensure that all relevant articles were considered for review. </w:t>
      </w:r>
    </w:p>
    <w:p w14:paraId="6DA6C4E0" w14:textId="77777777" w:rsidR="00C13EBB" w:rsidRPr="00EC7D99" w:rsidRDefault="00C13EBB" w:rsidP="00DE73FB">
      <w:pPr>
        <w:spacing w:line="480" w:lineRule="auto"/>
        <w:outlineLvl w:val="0"/>
        <w:rPr>
          <w:rFonts w:cs="Times New Roman"/>
          <w:b/>
          <w:i/>
        </w:rPr>
      </w:pPr>
      <w:r w:rsidRPr="00EC7D99">
        <w:rPr>
          <w:rFonts w:cs="Times New Roman"/>
          <w:b/>
          <w:i/>
        </w:rPr>
        <w:lastRenderedPageBreak/>
        <w:t xml:space="preserve">Inclusion and Exclusion Criteria </w:t>
      </w:r>
    </w:p>
    <w:p w14:paraId="31DBBA7D" w14:textId="77777777" w:rsidR="00C13EBB" w:rsidRPr="00EC7D99" w:rsidRDefault="00C13EBB" w:rsidP="00DE73FB">
      <w:pPr>
        <w:spacing w:line="480" w:lineRule="auto"/>
        <w:rPr>
          <w:rFonts w:cs="Times New Roman"/>
        </w:rPr>
      </w:pPr>
      <w:r w:rsidRPr="00EC7D99">
        <w:rPr>
          <w:rFonts w:cs="Times New Roman"/>
        </w:rPr>
        <w:t xml:space="preserve">This review was limited to studies from peer-reviewed sources that examined the benefit of augmented visual feedback in motor rehabilitation in adults with a diagnosis of PD, regardless of outcome type. Studies were excluded if they (1) had no abstract; (2) targeted animal/ non-human subjects; (3) did not include treatment; (4) did not utilize augmented visual feedback; (5) did not compare performance either within subjects pre-post treatment, or between experimental and control groups post treatment; or (6) were focused on instrument development or validation; (7) were case studies. Tutorials, educational reports, reviews, book chapters, bibliographies, study proposals, and commentaries were also excluded from the review. </w:t>
      </w:r>
    </w:p>
    <w:p w14:paraId="558E23A7" w14:textId="77777777" w:rsidR="00C13EBB" w:rsidRPr="00EC7D99" w:rsidRDefault="00C13EBB" w:rsidP="00DE73FB">
      <w:pPr>
        <w:spacing w:line="480" w:lineRule="auto"/>
        <w:rPr>
          <w:rFonts w:cs="Times New Roman"/>
        </w:rPr>
      </w:pPr>
      <w:r w:rsidRPr="00EC7D99">
        <w:rPr>
          <w:rFonts w:cs="Times New Roman"/>
        </w:rPr>
        <w:tab/>
        <w:t xml:space="preserve">Using these criteria, two raters (EK and SS) independently screened each title and abstract for inclusion. Each abstract was either coded as “accept” or “reject” with reason specified. The raters discussed and reached consensus on any differences in abstract coding. For all accepted abstracts, full articles were assessed using the same exclusion criteria. </w:t>
      </w:r>
    </w:p>
    <w:p w14:paraId="48FA9A21" w14:textId="77777777" w:rsidR="00C13EBB" w:rsidRPr="00EC7D99" w:rsidRDefault="00C13EBB" w:rsidP="00DE73FB">
      <w:pPr>
        <w:spacing w:line="480" w:lineRule="auto"/>
        <w:outlineLvl w:val="0"/>
        <w:rPr>
          <w:rFonts w:cs="Times New Roman"/>
          <w:b/>
          <w:i/>
        </w:rPr>
      </w:pPr>
      <w:r w:rsidRPr="00EC7D99">
        <w:rPr>
          <w:rFonts w:cs="Times New Roman"/>
          <w:b/>
          <w:i/>
        </w:rPr>
        <w:t xml:space="preserve">Data Extraction </w:t>
      </w:r>
    </w:p>
    <w:p w14:paraId="50F7C35F" w14:textId="77777777" w:rsidR="00C13EBB" w:rsidRPr="00EC7D99" w:rsidRDefault="00C13EBB" w:rsidP="00DE73FB">
      <w:pPr>
        <w:spacing w:line="480" w:lineRule="auto"/>
        <w:rPr>
          <w:rFonts w:cs="Times New Roman"/>
        </w:rPr>
      </w:pPr>
      <w:r w:rsidRPr="00EC7D99">
        <w:rPr>
          <w:rFonts w:cs="Times New Roman"/>
        </w:rPr>
        <w:t xml:space="preserve">The first author (EK) conducted data extraction from accepted full-texts in order to characterize the included studies and identify study outcomes. The extracted data pertained to study design, participants (i.e., sample size, age, sex, disease duration, disease severity), intervention (i.e., setting, motor skill targeted, treatment schedule, description of intervention/technology, augmented feedback modalities, and gamification, content, nature, timing, and frequency of feedback), and timing of follow-up assessment (if applicable). In addition to these characteristics, all outcome measures reflecting motor impairment, motor function, quality of life and associated findings were recorded. </w:t>
      </w:r>
    </w:p>
    <w:p w14:paraId="4C0EF61E" w14:textId="77777777" w:rsidR="00C13EBB" w:rsidRPr="00EC7D99" w:rsidRDefault="00C13EBB" w:rsidP="00DE73FB">
      <w:pPr>
        <w:spacing w:line="480" w:lineRule="auto"/>
        <w:outlineLvl w:val="0"/>
        <w:rPr>
          <w:rFonts w:cs="Times New Roman"/>
          <w:b/>
          <w:i/>
        </w:rPr>
      </w:pPr>
      <w:r w:rsidRPr="00EC7D99">
        <w:rPr>
          <w:rFonts w:cs="Times New Roman"/>
          <w:b/>
          <w:i/>
        </w:rPr>
        <w:t>Critical Appraisal</w:t>
      </w:r>
    </w:p>
    <w:p w14:paraId="7504B83C" w14:textId="77777777" w:rsidR="00C13EBB" w:rsidRPr="00EC7D99" w:rsidRDefault="00C13EBB" w:rsidP="00BD2946">
      <w:pPr>
        <w:spacing w:line="480" w:lineRule="auto"/>
        <w:rPr>
          <w:rFonts w:cs="Times New Roman"/>
        </w:rPr>
      </w:pPr>
      <w:r w:rsidRPr="00EC7D99">
        <w:rPr>
          <w:rFonts w:cs="Times New Roman"/>
        </w:rPr>
        <w:lastRenderedPageBreak/>
        <w:t xml:space="preserve">Risk of bias was evaluated based on Cochrane’s Grades of Recommendation, Assessment, Development, and Evaluation approach </w:t>
      </w:r>
      <w:r w:rsidRPr="00EC7D99">
        <w:rPr>
          <w:rFonts w:cs="Times New Roman"/>
          <w:noProof/>
        </w:rPr>
        <w:t>[39]</w:t>
      </w:r>
      <w:r w:rsidRPr="00EC7D99">
        <w:rPr>
          <w:rFonts w:cs="Times New Roman"/>
        </w:rPr>
        <w:t>. The key areas were specifying clinical history (i.e., age, sex, aetiology, severity), blinding of outcome assessor, addressing incomplete outcome data (e.g., documenting and providing reasons for study attrition), selectively reporting outcomes (e.g., reporting data from all outcomes outlined in method), reporting point and variability measures (e.g. mean and standard deviation in table or graph form), conducting appropriate statistical analysis (e.g., conducting omnibus testing and correcting for multiple comparisons when necessary), and examining treatment generalization (i.e., examining functional use of treatment beyond target behaviour, such as, activities of daily living, quality of life, global motor function). In addition to these areas, randomized control trials (RCTs) were also examined for evidence of: (1) sequence generation when randomizing participants into experimental and control groups; (2) allocation concealment to ensure that the person enrolling participants could not foresee group assignment; (3) equivalence of intervention groups at baseline on one measure of disease severity and one primary outcome measure; (4) following intention-to-treat principles, where all participants are included in the analysis and analyzed in the groups to which they were randomized; and (5) reporting results between intervention groups.</w:t>
      </w:r>
      <w:r w:rsidRPr="00EC7D99">
        <w:rPr>
          <w:rFonts w:cs="Times New Roman"/>
          <w:color w:val="FF0000"/>
        </w:rPr>
        <w:t xml:space="preserve"> </w:t>
      </w:r>
      <w:r w:rsidRPr="00EC7D99">
        <w:rPr>
          <w:rFonts w:cs="Times New Roman"/>
        </w:rPr>
        <w:t>Blinding of participants or treatment personnel was not considered possible, given the behavioural nature of the intervention under review. The key areas were rated as having a high, low, or unclear risk of bias by two independent authors (EK, SS), and differences in ratings were discussed and resolved by consensus.</w:t>
      </w:r>
    </w:p>
    <w:p w14:paraId="511CBFBF" w14:textId="77777777" w:rsidR="00C13EBB" w:rsidRPr="00EC7D99" w:rsidRDefault="00C13EBB" w:rsidP="00DE73FB">
      <w:pPr>
        <w:spacing w:line="480" w:lineRule="auto"/>
        <w:outlineLvl w:val="0"/>
        <w:rPr>
          <w:rFonts w:cs="Times New Roman"/>
          <w:b/>
          <w:i/>
        </w:rPr>
      </w:pPr>
      <w:r w:rsidRPr="00EC7D99">
        <w:rPr>
          <w:rFonts w:cs="Times New Roman"/>
          <w:b/>
          <w:i/>
        </w:rPr>
        <w:t>Data Analysis</w:t>
      </w:r>
    </w:p>
    <w:p w14:paraId="56F4D63B" w14:textId="436027A5" w:rsidR="00C13EBB" w:rsidRPr="00EC7D99" w:rsidRDefault="00C13EBB" w:rsidP="00DE73FB">
      <w:pPr>
        <w:spacing w:line="480" w:lineRule="auto"/>
        <w:rPr>
          <w:rFonts w:cs="Times New Roman"/>
        </w:rPr>
      </w:pPr>
      <w:r w:rsidRPr="00EC7D99">
        <w:rPr>
          <w:rFonts w:cs="Times New Roman"/>
        </w:rPr>
        <w:t xml:space="preserve">Findings across studies were examined </w:t>
      </w:r>
      <w:r w:rsidR="00951FBC" w:rsidRPr="00EC7D99">
        <w:rPr>
          <w:rFonts w:cs="Times New Roman"/>
        </w:rPr>
        <w:t>descriptively. First, the</w:t>
      </w:r>
      <w:r w:rsidRPr="00EC7D99">
        <w:rPr>
          <w:rFonts w:cs="Times New Roman"/>
        </w:rPr>
        <w:t xml:space="preserve"> outcome measures were </w:t>
      </w:r>
      <w:r w:rsidR="00951FBC" w:rsidRPr="00EC7D99">
        <w:rPr>
          <w:rFonts w:cs="Times New Roman"/>
        </w:rPr>
        <w:t>characterized</w:t>
      </w:r>
      <w:r w:rsidRPr="00EC7D99">
        <w:rPr>
          <w:rFonts w:cs="Times New Roman"/>
        </w:rPr>
        <w:t xml:space="preserve"> according to the core levels of the International Classification of Functioning, </w:t>
      </w:r>
      <w:r w:rsidRPr="00EC7D99">
        <w:rPr>
          <w:rFonts w:cs="Times New Roman"/>
        </w:rPr>
        <w:lastRenderedPageBreak/>
        <w:t xml:space="preserve">Disability, and Health framework </w:t>
      </w:r>
      <w:r w:rsidRPr="00EC7D99">
        <w:rPr>
          <w:rFonts w:cs="Times New Roman"/>
          <w:noProof/>
        </w:rPr>
        <w:t>[40]</w:t>
      </w:r>
      <w:r w:rsidRPr="00EC7D99">
        <w:rPr>
          <w:rFonts w:cs="Times New Roman"/>
        </w:rPr>
        <w:t xml:space="preserve"> (i.e., impairment, activity, and participation), and an additional category was included for measures examining </w:t>
      </w:r>
      <w:r w:rsidR="00951FBC" w:rsidRPr="00EC7D99">
        <w:rPr>
          <w:rFonts w:cs="Times New Roman"/>
        </w:rPr>
        <w:t xml:space="preserve">a </w:t>
      </w:r>
      <w:r w:rsidRPr="00EC7D99">
        <w:rPr>
          <w:rFonts w:cs="Times New Roman"/>
        </w:rPr>
        <w:t xml:space="preserve">change in global motor function. Then, all outcome measures were combined </w:t>
      </w:r>
      <w:r w:rsidR="00496147" w:rsidRPr="00EC7D99">
        <w:rPr>
          <w:rFonts w:cs="Times New Roman"/>
        </w:rPr>
        <w:t xml:space="preserve">across studies </w:t>
      </w:r>
      <w:r w:rsidRPr="00EC7D99">
        <w:rPr>
          <w:rFonts w:cs="Times New Roman"/>
        </w:rPr>
        <w:t>to provide counts of measures that demonstrated (or did not demonstrate) an effect of treatment. The measures were combined because the studies varied widely in the measures they employed. I</w:t>
      </w:r>
      <w:r w:rsidRPr="00EC7D99" w:rsidDel="00406E60">
        <w:rPr>
          <w:rFonts w:cs="Times New Roman"/>
        </w:rPr>
        <w:t xml:space="preserve">n order to summarize </w:t>
      </w:r>
      <w:r w:rsidRPr="00EC7D99">
        <w:rPr>
          <w:rFonts w:cs="Times New Roman"/>
        </w:rPr>
        <w:t>the</w:t>
      </w:r>
      <w:r w:rsidRPr="00EC7D99" w:rsidDel="00406E60">
        <w:rPr>
          <w:rFonts w:cs="Times New Roman"/>
        </w:rPr>
        <w:t xml:space="preserve"> data in a manner that allowed for </w:t>
      </w:r>
      <w:r w:rsidRPr="00EC7D99">
        <w:rPr>
          <w:rFonts w:cs="Times New Roman"/>
        </w:rPr>
        <w:t>examination of</w:t>
      </w:r>
      <w:r w:rsidRPr="00EC7D99" w:rsidDel="00406E60">
        <w:rPr>
          <w:rFonts w:cs="Times New Roman"/>
        </w:rPr>
        <w:t xml:space="preserve"> heterogeneous measures</w:t>
      </w:r>
      <w:r w:rsidRPr="00EC7D99">
        <w:rPr>
          <w:rFonts w:cs="Times New Roman"/>
        </w:rPr>
        <w:t xml:space="preserve"> across studies</w:t>
      </w:r>
      <w:r w:rsidRPr="00EC7D99" w:rsidDel="00406E60">
        <w:rPr>
          <w:rFonts w:cs="Times New Roman"/>
        </w:rPr>
        <w:t>, we calculated</w:t>
      </w:r>
      <w:r w:rsidR="007C04BC" w:rsidRPr="00EC7D99">
        <w:rPr>
          <w:rFonts w:cs="Times New Roman"/>
        </w:rPr>
        <w:t>,</w:t>
      </w:r>
      <w:r w:rsidRPr="00EC7D99" w:rsidDel="00406E60">
        <w:rPr>
          <w:rFonts w:cs="Times New Roman"/>
        </w:rPr>
        <w:t xml:space="preserve"> whenever possible</w:t>
      </w:r>
      <w:r w:rsidR="007C04BC" w:rsidRPr="00EC7D99">
        <w:rPr>
          <w:rFonts w:cs="Times New Roman"/>
        </w:rPr>
        <w:t>,</w:t>
      </w:r>
      <w:r w:rsidRPr="00EC7D99" w:rsidDel="00406E60">
        <w:rPr>
          <w:rFonts w:cs="Times New Roman"/>
        </w:rPr>
        <w:t xml:space="preserve"> effect sizes for each outcome using Cohen’s </w:t>
      </w:r>
      <w:r w:rsidRPr="00EC7D99" w:rsidDel="00406E60">
        <w:rPr>
          <w:rFonts w:cs="Times New Roman"/>
          <w:i/>
        </w:rPr>
        <w:t>d</w:t>
      </w:r>
      <w:r w:rsidRPr="00EC7D99" w:rsidDel="00406E60">
        <w:rPr>
          <w:rFonts w:cs="Times New Roman"/>
        </w:rPr>
        <w:t xml:space="preserve"> </w:t>
      </w:r>
      <w:r w:rsidRPr="00EC7D99">
        <w:rPr>
          <w:rFonts w:cs="Times New Roman"/>
          <w:noProof/>
        </w:rPr>
        <w:t>[41]</w:t>
      </w:r>
      <w:r w:rsidRPr="00EC7D99" w:rsidDel="00406E60">
        <w:rPr>
          <w:rFonts w:cs="Times New Roman"/>
        </w:rPr>
        <w:t xml:space="preserve">, or extracted effect sizes that were provided. The comparisons targeted were: (1) within-group effects for single group designs; and (2) between group effects for RCTs. We operationalized a positive effect as </w:t>
      </w:r>
      <w:r w:rsidRPr="00EC7D99" w:rsidDel="00406E60">
        <w:rPr>
          <w:rFonts w:cs="Times New Roman"/>
          <w:i/>
        </w:rPr>
        <w:t xml:space="preserve">d </w:t>
      </w:r>
      <w:r w:rsidRPr="00EC7D99" w:rsidDel="00406E60">
        <w:rPr>
          <w:rFonts w:cs="Times New Roman"/>
        </w:rPr>
        <w:t xml:space="preserve">&gt; 0.2, a negative effect as </w:t>
      </w:r>
      <w:r w:rsidRPr="00EC7D99" w:rsidDel="00406E60">
        <w:rPr>
          <w:rFonts w:cs="Times New Roman"/>
          <w:i/>
        </w:rPr>
        <w:t>d</w:t>
      </w:r>
      <w:r w:rsidRPr="00EC7D99" w:rsidDel="00406E60">
        <w:rPr>
          <w:rFonts w:cs="Times New Roman"/>
        </w:rPr>
        <w:t xml:space="preserve"> &lt; -0.2, and no effect as </w:t>
      </w:r>
      <w:r w:rsidRPr="00EC7D99" w:rsidDel="00406E60">
        <w:rPr>
          <w:rFonts w:cs="Times New Roman"/>
          <w:i/>
        </w:rPr>
        <w:t>d</w:t>
      </w:r>
      <w:r w:rsidRPr="00EC7D99" w:rsidDel="00406E60">
        <w:rPr>
          <w:rFonts w:cs="Times New Roman"/>
        </w:rPr>
        <w:t xml:space="preserve"> &lt; |0.2| </w:t>
      </w:r>
      <w:r w:rsidRPr="00EC7D99">
        <w:rPr>
          <w:rFonts w:cs="Times New Roman"/>
          <w:noProof/>
        </w:rPr>
        <w:t>[41]</w:t>
      </w:r>
      <w:r w:rsidRPr="00EC7D99" w:rsidDel="00406E60">
        <w:rPr>
          <w:rFonts w:cs="Times New Roman"/>
        </w:rPr>
        <w:t>.</w:t>
      </w:r>
      <w:r w:rsidRPr="00EC7D99">
        <w:rPr>
          <w:rFonts w:cs="Times New Roman"/>
        </w:rPr>
        <w:t xml:space="preserve"> Finally, the effect of treatment design factors on treatment outcomes was examined by comparing the outcomes of RCTs </w:t>
      </w:r>
      <w:r w:rsidR="007C04BC" w:rsidRPr="00EC7D99">
        <w:rPr>
          <w:rFonts w:cs="Times New Roman"/>
        </w:rPr>
        <w:t xml:space="preserve">relative </w:t>
      </w:r>
      <w:r w:rsidRPr="00EC7D99">
        <w:rPr>
          <w:rFonts w:cs="Times New Roman"/>
        </w:rPr>
        <w:t xml:space="preserve">to the design </w:t>
      </w:r>
      <w:r w:rsidR="007C04BC" w:rsidRPr="00EC7D99">
        <w:rPr>
          <w:rFonts w:cs="Times New Roman"/>
        </w:rPr>
        <w:t xml:space="preserve">factors </w:t>
      </w:r>
      <w:r w:rsidRPr="00EC7D99">
        <w:rPr>
          <w:rFonts w:cs="Times New Roman"/>
        </w:rPr>
        <w:t>of their intervention. As before, effect sizes were used to determine measures that showed a positive, negative, or no effect.</w:t>
      </w:r>
    </w:p>
    <w:p w14:paraId="09CB7918" w14:textId="77777777" w:rsidR="00C13EBB" w:rsidRPr="00EC7D99" w:rsidRDefault="00C13EBB" w:rsidP="00DE73FB">
      <w:pPr>
        <w:spacing w:line="480" w:lineRule="auto"/>
        <w:outlineLvl w:val="0"/>
        <w:rPr>
          <w:rFonts w:eastAsia="Calibri" w:cs="Times New Roman"/>
          <w:b/>
          <w:color w:val="000000"/>
          <w:lang w:eastAsia="en-CA"/>
        </w:rPr>
      </w:pPr>
      <w:r w:rsidRPr="00EC7D99">
        <w:rPr>
          <w:rFonts w:eastAsia="Calibri" w:cs="Times New Roman"/>
          <w:b/>
          <w:color w:val="000000"/>
          <w:lang w:eastAsia="en-CA"/>
        </w:rPr>
        <w:t>Results</w:t>
      </w:r>
    </w:p>
    <w:p w14:paraId="5DF13129"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Study Identification</w:t>
      </w:r>
    </w:p>
    <w:p w14:paraId="08F7C884"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The database search identified 773 articles related to the use of visual feedback in individuals diagnosed with PD. An additional 10 articles were identified for inclusion by manually checking reference lists of related studies. Following duplicate removal, 456 unique citations were screened using the inclusion/ exclusion criteria described above. Fifty-eight articles were accepted for full-text review and a final 18 articles met all inclusion criteria (see figure 1). Percent agreement between the two independent raters on rejecting articles before reconciliation was 91% at the abstract level, and 81% for full-texts. All disagreements between raters were successfully discussed and resolved by consensus.</w:t>
      </w:r>
    </w:p>
    <w:p w14:paraId="24D42288" w14:textId="77777777" w:rsidR="00C13EBB" w:rsidRPr="00EC7D99" w:rsidRDefault="00C13EBB" w:rsidP="00BD2946">
      <w:pPr>
        <w:spacing w:line="480" w:lineRule="auto"/>
        <w:ind w:firstLine="720"/>
        <w:rPr>
          <w:rFonts w:eastAsia="Calibri" w:cs="Times New Roman"/>
          <w:color w:val="000000"/>
          <w:lang w:eastAsia="en-CA"/>
        </w:rPr>
      </w:pPr>
      <w:r w:rsidRPr="00EC7D99">
        <w:rPr>
          <w:rFonts w:eastAsia="Calibri" w:cs="Times New Roman"/>
          <w:color w:val="000000"/>
          <w:lang w:eastAsia="en-CA"/>
        </w:rPr>
        <w:lastRenderedPageBreak/>
        <w:t xml:space="preserve">Two of the included articles analyzed data from the same dataset </w:t>
      </w:r>
      <w:r w:rsidRPr="00EC7D99">
        <w:rPr>
          <w:rFonts w:eastAsia="Calibri" w:cs="Times New Roman"/>
          <w:noProof/>
          <w:color w:val="000000"/>
          <w:lang w:eastAsia="en-CA"/>
        </w:rPr>
        <w:t>[42,43]</w:t>
      </w:r>
      <w:r w:rsidRPr="00EC7D99">
        <w:rPr>
          <w:rFonts w:eastAsia="Calibri" w:cs="Times New Roman"/>
          <w:color w:val="000000"/>
          <w:lang w:eastAsia="en-CA"/>
        </w:rPr>
        <w:t>. The authors implemented different study designs (pre-post single group design vs. RCT) and focused on different outcome measures for both articles. The outcome data from both reports are summarized separately for this review.</w:t>
      </w:r>
    </w:p>
    <w:p w14:paraId="793D862E"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BD2946" w:rsidRPr="00EC7D99">
        <w:rPr>
          <w:rFonts w:eastAsia="Calibri" w:cs="Times New Roman"/>
          <w:color w:val="000000"/>
          <w:lang w:eastAsia="en-CA"/>
        </w:rPr>
        <w:t>ase insert figure 1 about here]</w:t>
      </w:r>
    </w:p>
    <w:p w14:paraId="48519D8E"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Study Characteristics</w:t>
      </w:r>
    </w:p>
    <w:p w14:paraId="7E161A63"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Table 1 summarizes the study characteristics of the 18 included articles, stratified by study design.</w:t>
      </w:r>
    </w:p>
    <w:p w14:paraId="30FF44F2"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Study Design</w:t>
      </w:r>
    </w:p>
    <w:p w14:paraId="4C04D0DB" w14:textId="77777777" w:rsidR="00C13EBB" w:rsidRPr="00EC7D99" w:rsidRDefault="00C13EBB" w:rsidP="00DE73FB">
      <w:pPr>
        <w:spacing w:line="480" w:lineRule="auto"/>
        <w:rPr>
          <w:rFonts w:eastAsia="Calibri" w:cs="Times New Roman"/>
          <w:b/>
          <w:color w:val="000000"/>
          <w:lang w:eastAsia="en-CA"/>
        </w:rPr>
      </w:pPr>
      <w:r w:rsidRPr="00EC7D99">
        <w:rPr>
          <w:rFonts w:eastAsia="Calibri" w:cs="Times New Roman"/>
          <w:color w:val="000000"/>
          <w:lang w:eastAsia="en-CA"/>
        </w:rPr>
        <w:t xml:space="preserve">Eight articles used single group designs </w:t>
      </w:r>
      <w:r w:rsidR="00DE73FB" w:rsidRPr="00EC7D99">
        <w:rPr>
          <w:rFonts w:eastAsia="Calibri" w:cs="Times New Roman"/>
          <w:noProof/>
          <w:color w:val="000000"/>
          <w:lang w:eastAsia="en-CA"/>
        </w:rPr>
        <w:t>[43–</w:t>
      </w:r>
      <w:r w:rsidRPr="00EC7D99">
        <w:rPr>
          <w:rFonts w:eastAsia="Calibri" w:cs="Times New Roman"/>
          <w:noProof/>
          <w:color w:val="000000"/>
          <w:lang w:eastAsia="en-CA"/>
        </w:rPr>
        <w:t>50]</w:t>
      </w:r>
      <w:r w:rsidRPr="00EC7D99">
        <w:rPr>
          <w:rFonts w:eastAsia="Calibri" w:cs="Times New Roman"/>
          <w:color w:val="000000"/>
          <w:lang w:eastAsia="en-CA"/>
        </w:rPr>
        <w:t xml:space="preserve"> and the remaining ten articles were RCTs </w:t>
      </w:r>
      <w:r w:rsidRPr="00EC7D99">
        <w:rPr>
          <w:rFonts w:eastAsia="Calibri" w:cs="Times New Roman"/>
          <w:noProof/>
          <w:color w:val="000000"/>
          <w:lang w:eastAsia="en-CA"/>
        </w:rPr>
        <w:t>[42,51</w:t>
      </w:r>
      <w:r w:rsidR="00DE73FB" w:rsidRPr="00EC7D99">
        <w:rPr>
          <w:rFonts w:eastAsia="Calibri" w:cs="Times New Roman"/>
          <w:noProof/>
          <w:color w:val="000000"/>
          <w:lang w:eastAsia="en-CA"/>
        </w:rPr>
        <w:t>–</w:t>
      </w:r>
      <w:r w:rsidRPr="00EC7D99">
        <w:rPr>
          <w:rFonts w:eastAsia="Calibri" w:cs="Times New Roman"/>
          <w:noProof/>
          <w:color w:val="000000"/>
          <w:lang w:eastAsia="en-CA"/>
        </w:rPr>
        <w:t>59]</w:t>
      </w:r>
      <w:r w:rsidRPr="00EC7D99">
        <w:rPr>
          <w:rFonts w:eastAsia="Calibri" w:cs="Times New Roman"/>
          <w:color w:val="000000"/>
          <w:lang w:eastAsia="en-CA"/>
        </w:rPr>
        <w:t xml:space="preserve">. All RCTs included an active control group receiving traditional intervention or a comparable intervention without augmented visual feedback. Additionally, two RCTs included an inactive third control group who participated in a falls-prevention education program </w:t>
      </w:r>
      <w:r w:rsidRPr="00EC7D99">
        <w:rPr>
          <w:rFonts w:eastAsia="Calibri" w:cs="Times New Roman"/>
          <w:noProof/>
          <w:color w:val="000000"/>
          <w:lang w:eastAsia="en-CA"/>
        </w:rPr>
        <w:t>[53]</w:t>
      </w:r>
      <w:r w:rsidRPr="00EC7D99">
        <w:rPr>
          <w:rFonts w:eastAsia="Calibri" w:cs="Times New Roman"/>
          <w:color w:val="000000"/>
          <w:lang w:eastAsia="en-CA"/>
        </w:rPr>
        <w:t xml:space="preserve"> or received no intervention </w:t>
      </w:r>
      <w:r w:rsidRPr="00EC7D99">
        <w:rPr>
          <w:rFonts w:eastAsia="Calibri" w:cs="Times New Roman"/>
          <w:noProof/>
          <w:color w:val="000000"/>
          <w:lang w:eastAsia="en-CA"/>
        </w:rPr>
        <w:t>[56]</w:t>
      </w:r>
      <w:r w:rsidRPr="00EC7D99">
        <w:rPr>
          <w:rFonts w:eastAsia="Calibri" w:cs="Times New Roman"/>
          <w:color w:val="000000"/>
          <w:lang w:eastAsia="en-CA"/>
        </w:rPr>
        <w:t>.</w:t>
      </w:r>
    </w:p>
    <w:p w14:paraId="6FCD2C56" w14:textId="77777777" w:rsidR="00C13EBB" w:rsidRPr="00EC7D99" w:rsidRDefault="00C13EBB" w:rsidP="00DE73FB">
      <w:pPr>
        <w:spacing w:line="480" w:lineRule="auto"/>
        <w:outlineLvl w:val="0"/>
        <w:rPr>
          <w:rFonts w:eastAsia="Calibri" w:cs="Times New Roman"/>
          <w:color w:val="000000"/>
          <w:lang w:eastAsia="en-CA"/>
        </w:rPr>
      </w:pPr>
      <w:r w:rsidRPr="00EC7D99">
        <w:rPr>
          <w:rFonts w:eastAsia="Calibri" w:cs="Times New Roman"/>
          <w:i/>
          <w:color w:val="000000"/>
          <w:lang w:eastAsia="en-CA"/>
        </w:rPr>
        <w:t>Participants</w:t>
      </w:r>
    </w:p>
    <w:p w14:paraId="2D2AC3B9" w14:textId="46E4E46F"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Sample sizes across articles ranged from 10 to 51 individuals </w:t>
      </w:r>
      <w:r w:rsidR="002008BC" w:rsidRPr="00EC7D99">
        <w:rPr>
          <w:rFonts w:eastAsia="Calibri" w:cs="Times New Roman"/>
          <w:color w:val="000000"/>
          <w:lang w:eastAsia="en-CA"/>
        </w:rPr>
        <w:t>diagnosed with</w:t>
      </w:r>
      <w:r w:rsidRPr="00EC7D99">
        <w:rPr>
          <w:rFonts w:eastAsia="Calibri" w:cs="Times New Roman"/>
          <w:color w:val="000000"/>
          <w:lang w:eastAsia="en-CA"/>
        </w:rPr>
        <w:t xml:space="preserve"> PD, and included both male and female particip</w:t>
      </w:r>
      <w:r w:rsidR="002008BC" w:rsidRPr="00EC7D99">
        <w:rPr>
          <w:rFonts w:eastAsia="Calibri" w:cs="Times New Roman"/>
          <w:color w:val="000000"/>
          <w:lang w:eastAsia="en-CA"/>
        </w:rPr>
        <w:t>ants. In addition to participants</w:t>
      </w:r>
      <w:r w:rsidRPr="00EC7D99">
        <w:rPr>
          <w:rFonts w:eastAsia="Calibri" w:cs="Times New Roman"/>
          <w:color w:val="000000"/>
          <w:lang w:eastAsia="en-CA"/>
        </w:rPr>
        <w:t xml:space="preserve"> with PD, two articles included a healthy control group </w:t>
      </w:r>
      <w:r w:rsidRPr="00EC7D99">
        <w:rPr>
          <w:rFonts w:eastAsia="Calibri" w:cs="Times New Roman"/>
          <w:noProof/>
          <w:color w:val="000000"/>
          <w:lang w:eastAsia="en-CA"/>
        </w:rPr>
        <w:t>[43,50]</w:t>
      </w:r>
      <w:r w:rsidRPr="00EC7D99">
        <w:rPr>
          <w:rFonts w:eastAsia="Calibri" w:cs="Times New Roman"/>
          <w:color w:val="000000"/>
          <w:lang w:eastAsia="en-CA"/>
        </w:rPr>
        <w:t xml:space="preserve">, and one article included a group of stroke survivors </w:t>
      </w:r>
      <w:r w:rsidRPr="00EC7D99">
        <w:rPr>
          <w:rFonts w:eastAsia="Calibri" w:cs="Times New Roman"/>
          <w:noProof/>
          <w:color w:val="000000"/>
          <w:lang w:eastAsia="en-CA"/>
        </w:rPr>
        <w:t>[51]</w:t>
      </w:r>
      <w:r w:rsidRPr="00EC7D99">
        <w:rPr>
          <w:rFonts w:eastAsia="Calibri" w:cs="Times New Roman"/>
          <w:color w:val="000000"/>
          <w:lang w:eastAsia="en-CA"/>
        </w:rPr>
        <w:t xml:space="preserve">. Across studies, the average age of participants with PD ranged from 61.1 to 71.5 years, and the average reported time since diagnosis ranged from 3.4 to 10.2 years. Seventeen of the included articles reported measures of disease severity, indexed by the Hoehn and Yahr scale </w:t>
      </w:r>
      <w:r w:rsidRPr="00EC7D99">
        <w:rPr>
          <w:rFonts w:eastAsia="Calibri" w:cs="Times New Roman"/>
          <w:noProof/>
          <w:color w:val="000000"/>
          <w:lang w:eastAsia="en-CA"/>
        </w:rPr>
        <w:t>[60]</w:t>
      </w:r>
      <w:r w:rsidRPr="00EC7D99">
        <w:rPr>
          <w:rFonts w:eastAsia="Calibri" w:cs="Times New Roman"/>
          <w:color w:val="000000"/>
          <w:lang w:eastAsia="en-CA"/>
        </w:rPr>
        <w:t xml:space="preserve"> or by the motor part of the Movement Disorder Society - Unified Parkinson’s Disease Rating Scale </w:t>
      </w:r>
      <w:r w:rsidRPr="00EC7D99">
        <w:rPr>
          <w:rFonts w:eastAsia="Calibri" w:cs="Times New Roman"/>
          <w:noProof/>
          <w:color w:val="000000"/>
          <w:lang w:eastAsia="en-CA"/>
        </w:rPr>
        <w:t>[61]</w:t>
      </w:r>
      <w:r w:rsidRPr="00EC7D99">
        <w:rPr>
          <w:rFonts w:eastAsia="Calibri" w:cs="Times New Roman"/>
          <w:color w:val="000000"/>
          <w:lang w:eastAsia="en-CA"/>
        </w:rPr>
        <w:t xml:space="preserve">. Disease severity on the Hoehn and Yahr scale ranged from unilateral involvement only to mild-moderate </w:t>
      </w:r>
      <w:r w:rsidRPr="00EC7D99">
        <w:rPr>
          <w:rFonts w:eastAsia="Calibri" w:cs="Times New Roman"/>
          <w:color w:val="000000"/>
          <w:lang w:eastAsia="en-CA"/>
        </w:rPr>
        <w:lastRenderedPageBreak/>
        <w:t xml:space="preserve">bilateral disease with some postural instability (average range: 1.5-3). On the Unified PD Rating Scale, average motor scores indicated mild to moderate impairment (average range: 15.9-28.5). The active nature of the majority of interventions excluded participants with more severe symptoms who were unable to ambulate specified distances (for example, 100 feet, or household distances). Most studies recruited participants with some range of disease severities, however, one study exclusively recruited participants with a Hoehn and Yahr score of 2 </w:t>
      </w:r>
      <w:r w:rsidRPr="00EC7D99">
        <w:rPr>
          <w:rFonts w:eastAsia="Calibri" w:cs="Times New Roman"/>
          <w:noProof/>
          <w:color w:val="000000"/>
          <w:lang w:eastAsia="en-CA"/>
        </w:rPr>
        <w:t>[45]</w:t>
      </w:r>
      <w:r w:rsidRPr="00EC7D99">
        <w:rPr>
          <w:rFonts w:eastAsia="Calibri" w:cs="Times New Roman"/>
          <w:color w:val="000000"/>
          <w:lang w:eastAsia="en-CA"/>
        </w:rPr>
        <w:t xml:space="preserve">. Participants with PD were tested while in the “on” stage of their medication; two studies did not report medication status </w:t>
      </w:r>
      <w:r w:rsidRPr="00EC7D99">
        <w:rPr>
          <w:rFonts w:eastAsia="Calibri" w:cs="Times New Roman"/>
          <w:noProof/>
          <w:color w:val="000000"/>
          <w:lang w:eastAsia="en-CA"/>
        </w:rPr>
        <w:t>[51,52]</w:t>
      </w:r>
      <w:r w:rsidRPr="00EC7D99">
        <w:rPr>
          <w:rFonts w:eastAsia="Calibri" w:cs="Times New Roman"/>
          <w:color w:val="000000"/>
          <w:lang w:eastAsia="en-CA"/>
        </w:rPr>
        <w:t xml:space="preserve">. </w:t>
      </w:r>
    </w:p>
    <w:p w14:paraId="5CA35A03"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Intervention</w:t>
      </w:r>
    </w:p>
    <w:p w14:paraId="01C0FBB6"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Thirteen articles provided information about the intervention setting; eight interventions were conducted in clinics </w:t>
      </w:r>
      <w:r w:rsidR="00DE73FB" w:rsidRPr="00EC7D99">
        <w:rPr>
          <w:rFonts w:eastAsia="Calibri" w:cs="Times New Roman"/>
          <w:noProof/>
          <w:color w:val="000000"/>
          <w:lang w:eastAsia="en-CA"/>
        </w:rPr>
        <w:t>[42–</w:t>
      </w:r>
      <w:r w:rsidRPr="00EC7D99">
        <w:rPr>
          <w:rFonts w:eastAsia="Calibri" w:cs="Times New Roman"/>
          <w:noProof/>
          <w:color w:val="000000"/>
          <w:lang w:eastAsia="en-CA"/>
        </w:rPr>
        <w:t>44,46,51,56</w:t>
      </w:r>
      <w:r w:rsidR="00DE73FB" w:rsidRPr="00EC7D99">
        <w:rPr>
          <w:rFonts w:eastAsia="Calibri" w:cs="Times New Roman"/>
          <w:noProof/>
          <w:color w:val="000000"/>
          <w:lang w:eastAsia="en-CA"/>
        </w:rPr>
        <w:t>–</w:t>
      </w:r>
      <w:r w:rsidRPr="00EC7D99">
        <w:rPr>
          <w:rFonts w:eastAsia="Calibri" w:cs="Times New Roman"/>
          <w:noProof/>
          <w:color w:val="000000"/>
          <w:lang w:eastAsia="en-CA"/>
        </w:rPr>
        <w:t>58]</w:t>
      </w:r>
      <w:r w:rsidRPr="00EC7D99">
        <w:rPr>
          <w:rFonts w:eastAsia="Calibri" w:cs="Times New Roman"/>
          <w:color w:val="000000"/>
          <w:lang w:eastAsia="en-CA"/>
        </w:rPr>
        <w:t xml:space="preserve">, four were home-based </w:t>
      </w:r>
      <w:r w:rsidRPr="00EC7D99">
        <w:rPr>
          <w:rFonts w:eastAsia="Calibri" w:cs="Times New Roman"/>
          <w:noProof/>
          <w:color w:val="000000"/>
          <w:lang w:eastAsia="en-CA"/>
        </w:rPr>
        <w:t>[47,49,50,55]</w:t>
      </w:r>
      <w:r w:rsidRPr="00EC7D99">
        <w:rPr>
          <w:rFonts w:eastAsia="Calibri" w:cs="Times New Roman"/>
          <w:color w:val="000000"/>
          <w:lang w:eastAsia="en-CA"/>
        </w:rPr>
        <w:t xml:space="preserve">, and a single study combined laboratory- and home-based interventions </w:t>
      </w:r>
      <w:r w:rsidRPr="00EC7D99">
        <w:rPr>
          <w:rFonts w:eastAsia="Calibri" w:cs="Times New Roman"/>
          <w:noProof/>
          <w:color w:val="000000"/>
          <w:lang w:eastAsia="en-CA"/>
        </w:rPr>
        <w:t>[59]</w:t>
      </w:r>
      <w:r w:rsidRPr="00EC7D99">
        <w:rPr>
          <w:rFonts w:eastAsia="Calibri" w:cs="Times New Roman"/>
          <w:color w:val="000000"/>
          <w:lang w:eastAsia="en-CA"/>
        </w:rPr>
        <w:t>.</w:t>
      </w:r>
    </w:p>
    <w:p w14:paraId="638527B1"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Balance was the most frequently targeted motor skill (</w:t>
      </w:r>
      <w:r w:rsidRPr="00EC7D99">
        <w:rPr>
          <w:rFonts w:eastAsia="Calibri" w:cs="Times New Roman"/>
          <w:i/>
          <w:color w:val="000000"/>
          <w:lang w:eastAsia="en-CA"/>
        </w:rPr>
        <w:t xml:space="preserve">n </w:t>
      </w:r>
      <w:r w:rsidRPr="00EC7D99">
        <w:rPr>
          <w:rFonts w:eastAsia="Calibri" w:cs="Times New Roman"/>
          <w:color w:val="000000"/>
          <w:lang w:eastAsia="en-CA"/>
        </w:rPr>
        <w:t xml:space="preserve">= 11), while the remaining articles targeted gait </w:t>
      </w:r>
      <w:r w:rsidRPr="00EC7D99">
        <w:rPr>
          <w:rFonts w:eastAsia="Calibri" w:cs="Times New Roman"/>
          <w:noProof/>
          <w:color w:val="000000"/>
          <w:lang w:eastAsia="en-CA"/>
        </w:rPr>
        <w:t>[48,51]</w:t>
      </w:r>
      <w:r w:rsidRPr="00EC7D99">
        <w:rPr>
          <w:rFonts w:eastAsia="Calibri" w:cs="Times New Roman"/>
          <w:color w:val="000000"/>
          <w:lang w:eastAsia="en-CA"/>
        </w:rPr>
        <w:t xml:space="preserve">; balance and gait </w:t>
      </w:r>
      <w:r w:rsidRPr="00EC7D99">
        <w:rPr>
          <w:rFonts w:eastAsia="Calibri" w:cs="Times New Roman"/>
          <w:noProof/>
          <w:color w:val="000000"/>
          <w:lang w:eastAsia="en-CA"/>
        </w:rPr>
        <w:t>[59]</w:t>
      </w:r>
      <w:r w:rsidRPr="00EC7D99">
        <w:rPr>
          <w:rFonts w:eastAsia="Calibri" w:cs="Times New Roman"/>
          <w:color w:val="000000"/>
          <w:lang w:eastAsia="en-CA"/>
        </w:rPr>
        <w:t xml:space="preserve">; muscle strength, coordination and gait </w:t>
      </w:r>
      <w:r w:rsidRPr="00EC7D99">
        <w:rPr>
          <w:rFonts w:eastAsia="Calibri" w:cs="Times New Roman"/>
          <w:noProof/>
          <w:color w:val="000000"/>
          <w:lang w:eastAsia="en-CA"/>
        </w:rPr>
        <w:t>[53]</w:t>
      </w:r>
      <w:r w:rsidRPr="00EC7D99">
        <w:rPr>
          <w:rFonts w:eastAsia="Calibri" w:cs="Times New Roman"/>
          <w:color w:val="000000"/>
          <w:lang w:eastAsia="en-CA"/>
        </w:rPr>
        <w:t xml:space="preserve">; swallowing </w:t>
      </w:r>
      <w:r w:rsidRPr="00EC7D99">
        <w:rPr>
          <w:rFonts w:eastAsia="Calibri" w:cs="Times New Roman"/>
          <w:noProof/>
          <w:color w:val="000000"/>
          <w:lang w:eastAsia="en-CA"/>
        </w:rPr>
        <w:t>[44]</w:t>
      </w:r>
      <w:r w:rsidRPr="00EC7D99">
        <w:rPr>
          <w:rFonts w:eastAsia="Calibri" w:cs="Times New Roman"/>
          <w:color w:val="000000"/>
          <w:lang w:eastAsia="en-CA"/>
        </w:rPr>
        <w:t xml:space="preserve">; and general motor skills </w:t>
      </w:r>
      <w:r w:rsidRPr="00EC7D99">
        <w:rPr>
          <w:rFonts w:eastAsia="Calibri" w:cs="Times New Roman"/>
          <w:noProof/>
          <w:color w:val="000000"/>
          <w:lang w:eastAsia="en-CA"/>
        </w:rPr>
        <w:t>[45,54]</w:t>
      </w:r>
      <w:r w:rsidRPr="00EC7D99">
        <w:rPr>
          <w:rFonts w:eastAsia="Calibri" w:cs="Times New Roman"/>
          <w:color w:val="000000"/>
          <w:lang w:eastAsia="en-CA"/>
        </w:rPr>
        <w:t xml:space="preserve">. </w:t>
      </w:r>
    </w:p>
    <w:p w14:paraId="0650A273"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Interventions were conducted in 10-84 sessions (</w:t>
      </w:r>
      <w:r w:rsidRPr="00EC7D99">
        <w:rPr>
          <w:rFonts w:eastAsia="Calibri" w:cs="Times New Roman"/>
          <w:i/>
          <w:color w:val="000000"/>
          <w:lang w:eastAsia="en-CA"/>
        </w:rPr>
        <w:t>mean</w:t>
      </w:r>
      <w:r w:rsidRPr="00EC7D99">
        <w:rPr>
          <w:rFonts w:eastAsia="Calibri" w:cs="Times New Roman"/>
          <w:color w:val="000000"/>
          <w:lang w:eastAsia="en-CA"/>
        </w:rPr>
        <w:t xml:space="preserve"> = 21.53, </w:t>
      </w:r>
      <w:r w:rsidRPr="00EC7D99">
        <w:rPr>
          <w:rFonts w:eastAsia="Calibri" w:cs="Times New Roman"/>
          <w:i/>
          <w:color w:val="000000"/>
          <w:lang w:eastAsia="en-CA"/>
        </w:rPr>
        <w:t>SD</w:t>
      </w:r>
      <w:r w:rsidRPr="00EC7D99">
        <w:rPr>
          <w:rFonts w:eastAsia="Calibri" w:cs="Times New Roman"/>
          <w:color w:val="000000"/>
          <w:lang w:eastAsia="en-CA"/>
        </w:rPr>
        <w:t xml:space="preserve"> = 18.44) over 2-12 weeks (</w:t>
      </w:r>
      <w:r w:rsidRPr="00EC7D99">
        <w:rPr>
          <w:rFonts w:eastAsia="Calibri" w:cs="Times New Roman"/>
          <w:i/>
          <w:color w:val="000000"/>
          <w:lang w:eastAsia="en-CA"/>
        </w:rPr>
        <w:t>mean</w:t>
      </w:r>
      <w:r w:rsidRPr="00EC7D99">
        <w:rPr>
          <w:rFonts w:eastAsia="Calibri" w:cs="Times New Roman"/>
          <w:color w:val="000000"/>
          <w:lang w:eastAsia="en-CA"/>
        </w:rPr>
        <w:t xml:space="preserve"> = 6.24, </w:t>
      </w:r>
      <w:r w:rsidRPr="00EC7D99">
        <w:rPr>
          <w:rFonts w:eastAsia="Calibri" w:cs="Times New Roman"/>
          <w:i/>
          <w:color w:val="000000"/>
          <w:lang w:eastAsia="en-CA"/>
        </w:rPr>
        <w:t>SD</w:t>
      </w:r>
      <w:r w:rsidRPr="00EC7D99">
        <w:rPr>
          <w:rFonts w:eastAsia="Calibri" w:cs="Times New Roman"/>
          <w:color w:val="000000"/>
          <w:lang w:eastAsia="en-CA"/>
        </w:rPr>
        <w:t xml:space="preserve"> = 2.65), and testing in all studies was performed pre and post intervention. Additionally, 10 articles assessed maintenance of intervention effects from 2-52 weeks following intervention </w:t>
      </w:r>
      <w:r w:rsidR="00DE73FB" w:rsidRPr="00EC7D99">
        <w:rPr>
          <w:rFonts w:eastAsia="Calibri" w:cs="Times New Roman"/>
          <w:noProof/>
          <w:color w:val="000000"/>
          <w:lang w:eastAsia="en-CA"/>
        </w:rPr>
        <w:t>[42–45,53–5</w:t>
      </w:r>
      <w:r w:rsidRPr="00EC7D99">
        <w:rPr>
          <w:rFonts w:eastAsia="Calibri" w:cs="Times New Roman"/>
          <w:noProof/>
          <w:color w:val="000000"/>
          <w:lang w:eastAsia="en-CA"/>
        </w:rPr>
        <w:t>9]</w:t>
      </w:r>
      <w:r w:rsidRPr="00EC7D99">
        <w:rPr>
          <w:rFonts w:eastAsia="Calibri" w:cs="Times New Roman"/>
          <w:color w:val="000000"/>
          <w:lang w:eastAsia="en-CA"/>
        </w:rPr>
        <w:t xml:space="preserve">. </w:t>
      </w:r>
    </w:p>
    <w:p w14:paraId="5E74C488"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Visual feedback was provided by the Nintendo Wii in 11 articles </w:t>
      </w:r>
      <w:r w:rsidRPr="00EC7D99">
        <w:rPr>
          <w:rFonts w:eastAsia="Calibri" w:cs="Times New Roman"/>
          <w:noProof/>
          <w:color w:val="000000"/>
          <w:lang w:eastAsia="en-CA"/>
        </w:rPr>
        <w:t>[42,43,45</w:t>
      </w:r>
      <w:r w:rsidR="00DE73FB" w:rsidRPr="00EC7D99">
        <w:rPr>
          <w:rFonts w:eastAsia="Calibri" w:cs="Times New Roman"/>
          <w:noProof/>
          <w:color w:val="000000"/>
          <w:lang w:eastAsia="en-CA"/>
        </w:rPr>
        <w:t>–</w:t>
      </w:r>
      <w:r w:rsidRPr="00EC7D99">
        <w:rPr>
          <w:rFonts w:eastAsia="Calibri" w:cs="Times New Roman"/>
          <w:noProof/>
          <w:color w:val="000000"/>
          <w:lang w:eastAsia="en-CA"/>
        </w:rPr>
        <w:t>50,52</w:t>
      </w:r>
      <w:r w:rsidR="00DE73FB" w:rsidRPr="00EC7D99">
        <w:rPr>
          <w:rFonts w:eastAsia="Calibri" w:cs="Times New Roman"/>
          <w:noProof/>
          <w:color w:val="000000"/>
          <w:lang w:eastAsia="en-CA"/>
        </w:rPr>
        <w:t>–</w:t>
      </w:r>
      <w:r w:rsidRPr="00EC7D99">
        <w:rPr>
          <w:rFonts w:eastAsia="Calibri" w:cs="Times New Roman"/>
          <w:noProof/>
          <w:color w:val="000000"/>
          <w:lang w:eastAsia="en-CA"/>
        </w:rPr>
        <w:t>54]</w:t>
      </w:r>
      <w:r w:rsidRPr="00EC7D99">
        <w:rPr>
          <w:rFonts w:eastAsia="Calibri" w:cs="Times New Roman"/>
          <w:color w:val="000000"/>
          <w:lang w:eastAsia="en-CA"/>
        </w:rPr>
        <w:t>, custom built software in four</w:t>
      </w:r>
      <w:r w:rsidRPr="00EC7D99">
        <w:t xml:space="preserve"> </w:t>
      </w:r>
      <w:r w:rsidRPr="00EC7D99">
        <w:rPr>
          <w:rFonts w:eastAsia="Calibri" w:cs="Times New Roman"/>
          <w:color w:val="000000"/>
          <w:lang w:eastAsia="en-CA"/>
        </w:rPr>
        <w:t xml:space="preserve">articles </w:t>
      </w:r>
      <w:r w:rsidRPr="00EC7D99">
        <w:rPr>
          <w:rFonts w:eastAsia="Calibri" w:cs="Times New Roman"/>
          <w:noProof/>
          <w:color w:val="000000"/>
          <w:lang w:eastAsia="en-CA"/>
        </w:rPr>
        <w:t>[51,55,56,58]</w:t>
      </w:r>
      <w:r w:rsidRPr="00EC7D99">
        <w:rPr>
          <w:rFonts w:eastAsia="Calibri" w:cs="Times New Roman"/>
          <w:color w:val="000000"/>
          <w:lang w:eastAsia="en-CA"/>
        </w:rPr>
        <w:t xml:space="preserve">, the Smart Balance Master in two articles </w:t>
      </w:r>
      <w:r w:rsidRPr="00EC7D99">
        <w:rPr>
          <w:rFonts w:eastAsia="Calibri" w:cs="Times New Roman"/>
          <w:noProof/>
          <w:color w:val="000000"/>
          <w:lang w:eastAsia="en-CA"/>
        </w:rPr>
        <w:t>[57,59]</w:t>
      </w:r>
      <w:r w:rsidRPr="00EC7D99">
        <w:rPr>
          <w:rFonts w:eastAsia="Calibri" w:cs="Times New Roman"/>
          <w:color w:val="000000"/>
          <w:lang w:eastAsia="en-CA"/>
        </w:rPr>
        <w:t xml:space="preserve">, and the Myospace surface electromyography biofeedback device in one article </w:t>
      </w:r>
      <w:r w:rsidRPr="00EC7D99">
        <w:rPr>
          <w:rFonts w:eastAsia="Calibri" w:cs="Times New Roman"/>
          <w:noProof/>
          <w:color w:val="000000"/>
          <w:lang w:eastAsia="en-CA"/>
        </w:rPr>
        <w:t>[44]</w:t>
      </w:r>
      <w:r w:rsidRPr="00EC7D99">
        <w:rPr>
          <w:rFonts w:eastAsia="Calibri" w:cs="Times New Roman"/>
          <w:color w:val="000000"/>
          <w:lang w:eastAsia="en-CA"/>
        </w:rPr>
        <w:t xml:space="preserve">. In addition to visual feedback, the Nintendo Wii Fit provided auditory feedback, while the </w:t>
      </w:r>
      <w:r w:rsidRPr="00EC7D99">
        <w:rPr>
          <w:rFonts w:eastAsia="Calibri" w:cs="Times New Roman"/>
          <w:color w:val="000000"/>
          <w:lang w:eastAsia="en-CA"/>
        </w:rPr>
        <w:lastRenderedPageBreak/>
        <w:t xml:space="preserve">Nintendo Wii Sports provided both auditory and vibro-tactile feedback. Two articles also incorporated verbal feedback during training </w:t>
      </w:r>
      <w:r w:rsidRPr="00EC7D99">
        <w:rPr>
          <w:rFonts w:eastAsia="Calibri" w:cs="Times New Roman"/>
          <w:noProof/>
          <w:color w:val="000000"/>
          <w:lang w:eastAsia="en-CA"/>
        </w:rPr>
        <w:t>[46,59]</w:t>
      </w:r>
      <w:r w:rsidRPr="00EC7D99">
        <w:rPr>
          <w:rFonts w:eastAsia="Calibri" w:cs="Times New Roman"/>
          <w:color w:val="000000"/>
          <w:lang w:eastAsia="en-CA"/>
        </w:rPr>
        <w:t>. The majority of articles (</w:t>
      </w:r>
      <w:r w:rsidRPr="00EC7D99">
        <w:rPr>
          <w:rFonts w:eastAsia="Calibri" w:cs="Times New Roman"/>
          <w:i/>
          <w:color w:val="000000"/>
          <w:lang w:eastAsia="en-CA"/>
        </w:rPr>
        <w:t xml:space="preserve">n </w:t>
      </w:r>
      <w:r w:rsidRPr="00EC7D99">
        <w:rPr>
          <w:rFonts w:eastAsia="Calibri" w:cs="Times New Roman"/>
          <w:color w:val="000000"/>
          <w:lang w:eastAsia="en-CA"/>
        </w:rPr>
        <w:t xml:space="preserve">= 15) did not report details regarding the presentation of verbal feedback during training. </w:t>
      </w:r>
    </w:p>
    <w:p w14:paraId="40A47C6F" w14:textId="77777777" w:rsidR="00C13EBB" w:rsidRPr="00EC7D99" w:rsidRDefault="00C13EBB" w:rsidP="00DE73FB">
      <w:pPr>
        <w:spacing w:line="480" w:lineRule="auto"/>
        <w:ind w:firstLine="720"/>
        <w:rPr>
          <w:rFonts w:eastAsia="Calibri" w:cs="Times New Roman"/>
          <w:lang w:eastAsia="en-CA"/>
        </w:rPr>
      </w:pPr>
      <w:r w:rsidRPr="00EC7D99">
        <w:rPr>
          <w:rFonts w:eastAsia="Calibri" w:cs="Times New Roman"/>
          <w:lang w:eastAsia="en-CA"/>
        </w:rPr>
        <w:t>Feedback was gamified in most articles (</w:t>
      </w:r>
      <w:r w:rsidRPr="00EC7D99">
        <w:rPr>
          <w:rFonts w:eastAsia="Calibri" w:cs="Times New Roman"/>
          <w:i/>
          <w:lang w:eastAsia="en-CA"/>
        </w:rPr>
        <w:t xml:space="preserve">n </w:t>
      </w:r>
      <w:r w:rsidRPr="00EC7D99">
        <w:rPr>
          <w:rFonts w:eastAsia="Calibri" w:cs="Times New Roman"/>
          <w:lang w:eastAsia="en-CA"/>
        </w:rPr>
        <w:t xml:space="preserve">=13), by using either commercially available games from Nintendo Wii (e.g., “Ski Slalom”, “Balance Bubble”) or custom-written software. Non-gamified feedback involved showing participants an surface </w:t>
      </w:r>
      <w:r w:rsidRPr="00EC7D99">
        <w:rPr>
          <w:rFonts w:eastAsia="Calibri" w:cs="Times New Roman"/>
          <w:color w:val="000000"/>
          <w:lang w:eastAsia="en-CA"/>
        </w:rPr>
        <w:t>electromyography</w:t>
      </w:r>
      <w:r w:rsidRPr="00EC7D99">
        <w:rPr>
          <w:rFonts w:eastAsia="Calibri" w:cs="Times New Roman"/>
          <w:lang w:eastAsia="en-CA"/>
        </w:rPr>
        <w:t xml:space="preserve"> signal regarding the time and amplitude of submental muscle contraction during swallowing </w:t>
      </w:r>
      <w:r w:rsidRPr="00EC7D99">
        <w:rPr>
          <w:rFonts w:eastAsia="Calibri" w:cs="Times New Roman"/>
          <w:noProof/>
          <w:lang w:eastAsia="en-CA"/>
        </w:rPr>
        <w:t>[44]</w:t>
      </w:r>
      <w:r w:rsidRPr="00EC7D99">
        <w:rPr>
          <w:rFonts w:eastAsia="Calibri" w:cs="Times New Roman"/>
          <w:lang w:eastAsia="en-CA"/>
        </w:rPr>
        <w:t xml:space="preserve">; a kinematic signal regarding the timing, location, and amplitude of ground reaction forces during gait </w:t>
      </w:r>
      <w:r w:rsidRPr="00EC7D99">
        <w:rPr>
          <w:rFonts w:eastAsia="Calibri" w:cs="Times New Roman"/>
          <w:noProof/>
          <w:lang w:eastAsia="en-CA"/>
        </w:rPr>
        <w:t>[51]</w:t>
      </w:r>
      <w:r w:rsidRPr="00EC7D99">
        <w:rPr>
          <w:rFonts w:eastAsia="Calibri" w:cs="Times New Roman"/>
          <w:lang w:eastAsia="en-CA"/>
        </w:rPr>
        <w:t xml:space="preserve">; or accuracy scores of a stepping or reaching task </w:t>
      </w:r>
      <w:r w:rsidRPr="00EC7D99">
        <w:rPr>
          <w:rFonts w:eastAsia="Calibri" w:cs="Times New Roman"/>
          <w:noProof/>
          <w:lang w:eastAsia="en-CA"/>
        </w:rPr>
        <w:t>[59]</w:t>
      </w:r>
      <w:r w:rsidRPr="00EC7D99">
        <w:rPr>
          <w:rFonts w:eastAsia="Calibri" w:cs="Times New Roman"/>
          <w:lang w:eastAsia="en-CA"/>
        </w:rPr>
        <w:t xml:space="preserve">. </w:t>
      </w:r>
    </w:p>
    <w:p w14:paraId="01467ECD" w14:textId="77777777" w:rsidR="00C13EBB" w:rsidRPr="00EC7D99" w:rsidRDefault="00C13EBB" w:rsidP="00DE73FB">
      <w:pPr>
        <w:spacing w:line="480" w:lineRule="auto"/>
        <w:ind w:firstLine="720"/>
        <w:rPr>
          <w:rFonts w:eastAsia="Calibri" w:cs="Times New Roman"/>
          <w:lang w:eastAsia="en-CA"/>
        </w:rPr>
      </w:pPr>
      <w:r w:rsidRPr="00EC7D99">
        <w:rPr>
          <w:rFonts w:eastAsia="Calibri" w:cs="Times New Roman"/>
          <w:lang w:eastAsia="en-CA"/>
        </w:rPr>
        <w:t>The nature of feedback was most commonly knowledge of performance (</w:t>
      </w:r>
      <w:r w:rsidRPr="00EC7D99">
        <w:rPr>
          <w:rFonts w:eastAsia="Calibri" w:cs="Times New Roman"/>
          <w:i/>
          <w:lang w:eastAsia="en-CA"/>
        </w:rPr>
        <w:t xml:space="preserve">n </w:t>
      </w:r>
      <w:r w:rsidRPr="00EC7D99">
        <w:rPr>
          <w:rFonts w:eastAsia="Calibri" w:cs="Times New Roman"/>
          <w:lang w:eastAsia="en-CA"/>
        </w:rPr>
        <w:t xml:space="preserve">= 16). Information about accuracy of performance conveyed knowledge of results feedback only </w:t>
      </w:r>
      <w:r w:rsidRPr="00EC7D99">
        <w:rPr>
          <w:rFonts w:eastAsia="Calibri" w:cs="Times New Roman"/>
          <w:noProof/>
          <w:lang w:eastAsia="en-CA"/>
        </w:rPr>
        <w:t>[59]</w:t>
      </w:r>
      <w:r w:rsidRPr="00EC7D99">
        <w:rPr>
          <w:rFonts w:eastAsia="Calibri" w:cs="Times New Roman"/>
          <w:lang w:eastAsia="en-CA"/>
        </w:rPr>
        <w:t xml:space="preserve">. One article did not provide information about gamification or the nature of feedback employed </w:t>
      </w:r>
      <w:r w:rsidRPr="00EC7D99">
        <w:rPr>
          <w:rFonts w:eastAsia="Calibri" w:cs="Times New Roman"/>
          <w:noProof/>
          <w:lang w:eastAsia="en-CA"/>
        </w:rPr>
        <w:t>[57]</w:t>
      </w:r>
      <w:r w:rsidRPr="00EC7D99">
        <w:rPr>
          <w:rFonts w:eastAsia="Calibri" w:cs="Times New Roman"/>
          <w:lang w:eastAsia="en-CA"/>
        </w:rPr>
        <w:t>.</w:t>
      </w:r>
    </w:p>
    <w:p w14:paraId="087B3519" w14:textId="77777777" w:rsidR="00C13EBB" w:rsidRPr="00EC7D99" w:rsidRDefault="00C13EBB" w:rsidP="00DE73FB">
      <w:pPr>
        <w:spacing w:line="480" w:lineRule="auto"/>
        <w:ind w:firstLine="720"/>
        <w:rPr>
          <w:rFonts w:eastAsia="Calibri" w:cs="Times New Roman"/>
          <w:b/>
          <w:lang w:eastAsia="en-CA"/>
        </w:rPr>
      </w:pPr>
      <w:r w:rsidRPr="00EC7D99">
        <w:rPr>
          <w:rFonts w:eastAsia="Calibri" w:cs="Times New Roman"/>
          <w:color w:val="000000"/>
          <w:lang w:eastAsia="en-CA"/>
        </w:rPr>
        <w:t>Visual feedback varied in timing of presentation and frequency across articles. Typically, visual feedback was presented in real-time while participants were practising the motor skill (</w:t>
      </w:r>
      <w:r w:rsidRPr="00EC7D99">
        <w:rPr>
          <w:rFonts w:eastAsia="Calibri" w:cs="Times New Roman"/>
          <w:i/>
          <w:color w:val="000000"/>
          <w:lang w:eastAsia="en-CA"/>
        </w:rPr>
        <w:t xml:space="preserve">n = </w:t>
      </w:r>
      <w:r w:rsidRPr="00EC7D99">
        <w:rPr>
          <w:rFonts w:eastAsia="Calibri" w:cs="Times New Roman"/>
          <w:color w:val="000000"/>
          <w:lang w:eastAsia="en-CA"/>
        </w:rPr>
        <w:t xml:space="preserve">15). The remaining articles used terminal feedback following the completion of each trial </w:t>
      </w:r>
      <w:r w:rsidRPr="00EC7D99">
        <w:rPr>
          <w:rFonts w:eastAsia="Calibri" w:cs="Times New Roman"/>
          <w:noProof/>
          <w:color w:val="000000"/>
          <w:lang w:eastAsia="en-CA"/>
        </w:rPr>
        <w:t>[59]</w:t>
      </w:r>
      <w:r w:rsidRPr="00EC7D99">
        <w:rPr>
          <w:rFonts w:eastAsia="Calibri" w:cs="Times New Roman"/>
          <w:color w:val="000000"/>
          <w:lang w:eastAsia="en-CA"/>
        </w:rPr>
        <w:t xml:space="preserve">, delayed feedback after a few trials </w:t>
      </w:r>
      <w:r w:rsidRPr="00EC7D99">
        <w:rPr>
          <w:rFonts w:eastAsia="Calibri" w:cs="Times New Roman"/>
          <w:noProof/>
          <w:color w:val="000000"/>
          <w:lang w:eastAsia="en-CA"/>
        </w:rPr>
        <w:t>[51]</w:t>
      </w:r>
      <w:r w:rsidRPr="00EC7D99">
        <w:rPr>
          <w:rFonts w:eastAsia="Calibri" w:cs="Times New Roman"/>
          <w:color w:val="000000"/>
          <w:lang w:eastAsia="en-CA"/>
        </w:rPr>
        <w:t xml:space="preserve">, or a combination of both real-time and terminal feedback </w:t>
      </w:r>
      <w:r w:rsidRPr="00EC7D99">
        <w:rPr>
          <w:rFonts w:eastAsia="Calibri" w:cs="Times New Roman"/>
          <w:noProof/>
          <w:color w:val="000000"/>
          <w:lang w:eastAsia="en-CA"/>
        </w:rPr>
        <w:t>[57]</w:t>
      </w:r>
      <w:r w:rsidRPr="00EC7D99">
        <w:rPr>
          <w:rFonts w:eastAsia="Calibri" w:cs="Times New Roman"/>
          <w:color w:val="000000"/>
          <w:lang w:eastAsia="en-CA"/>
        </w:rPr>
        <w:t>. Details of feedback frequency were not explicitly stated for the studies using Wii technology, but the frequency was assumed to be 100% given the typical use of the technology. Examined across all articles, feedback was usually provided on 100% of practice trials (</w:t>
      </w:r>
      <w:r w:rsidRPr="00EC7D99">
        <w:rPr>
          <w:rFonts w:eastAsia="Calibri" w:cs="Times New Roman"/>
          <w:i/>
          <w:color w:val="000000"/>
          <w:lang w:eastAsia="en-CA"/>
        </w:rPr>
        <w:t xml:space="preserve">n </w:t>
      </w:r>
      <w:r w:rsidRPr="00EC7D99">
        <w:rPr>
          <w:rFonts w:eastAsia="Calibri" w:cs="Times New Roman"/>
          <w:color w:val="000000"/>
          <w:lang w:eastAsia="en-CA"/>
        </w:rPr>
        <w:t xml:space="preserve">= 16). Only one article reduced the frequency of feedback to approximately one third of the treatment time </w:t>
      </w:r>
      <w:r w:rsidRPr="00EC7D99">
        <w:rPr>
          <w:rFonts w:eastAsia="Calibri" w:cs="Times New Roman"/>
          <w:noProof/>
          <w:color w:val="000000"/>
          <w:lang w:eastAsia="en-CA"/>
        </w:rPr>
        <w:t>[51]</w:t>
      </w:r>
      <w:r w:rsidRPr="00EC7D99">
        <w:rPr>
          <w:rFonts w:eastAsia="Calibri" w:cs="Times New Roman"/>
          <w:color w:val="000000"/>
          <w:lang w:eastAsia="en-CA"/>
        </w:rPr>
        <w:t xml:space="preserve">, and one article did not provide information regarding feedback frequency </w:t>
      </w:r>
      <w:r w:rsidRPr="00EC7D99">
        <w:rPr>
          <w:rFonts w:eastAsia="Calibri" w:cs="Times New Roman"/>
          <w:noProof/>
          <w:color w:val="000000"/>
          <w:lang w:eastAsia="en-CA"/>
        </w:rPr>
        <w:t>[57]</w:t>
      </w:r>
      <w:r w:rsidRPr="00EC7D99">
        <w:rPr>
          <w:rFonts w:eastAsia="Calibri" w:cs="Times New Roman"/>
          <w:color w:val="000000"/>
          <w:lang w:eastAsia="en-CA"/>
        </w:rPr>
        <w:t>.</w:t>
      </w:r>
      <w:r w:rsidRPr="00EC7D99">
        <w:rPr>
          <w:rFonts w:eastAsia="Calibri" w:cs="Times New Roman"/>
          <w:b/>
          <w:lang w:eastAsia="en-CA"/>
        </w:rPr>
        <w:t xml:space="preserve"> </w:t>
      </w:r>
    </w:p>
    <w:p w14:paraId="79B0C384"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 xml:space="preserve"> [Please insert table 1 about here]</w:t>
      </w:r>
    </w:p>
    <w:p w14:paraId="0D499694" w14:textId="77777777" w:rsidR="00C13EBB" w:rsidRPr="00EC7D99" w:rsidRDefault="00C13EBB" w:rsidP="00DE73FB">
      <w:pPr>
        <w:spacing w:line="480" w:lineRule="auto"/>
        <w:outlineLvl w:val="0"/>
        <w:rPr>
          <w:rFonts w:eastAsia="Calibri" w:cs="Times New Roman"/>
          <w:b/>
          <w:i/>
          <w:lang w:eastAsia="en-CA"/>
        </w:rPr>
      </w:pPr>
      <w:r w:rsidRPr="00EC7D99">
        <w:rPr>
          <w:rFonts w:eastAsia="Calibri" w:cs="Times New Roman"/>
          <w:b/>
          <w:i/>
          <w:lang w:eastAsia="en-CA"/>
        </w:rPr>
        <w:lastRenderedPageBreak/>
        <w:t>Methodological Quality</w:t>
      </w:r>
    </w:p>
    <w:p w14:paraId="5B22721F" w14:textId="74E74FE9" w:rsidR="00C13EBB" w:rsidRPr="00EC7D99" w:rsidRDefault="00C13EBB" w:rsidP="00DE73FB">
      <w:pPr>
        <w:widowControl w:val="0"/>
        <w:autoSpaceDE w:val="0"/>
        <w:autoSpaceDN w:val="0"/>
        <w:adjustRightInd w:val="0"/>
        <w:spacing w:line="480" w:lineRule="auto"/>
        <w:rPr>
          <w:rFonts w:cs="Times New Roman"/>
          <w:lang w:val="en-US"/>
        </w:rPr>
      </w:pPr>
      <w:r w:rsidRPr="00EC7D99">
        <w:rPr>
          <w:rFonts w:cs="Times New Roman"/>
          <w:lang w:val="en-US"/>
        </w:rPr>
        <w:t>Two independent raters had good agreement (83%) in appraising methodological quality of studies. All differences in ratings were discussed and successfully resolved by consensus.</w:t>
      </w:r>
      <w:r w:rsidRPr="00EC7D99">
        <w:rPr>
          <w:rFonts w:cs="Times New Roman"/>
          <w:i/>
          <w:lang w:val="en-US"/>
        </w:rPr>
        <w:t xml:space="preserve"> </w:t>
      </w:r>
      <w:r w:rsidRPr="00EC7D99">
        <w:rPr>
          <w:rFonts w:cs="Times New Roman"/>
          <w:lang w:val="en-US"/>
        </w:rPr>
        <w:t xml:space="preserve">The risk of bias assessment for all studies is shown in table 2. All single group studies provided point and variability measures for at least one outcome measure, and reported data from all outcomes </w:t>
      </w:r>
      <w:r w:rsidR="00AF6C92" w:rsidRPr="00EC7D99">
        <w:rPr>
          <w:rFonts w:cs="Times New Roman"/>
          <w:lang w:val="en-US"/>
        </w:rPr>
        <w:t xml:space="preserve">were </w:t>
      </w:r>
      <w:r w:rsidRPr="00EC7D99">
        <w:rPr>
          <w:rFonts w:cs="Times New Roman"/>
          <w:lang w:val="en-US"/>
        </w:rPr>
        <w:t>stated a priori. The majority of single group studies (</w:t>
      </w:r>
      <w:r w:rsidRPr="00EC7D99">
        <w:rPr>
          <w:rFonts w:cs="Times New Roman"/>
          <w:i/>
          <w:lang w:val="en-US"/>
        </w:rPr>
        <w:t xml:space="preserve">n </w:t>
      </w:r>
      <w:r w:rsidRPr="00EC7D99">
        <w:rPr>
          <w:rFonts w:cs="Times New Roman"/>
          <w:lang w:val="en-US"/>
        </w:rPr>
        <w:t xml:space="preserve">= 7/8) also provided complete clinical history and assessed for evidence of generalization </w:t>
      </w:r>
      <w:r w:rsidR="00DE73FB" w:rsidRPr="00EC7D99">
        <w:rPr>
          <w:rFonts w:cs="Times New Roman"/>
          <w:noProof/>
          <w:lang w:val="en-US"/>
        </w:rPr>
        <w:t>[44</w:t>
      </w:r>
      <w:r w:rsidR="00DE73FB" w:rsidRPr="00EC7D99">
        <w:rPr>
          <w:rFonts w:eastAsia="Calibri" w:cs="Times New Roman"/>
          <w:noProof/>
          <w:color w:val="000000"/>
          <w:lang w:eastAsia="en-CA"/>
        </w:rPr>
        <w:t>–</w:t>
      </w:r>
      <w:r w:rsidRPr="00EC7D99">
        <w:rPr>
          <w:rFonts w:cs="Times New Roman"/>
          <w:noProof/>
          <w:lang w:val="en-US"/>
        </w:rPr>
        <w:t>50]</w:t>
      </w:r>
      <w:r w:rsidRPr="00EC7D99">
        <w:rPr>
          <w:rFonts w:cs="Times New Roman"/>
          <w:lang w:val="en-US"/>
        </w:rPr>
        <w:t xml:space="preserve">. Only four of the eight single group studies clearly addressed study attrition </w:t>
      </w:r>
      <w:r w:rsidRPr="00EC7D99">
        <w:rPr>
          <w:rFonts w:cs="Times New Roman"/>
          <w:noProof/>
          <w:lang w:val="en-US"/>
        </w:rPr>
        <w:t>[i.e., incomplete outcome data; 45,46,49,50]</w:t>
      </w:r>
      <w:r w:rsidRPr="00EC7D99">
        <w:rPr>
          <w:rFonts w:cs="Times New Roman"/>
          <w:lang w:val="en-US"/>
        </w:rPr>
        <w:t xml:space="preserve">, only two studies implemented appropriate statistical analysis </w:t>
      </w:r>
      <w:r w:rsidRPr="00EC7D99">
        <w:rPr>
          <w:rFonts w:cs="Times New Roman"/>
          <w:noProof/>
          <w:lang w:val="en-US"/>
        </w:rPr>
        <w:t>[44,49]</w:t>
      </w:r>
      <w:r w:rsidRPr="00EC7D99">
        <w:rPr>
          <w:rFonts w:cs="Times New Roman"/>
          <w:lang w:val="en-US"/>
        </w:rPr>
        <w:t>, and none reported blinding of the outcome assessor.</w:t>
      </w:r>
    </w:p>
    <w:p w14:paraId="5380FE9B" w14:textId="41054DB5" w:rsidR="00C13EBB" w:rsidRPr="00EC7D99" w:rsidRDefault="00C13EBB" w:rsidP="00DE73FB">
      <w:pPr>
        <w:widowControl w:val="0"/>
        <w:autoSpaceDE w:val="0"/>
        <w:autoSpaceDN w:val="0"/>
        <w:adjustRightInd w:val="0"/>
        <w:spacing w:line="480" w:lineRule="auto"/>
        <w:ind w:firstLine="720"/>
        <w:rPr>
          <w:rFonts w:cs="Times New Roman"/>
          <w:lang w:val="en-US"/>
        </w:rPr>
      </w:pPr>
      <w:r w:rsidRPr="00EC7D99">
        <w:rPr>
          <w:rFonts w:cs="Times New Roman"/>
          <w:lang w:val="en-US"/>
        </w:rPr>
        <w:t xml:space="preserve">For all RCTs, point and variability measures for at least one outcome measure </w:t>
      </w:r>
      <w:r w:rsidR="00AF6C92" w:rsidRPr="00EC7D99">
        <w:rPr>
          <w:rFonts w:cs="Times New Roman"/>
          <w:lang w:val="en-US"/>
        </w:rPr>
        <w:t xml:space="preserve">were reported, in addition to </w:t>
      </w:r>
      <w:r w:rsidRPr="00EC7D99">
        <w:rPr>
          <w:rFonts w:cs="Times New Roman"/>
          <w:lang w:val="en-US"/>
        </w:rPr>
        <w:t xml:space="preserve">data from all outcomes </w:t>
      </w:r>
      <w:r w:rsidR="00AF6C92" w:rsidRPr="00EC7D99">
        <w:rPr>
          <w:rFonts w:cs="Times New Roman"/>
          <w:lang w:val="en-US"/>
        </w:rPr>
        <w:t xml:space="preserve">that </w:t>
      </w:r>
      <w:r w:rsidRPr="00EC7D99">
        <w:rPr>
          <w:rFonts w:cs="Times New Roman"/>
          <w:lang w:val="en-US"/>
        </w:rPr>
        <w:t>were reported in the study methods. The majority of RCTs (</w:t>
      </w:r>
      <w:r w:rsidRPr="00EC7D99">
        <w:rPr>
          <w:rFonts w:cs="Times New Roman"/>
          <w:i/>
          <w:lang w:val="en-US"/>
        </w:rPr>
        <w:t xml:space="preserve">n </w:t>
      </w:r>
      <w:r w:rsidRPr="00EC7D99">
        <w:rPr>
          <w:rFonts w:cs="Times New Roman"/>
          <w:lang w:val="en-US"/>
        </w:rPr>
        <w:t xml:space="preserve">= 9/10) specified a complete clinical history of their participants </w:t>
      </w:r>
      <w:r w:rsidRPr="00EC7D99">
        <w:rPr>
          <w:rFonts w:cs="Times New Roman"/>
          <w:noProof/>
          <w:lang w:val="en-US"/>
        </w:rPr>
        <w:t>[42,51,53</w:t>
      </w:r>
      <w:r w:rsidR="00DE73FB" w:rsidRPr="00EC7D99">
        <w:rPr>
          <w:rFonts w:cs="Times New Roman"/>
          <w:noProof/>
          <w:lang w:val="en-US"/>
        </w:rPr>
        <w:t>–</w:t>
      </w:r>
      <w:r w:rsidRPr="00EC7D99">
        <w:rPr>
          <w:rFonts w:cs="Times New Roman"/>
          <w:noProof/>
          <w:lang w:val="en-US"/>
        </w:rPr>
        <w:t>59]</w:t>
      </w:r>
      <w:r w:rsidRPr="00EC7D99">
        <w:rPr>
          <w:rFonts w:cs="Times New Roman"/>
          <w:lang w:val="en-US"/>
        </w:rPr>
        <w:t xml:space="preserve">. Eight of the ten RCTs adequately described their sequence generation process and reported blinding of the outcome assessor </w:t>
      </w:r>
      <w:r w:rsidRPr="00EC7D99">
        <w:rPr>
          <w:rFonts w:cs="Times New Roman"/>
          <w:noProof/>
          <w:lang w:val="en-US"/>
        </w:rPr>
        <w:t>[42,53</w:t>
      </w:r>
      <w:r w:rsidR="00DE73FB" w:rsidRPr="00EC7D99">
        <w:rPr>
          <w:rFonts w:eastAsia="Calibri" w:cs="Times New Roman"/>
          <w:noProof/>
          <w:color w:val="000000"/>
          <w:lang w:eastAsia="en-CA"/>
        </w:rPr>
        <w:t>–</w:t>
      </w:r>
      <w:r w:rsidRPr="00EC7D99">
        <w:rPr>
          <w:rFonts w:cs="Times New Roman"/>
          <w:noProof/>
          <w:lang w:val="en-US"/>
        </w:rPr>
        <w:t>59]</w:t>
      </w:r>
      <w:r w:rsidRPr="00EC7D99">
        <w:rPr>
          <w:rFonts w:cs="Times New Roman"/>
          <w:lang w:val="en-US"/>
        </w:rPr>
        <w:t xml:space="preserve">. Eight of ten RCTs also demonstrated that the intervention groups were equivalent at baseline and presented results for experimental and control groups </w:t>
      </w:r>
      <w:r w:rsidRPr="00EC7D99">
        <w:rPr>
          <w:rFonts w:cs="Times New Roman"/>
          <w:noProof/>
          <w:lang w:val="en-US"/>
        </w:rPr>
        <w:t>[42,51</w:t>
      </w:r>
      <w:r w:rsidR="00DE73FB" w:rsidRPr="00EC7D99">
        <w:rPr>
          <w:rFonts w:cs="Times New Roman"/>
          <w:noProof/>
          <w:lang w:val="en-US"/>
        </w:rPr>
        <w:t>–</w:t>
      </w:r>
      <w:r w:rsidRPr="00EC7D99">
        <w:rPr>
          <w:rFonts w:cs="Times New Roman"/>
          <w:noProof/>
          <w:lang w:val="en-US"/>
        </w:rPr>
        <w:t>53,55,56,58,59]</w:t>
      </w:r>
      <w:r w:rsidRPr="00EC7D99">
        <w:rPr>
          <w:rFonts w:cs="Times New Roman"/>
          <w:lang w:val="en-US"/>
        </w:rPr>
        <w:t xml:space="preserve">. Seven studies reported reasons for study attrition and conducted appropriate statistical analyses, while six studies assessed for evidence of generalization </w:t>
      </w:r>
      <w:r w:rsidRPr="00EC7D99">
        <w:rPr>
          <w:rFonts w:cs="Times New Roman"/>
          <w:noProof/>
          <w:lang w:val="en-US"/>
        </w:rPr>
        <w:t>[42,51,53,55,56,58,59]</w:t>
      </w:r>
      <w:r w:rsidRPr="00EC7D99">
        <w:rPr>
          <w:rFonts w:cs="Times New Roman"/>
          <w:lang w:val="en-US"/>
        </w:rPr>
        <w:t xml:space="preserve">. Only four RCTs, however, reported analyzing data using the intention-to-treat principles </w:t>
      </w:r>
      <w:r w:rsidRPr="00EC7D99">
        <w:rPr>
          <w:rFonts w:cs="Times New Roman"/>
          <w:noProof/>
          <w:lang w:val="en-US"/>
        </w:rPr>
        <w:t>[55,56,58,59]</w:t>
      </w:r>
      <w:r w:rsidRPr="00EC7D99">
        <w:rPr>
          <w:rFonts w:cs="Times New Roman"/>
          <w:lang w:val="en-US"/>
        </w:rPr>
        <w:t xml:space="preserve"> and only three studies clearly described if and how allocation concealment was conducted </w:t>
      </w:r>
      <w:r w:rsidRPr="00EC7D99">
        <w:rPr>
          <w:rFonts w:cs="Times New Roman"/>
          <w:noProof/>
          <w:lang w:val="en-US"/>
        </w:rPr>
        <w:t>[53,58,59]</w:t>
      </w:r>
      <w:r w:rsidRPr="00EC7D99">
        <w:rPr>
          <w:rFonts w:cs="Times New Roman"/>
          <w:lang w:val="en-US"/>
        </w:rPr>
        <w:t>.</w:t>
      </w:r>
    </w:p>
    <w:p w14:paraId="16B45701"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[Please insert table 2 about here]</w:t>
      </w:r>
    </w:p>
    <w:p w14:paraId="1F7A7AE9" w14:textId="77777777" w:rsidR="00C13EBB" w:rsidRPr="00EC7D99" w:rsidRDefault="00C13EBB" w:rsidP="00DE73FB">
      <w:pPr>
        <w:spacing w:line="480" w:lineRule="auto"/>
        <w:outlineLvl w:val="0"/>
        <w:rPr>
          <w:rFonts w:eastAsia="Calibri" w:cs="Times New Roman"/>
          <w:b/>
          <w:i/>
          <w:lang w:eastAsia="en-CA"/>
        </w:rPr>
      </w:pPr>
      <w:r w:rsidRPr="00EC7D99">
        <w:rPr>
          <w:rFonts w:eastAsia="Calibri" w:cs="Times New Roman"/>
          <w:b/>
          <w:i/>
          <w:lang w:eastAsia="en-CA"/>
        </w:rPr>
        <w:t xml:space="preserve">Summary of Findings </w:t>
      </w:r>
    </w:p>
    <w:p w14:paraId="38CA034D" w14:textId="77777777" w:rsidR="00C13EBB" w:rsidRPr="00EC7D99" w:rsidRDefault="00C13EBB" w:rsidP="00DE73FB">
      <w:pPr>
        <w:spacing w:line="480" w:lineRule="auto"/>
        <w:outlineLvl w:val="0"/>
        <w:rPr>
          <w:rFonts w:eastAsia="Calibri" w:cs="Times New Roman"/>
          <w:i/>
          <w:lang w:eastAsia="en-CA"/>
        </w:rPr>
      </w:pPr>
      <w:r w:rsidRPr="00EC7D99">
        <w:rPr>
          <w:rFonts w:eastAsia="Calibri" w:cs="Times New Roman"/>
          <w:i/>
          <w:lang w:eastAsia="en-CA"/>
        </w:rPr>
        <w:lastRenderedPageBreak/>
        <w:t>Summary of the Outcome Measures by Type</w:t>
      </w:r>
    </w:p>
    <w:p w14:paraId="38ED85D4" w14:textId="77777777" w:rsidR="00C13EBB" w:rsidRPr="00EC7D99" w:rsidRDefault="00C13EBB" w:rsidP="00DE73FB">
      <w:pPr>
        <w:spacing w:line="480" w:lineRule="auto"/>
        <w:rPr>
          <w:rFonts w:eastAsia="Calibri" w:cs="Times New Roman"/>
          <w:lang w:eastAsia="en-CA"/>
        </w:rPr>
      </w:pPr>
      <w:r w:rsidRPr="00EC7D99">
        <w:rPr>
          <w:rFonts w:eastAsia="Calibri" w:cs="Times New Roman"/>
          <w:lang w:eastAsia="en-CA"/>
        </w:rPr>
        <w:t xml:space="preserve">Figure 2 shows the distribution of outcome measures by type across articles. A similar distribution in outcome measure classification was observed for the single group and RCT studies. Activity-level measures were the most prevalent, captured in 17/18 articles </w:t>
      </w:r>
      <w:r w:rsidRPr="00EC7D99">
        <w:rPr>
          <w:rFonts w:eastAsia="Calibri" w:cs="Times New Roman"/>
          <w:noProof/>
          <w:lang w:eastAsia="en-CA"/>
        </w:rPr>
        <w:t>[42</w:t>
      </w:r>
      <w:r w:rsidR="00DE73FB" w:rsidRPr="00EC7D99">
        <w:rPr>
          <w:rFonts w:eastAsia="Calibri" w:cs="Times New Roman"/>
          <w:noProof/>
          <w:lang w:eastAsia="en-CA"/>
        </w:rPr>
        <w:t>–</w:t>
      </w:r>
      <w:r w:rsidRPr="00EC7D99">
        <w:rPr>
          <w:rFonts w:eastAsia="Calibri" w:cs="Times New Roman"/>
          <w:noProof/>
          <w:lang w:eastAsia="en-CA"/>
        </w:rPr>
        <w:t>53,55</w:t>
      </w:r>
      <w:r w:rsidR="00DE73FB" w:rsidRPr="00EC7D99">
        <w:rPr>
          <w:rFonts w:eastAsia="Calibri" w:cs="Times New Roman"/>
          <w:noProof/>
          <w:lang w:eastAsia="en-CA"/>
        </w:rPr>
        <w:t>–</w:t>
      </w:r>
      <w:r w:rsidRPr="00EC7D99">
        <w:rPr>
          <w:rFonts w:eastAsia="Calibri" w:cs="Times New Roman"/>
          <w:noProof/>
          <w:lang w:eastAsia="en-CA"/>
        </w:rPr>
        <w:t>59]</w:t>
      </w:r>
      <w:r w:rsidRPr="00EC7D99">
        <w:rPr>
          <w:rFonts w:eastAsia="Calibri" w:cs="Times New Roman"/>
          <w:lang w:eastAsia="en-CA"/>
        </w:rPr>
        <w:t xml:space="preserve">. Half of the articles examined change at the impairment level </w:t>
      </w:r>
      <w:r w:rsidRPr="00EC7D99">
        <w:rPr>
          <w:rFonts w:eastAsia="Calibri" w:cs="Times New Roman"/>
          <w:noProof/>
          <w:lang w:eastAsia="en-CA"/>
        </w:rPr>
        <w:t>[9/18; 42,44</w:t>
      </w:r>
      <w:r w:rsidR="00DE73FB" w:rsidRPr="00EC7D99">
        <w:rPr>
          <w:rFonts w:eastAsia="Calibri" w:cs="Times New Roman"/>
          <w:noProof/>
          <w:lang w:eastAsia="en-CA"/>
        </w:rPr>
        <w:t>–</w:t>
      </w:r>
      <w:r w:rsidRPr="00EC7D99">
        <w:rPr>
          <w:rFonts w:eastAsia="Calibri" w:cs="Times New Roman"/>
          <w:noProof/>
          <w:lang w:eastAsia="en-CA"/>
        </w:rPr>
        <w:t>46,49,51</w:t>
      </w:r>
      <w:r w:rsidR="00DE73FB" w:rsidRPr="00EC7D99">
        <w:rPr>
          <w:rFonts w:eastAsia="Calibri" w:cs="Times New Roman"/>
          <w:noProof/>
          <w:lang w:eastAsia="en-CA"/>
        </w:rPr>
        <w:t>–</w:t>
      </w:r>
      <w:r w:rsidRPr="00EC7D99">
        <w:rPr>
          <w:rFonts w:eastAsia="Calibri" w:cs="Times New Roman"/>
          <w:noProof/>
          <w:lang w:eastAsia="en-CA"/>
        </w:rPr>
        <w:t>53,58]</w:t>
      </w:r>
      <w:r w:rsidRPr="00EC7D99">
        <w:rPr>
          <w:rFonts w:eastAsia="Calibri" w:cs="Times New Roman"/>
          <w:lang w:eastAsia="en-CA"/>
        </w:rPr>
        <w:t xml:space="preserve">, while participation level measures were rarely examined </w:t>
      </w:r>
      <w:r w:rsidRPr="00EC7D99">
        <w:rPr>
          <w:rFonts w:eastAsia="Calibri" w:cs="Times New Roman"/>
          <w:noProof/>
          <w:lang w:eastAsia="en-CA"/>
        </w:rPr>
        <w:t>[4/18; 44,45,54,55]</w:t>
      </w:r>
      <w:r w:rsidRPr="00EC7D99">
        <w:rPr>
          <w:rFonts w:eastAsia="Calibri" w:cs="Times New Roman"/>
          <w:lang w:eastAsia="en-CA"/>
        </w:rPr>
        <w:t xml:space="preserve">. Measures of global motor function were assessed in 6/18 articles </w:t>
      </w:r>
      <w:r w:rsidRPr="00EC7D99">
        <w:rPr>
          <w:rFonts w:eastAsia="Calibri" w:cs="Times New Roman"/>
          <w:noProof/>
          <w:lang w:eastAsia="en-CA"/>
        </w:rPr>
        <w:t>[42,45,47,48,55,58]</w:t>
      </w:r>
      <w:r w:rsidRPr="00EC7D99">
        <w:rPr>
          <w:rFonts w:eastAsia="Calibri" w:cs="Times New Roman"/>
          <w:lang w:eastAsia="en-CA"/>
        </w:rPr>
        <w:t>.</w:t>
      </w:r>
    </w:p>
    <w:p w14:paraId="0B33DC3A"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DE73FB" w:rsidRPr="00EC7D99">
        <w:rPr>
          <w:rFonts w:eastAsia="Calibri" w:cs="Times New Roman"/>
          <w:color w:val="000000"/>
          <w:lang w:eastAsia="en-CA"/>
        </w:rPr>
        <w:t>ase insert figure 2 about here]</w:t>
      </w:r>
    </w:p>
    <w:p w14:paraId="5F94581D"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Treatment Effect</w:t>
      </w:r>
    </w:p>
    <w:p w14:paraId="59052F78"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The treatment outcomes of the studies are summarized in tables 3-5. Fourteen articles provided </w:t>
      </w:r>
      <w:r w:rsidRPr="00EC7D99">
        <w:rPr>
          <w:rFonts w:eastAsia="Calibri" w:cs="Times New Roman"/>
          <w:lang w:eastAsia="en-CA"/>
        </w:rPr>
        <w:t>effect sizes or raw data from which effect sizes could be derived</w:t>
      </w:r>
      <w:r w:rsidRPr="00EC7D99">
        <w:rPr>
          <w:rFonts w:eastAsia="Calibri" w:cs="Times New Roman"/>
          <w:color w:val="000000"/>
          <w:lang w:eastAsia="en-CA"/>
        </w:rPr>
        <w:t xml:space="preserve">. </w:t>
      </w:r>
      <w:r w:rsidRPr="00EC7D99">
        <w:rPr>
          <w:rFonts w:eastAsia="Calibri" w:cs="Times New Roman"/>
          <w:lang w:eastAsia="en-CA"/>
        </w:rPr>
        <w:t>The total number of measures by category is shown in column 2 (table 3 and 4), and outcome measures with effect sizes (</w:t>
      </w:r>
      <w:r w:rsidRPr="00EC7D99">
        <w:rPr>
          <w:rFonts w:eastAsia="Calibri" w:cs="Times New Roman"/>
          <w:i/>
          <w:lang w:eastAsia="en-CA"/>
        </w:rPr>
        <w:t>d</w:t>
      </w:r>
      <w:r w:rsidRPr="00EC7D99">
        <w:rPr>
          <w:rFonts w:eastAsia="Calibri" w:cs="Times New Roman"/>
          <w:lang w:eastAsia="en-CA"/>
        </w:rPr>
        <w:t xml:space="preserve"> &gt; |0.2|) are included in column 3. </w:t>
      </w:r>
      <w:r w:rsidRPr="00EC7D99">
        <w:rPr>
          <w:rFonts w:eastAsia="Calibri" w:cs="Times New Roman"/>
          <w:color w:val="000000"/>
          <w:lang w:eastAsia="en-CA"/>
        </w:rPr>
        <w:t xml:space="preserve">All effect sizes are reported with positive or negative signs indicating improvement (“+”) or decline (“-”) in performance for within group effects, and enhanced (“+”) or reduced (“-”) benefit of augmented visual feedback-aided treatment compared to a control treatment for between group effects. </w:t>
      </w:r>
      <w:r w:rsidRPr="00EC7D99">
        <w:rPr>
          <w:rFonts w:eastAsia="Calibri" w:cs="Times New Roman"/>
          <w:lang w:eastAsia="en-CA"/>
        </w:rPr>
        <w:t xml:space="preserve">Figures 3 and 4 provide a summary of the effects of treatments immediately post treatment (figure 3) and at follow-up (figure 4). </w:t>
      </w:r>
    </w:p>
    <w:p w14:paraId="36FAEDC1" w14:textId="77777777" w:rsidR="00C13EBB" w:rsidRPr="00EC7D99" w:rsidRDefault="00C13EBB" w:rsidP="00DE73FB">
      <w:pPr>
        <w:spacing w:line="480" w:lineRule="auto"/>
        <w:rPr>
          <w:rFonts w:eastAsia="Calibri" w:cs="Times New Roman"/>
          <w:b/>
          <w:color w:val="000000"/>
          <w:lang w:eastAsia="en-CA"/>
        </w:rPr>
      </w:pPr>
      <w:r w:rsidRPr="00EC7D99">
        <w:rPr>
          <w:rFonts w:eastAsia="Calibri" w:cs="Times New Roman"/>
          <w:i/>
          <w:color w:val="000000"/>
          <w:lang w:eastAsia="en-CA"/>
        </w:rPr>
        <w:t>Within Group Effect.</w:t>
      </w:r>
      <w:r w:rsidRPr="00EC7D99">
        <w:rPr>
          <w:rFonts w:eastAsia="Calibri" w:cs="Times New Roman"/>
          <w:b/>
          <w:color w:val="000000"/>
          <w:lang w:eastAsia="en-CA"/>
        </w:rPr>
        <w:t xml:space="preserve"> </w:t>
      </w:r>
      <w:r w:rsidRPr="00EC7D99">
        <w:rPr>
          <w:rFonts w:eastAsia="Calibri" w:cs="Times New Roman"/>
          <w:color w:val="000000"/>
          <w:lang w:eastAsia="en-CA"/>
        </w:rPr>
        <w:t xml:space="preserve">Five of eight articles reporting within group effects included sufficient data to estimate the magnitude of effect size (table 3). Above threshold improvements were observed for 76% of all measures (figure 3), including measures of impairment (i.e., balance centre of pressure) and activity (i.e., static and dynamic balance; mobility; gait; upper extremity speed and coordination; fall risk) </w:t>
      </w:r>
      <w:r w:rsidR="00DE73FB" w:rsidRPr="00EC7D99">
        <w:rPr>
          <w:rFonts w:eastAsia="Calibri" w:cs="Times New Roman"/>
          <w:noProof/>
          <w:color w:val="000000"/>
          <w:lang w:eastAsia="en-CA"/>
        </w:rPr>
        <w:t>[45–47,49</w:t>
      </w:r>
      <w:r w:rsidRPr="00EC7D99">
        <w:rPr>
          <w:rFonts w:eastAsia="Calibri" w:cs="Times New Roman"/>
          <w:noProof/>
          <w:color w:val="000000"/>
          <w:lang w:eastAsia="en-CA"/>
        </w:rPr>
        <w:t>]</w:t>
      </w:r>
      <w:r w:rsidRPr="00EC7D99">
        <w:rPr>
          <w:rFonts w:eastAsia="Calibri" w:cs="Times New Roman"/>
          <w:color w:val="000000"/>
          <w:lang w:eastAsia="en-CA"/>
        </w:rPr>
        <w:t xml:space="preserve">. Generalization of treatment effects was also observed for measures of activities of daily living, participation (i.e., quality of life) and global motor function </w:t>
      </w:r>
      <w:r w:rsidRPr="00EC7D99">
        <w:rPr>
          <w:rFonts w:eastAsia="Calibri" w:cs="Times New Roman"/>
          <w:noProof/>
          <w:color w:val="000000"/>
          <w:lang w:eastAsia="en-CA"/>
        </w:rPr>
        <w:lastRenderedPageBreak/>
        <w:t>[45</w:t>
      </w:r>
      <w:r w:rsidR="00DE73FB" w:rsidRPr="00EC7D99">
        <w:rPr>
          <w:rFonts w:eastAsia="Calibri" w:cs="Times New Roman"/>
          <w:noProof/>
          <w:color w:val="000000"/>
          <w:lang w:eastAsia="en-CA"/>
        </w:rPr>
        <w:t>–49</w:t>
      </w:r>
      <w:r w:rsidRPr="00EC7D99">
        <w:rPr>
          <w:rFonts w:eastAsia="Calibri" w:cs="Times New Roman"/>
          <w:noProof/>
          <w:color w:val="000000"/>
          <w:lang w:eastAsia="en-CA"/>
        </w:rPr>
        <w:t>]</w:t>
      </w:r>
      <w:r w:rsidRPr="00EC7D99">
        <w:rPr>
          <w:rFonts w:eastAsia="Calibri" w:cs="Times New Roman"/>
          <w:color w:val="000000"/>
          <w:lang w:eastAsia="en-CA"/>
        </w:rPr>
        <w:t xml:space="preserve">. One measure of depression showed a decline in rating post treatment </w:t>
      </w:r>
      <w:r w:rsidRPr="00EC7D99">
        <w:rPr>
          <w:rFonts w:eastAsia="Calibri" w:cs="Times New Roman"/>
          <w:noProof/>
          <w:color w:val="000000"/>
          <w:lang w:eastAsia="en-CA"/>
        </w:rPr>
        <w:t>[46]</w:t>
      </w:r>
      <w:r w:rsidRPr="00EC7D99">
        <w:rPr>
          <w:rFonts w:eastAsia="Calibri" w:cs="Times New Roman"/>
          <w:color w:val="000000"/>
          <w:lang w:eastAsia="en-CA"/>
        </w:rPr>
        <w:t xml:space="preserve">. The remaining measures (21%) capturing change at the activity level did not meet the threshold for change post intervention; these measures typically examined performance in areas that were not directly targeted during intervention, including upper extremity dexterity </w:t>
      </w:r>
      <w:r w:rsidRPr="00EC7D99">
        <w:rPr>
          <w:rFonts w:eastAsia="Calibri" w:cs="Times New Roman"/>
          <w:noProof/>
          <w:color w:val="000000"/>
          <w:lang w:eastAsia="en-CA"/>
        </w:rPr>
        <w:t>[45]</w:t>
      </w:r>
      <w:r w:rsidRPr="00EC7D99">
        <w:rPr>
          <w:rFonts w:eastAsia="Calibri" w:cs="Times New Roman"/>
          <w:color w:val="000000"/>
          <w:lang w:eastAsia="en-CA"/>
        </w:rPr>
        <w:t xml:space="preserve">, balance confidence </w:t>
      </w:r>
      <w:r w:rsidRPr="00EC7D99">
        <w:rPr>
          <w:rFonts w:eastAsia="Calibri" w:cs="Times New Roman"/>
          <w:noProof/>
          <w:color w:val="000000"/>
          <w:lang w:eastAsia="en-CA"/>
        </w:rPr>
        <w:t>[46,49]</w:t>
      </w:r>
      <w:r w:rsidRPr="00EC7D99">
        <w:rPr>
          <w:rFonts w:eastAsia="Calibri" w:cs="Times New Roman"/>
          <w:color w:val="000000"/>
          <w:lang w:eastAsia="en-CA"/>
        </w:rPr>
        <w:t xml:space="preserve">, and balance centre of pressure with eyes closed and feet together </w:t>
      </w:r>
      <w:r w:rsidRPr="00EC7D99">
        <w:rPr>
          <w:rFonts w:eastAsia="Calibri" w:cs="Times New Roman"/>
          <w:noProof/>
          <w:color w:val="000000"/>
          <w:lang w:eastAsia="en-CA"/>
        </w:rPr>
        <w:t>[49]</w:t>
      </w:r>
      <w:r w:rsidRPr="00EC7D99">
        <w:rPr>
          <w:rFonts w:eastAsia="Calibri" w:cs="Times New Roman"/>
          <w:color w:val="000000"/>
          <w:lang w:eastAsia="en-CA"/>
        </w:rPr>
        <w:t xml:space="preserve">. </w:t>
      </w:r>
    </w:p>
    <w:p w14:paraId="537FD2D0"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Only one of the articles examined performance four weeks post intervention (figure 3) and showed maintenance of treatment effects on measures of impairment, activity, participation and global motor function </w:t>
      </w:r>
      <w:r w:rsidRPr="00EC7D99">
        <w:rPr>
          <w:rFonts w:eastAsia="Calibri" w:cs="Times New Roman"/>
          <w:noProof/>
          <w:color w:val="000000"/>
          <w:lang w:eastAsia="en-CA"/>
        </w:rPr>
        <w:t>[45]</w:t>
      </w:r>
      <w:r w:rsidRPr="00EC7D99">
        <w:rPr>
          <w:rFonts w:eastAsia="Calibri" w:cs="Times New Roman"/>
          <w:color w:val="000000"/>
          <w:lang w:eastAsia="en-CA"/>
        </w:rPr>
        <w:t xml:space="preserve">. At the follow-up time point, performance in activities of daily living had returned to pre-treatment levels. </w:t>
      </w:r>
    </w:p>
    <w:p w14:paraId="69C75D43"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 xml:space="preserve"> [Please insert table 3 about here]</w:t>
      </w:r>
    </w:p>
    <w:p w14:paraId="2051BC2B"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BD2946" w:rsidRPr="00EC7D99">
        <w:rPr>
          <w:rFonts w:eastAsia="Calibri" w:cs="Times New Roman"/>
          <w:color w:val="000000"/>
          <w:lang w:eastAsia="en-CA"/>
        </w:rPr>
        <w:t>ase insert figure 3 about here]</w:t>
      </w:r>
    </w:p>
    <w:p w14:paraId="7AAC7584" w14:textId="77777777" w:rsidR="00C13EBB" w:rsidRPr="00EC7D99" w:rsidRDefault="00C13EBB" w:rsidP="00DE73FB">
      <w:pPr>
        <w:spacing w:line="480" w:lineRule="auto"/>
        <w:rPr>
          <w:rFonts w:eastAsia="Calibri" w:cs="Times New Roman"/>
          <w:b/>
          <w:i/>
          <w:lang w:eastAsia="en-CA"/>
        </w:rPr>
      </w:pPr>
      <w:r w:rsidRPr="00EC7D99">
        <w:rPr>
          <w:rFonts w:eastAsia="Calibri" w:cs="Times New Roman"/>
          <w:i/>
          <w:lang w:eastAsia="en-CA"/>
        </w:rPr>
        <w:t>Between Group Effect.</w:t>
      </w:r>
      <w:r w:rsidRPr="00EC7D99">
        <w:rPr>
          <w:rFonts w:eastAsia="Calibri" w:cs="Times New Roman"/>
          <w:b/>
          <w:i/>
          <w:lang w:eastAsia="en-CA"/>
        </w:rPr>
        <w:t xml:space="preserve"> </w:t>
      </w:r>
      <w:r w:rsidRPr="00EC7D99">
        <w:rPr>
          <w:rFonts w:eastAsia="Calibri" w:cs="Times New Roman"/>
          <w:lang w:eastAsia="en-CA"/>
        </w:rPr>
        <w:t>Nine of 10 RCTs provided data to calculate the magnitude of treatment effect between experimental and active control groups (table 4).</w:t>
      </w:r>
      <w:r w:rsidRPr="00EC7D99">
        <w:rPr>
          <w:rFonts w:eastAsia="Calibri" w:cs="Times New Roman"/>
          <w:color w:val="FF0000"/>
          <w:lang w:eastAsia="en-CA"/>
        </w:rPr>
        <w:t xml:space="preserve"> </w:t>
      </w:r>
      <w:r w:rsidRPr="00EC7D99">
        <w:rPr>
          <w:rFonts w:eastAsia="Calibri" w:cs="Times New Roman"/>
          <w:lang w:eastAsia="en-CA"/>
        </w:rPr>
        <w:t xml:space="preserve">Approximately half of all measures (48%) indicated an enhanced benefit of augmented visual feedback-aided treatments immediately post intervention (figure 4). The remaining measures showed reduced (23%) or equivocal benefit of augmented visual feedback-based treatments (29%). Inconsistent results (enhanced and reduced benefit) were reported across studies and muscle groups for impairment level measures, such as muscle strength and range of movement </w:t>
      </w:r>
      <w:r w:rsidRPr="00EC7D99">
        <w:rPr>
          <w:rFonts w:eastAsia="Calibri" w:cs="Times New Roman"/>
          <w:noProof/>
          <w:lang w:eastAsia="en-CA"/>
        </w:rPr>
        <w:t>[51,53]</w:t>
      </w:r>
      <w:r w:rsidRPr="00EC7D99">
        <w:rPr>
          <w:rFonts w:eastAsia="Calibri" w:cs="Times New Roman"/>
          <w:lang w:eastAsia="en-CA"/>
        </w:rPr>
        <w:t xml:space="preserve">. Similarly, study-dependent findings were reported for measures of activity; enhanced, reduced and equivocal findings were found for measures of static and dynamic balance, mobility, and gait </w:t>
      </w:r>
      <w:r w:rsidR="00DE73FB" w:rsidRPr="00EC7D99">
        <w:rPr>
          <w:rFonts w:eastAsia="Calibri" w:cs="Times New Roman"/>
          <w:noProof/>
          <w:lang w:eastAsia="en-CA"/>
        </w:rPr>
        <w:t>[42,51–53,55,57–</w:t>
      </w:r>
      <w:r w:rsidRPr="00EC7D99">
        <w:rPr>
          <w:rFonts w:eastAsia="Calibri" w:cs="Times New Roman"/>
          <w:noProof/>
          <w:lang w:eastAsia="en-CA"/>
        </w:rPr>
        <w:t>59]</w:t>
      </w:r>
      <w:r w:rsidRPr="00EC7D99">
        <w:rPr>
          <w:rFonts w:eastAsia="Calibri" w:cs="Times New Roman"/>
          <w:lang w:eastAsia="en-CA"/>
        </w:rPr>
        <w:t xml:space="preserve">. Generalization of treatment effect to activities of daily living, cognition, fatigue, quality of life and global motor function was either enhanced for the experimental group, or similar to the control group </w:t>
      </w:r>
      <w:r w:rsidRPr="00EC7D99">
        <w:rPr>
          <w:rFonts w:eastAsia="Calibri" w:cs="Times New Roman"/>
          <w:noProof/>
          <w:lang w:eastAsia="en-CA"/>
        </w:rPr>
        <w:t>[42,52,54,55,58]</w:t>
      </w:r>
      <w:r w:rsidRPr="00EC7D99">
        <w:rPr>
          <w:rFonts w:eastAsia="Calibri" w:cs="Times New Roman"/>
          <w:lang w:eastAsia="en-CA"/>
        </w:rPr>
        <w:t xml:space="preserve">. </w:t>
      </w:r>
    </w:p>
    <w:p w14:paraId="45253620"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lastRenderedPageBreak/>
        <w:t xml:space="preserve">Six articles examined the maintenance of treatment effects, with the majority of effects being maintained from 2-12 weeks post intervention </w:t>
      </w:r>
      <w:r w:rsidRPr="00EC7D99">
        <w:rPr>
          <w:rFonts w:eastAsia="Calibri" w:cs="Times New Roman"/>
          <w:noProof/>
          <w:color w:val="000000"/>
          <w:lang w:eastAsia="en-CA"/>
        </w:rPr>
        <w:t>[42,53,55,57,58,59]</w:t>
      </w:r>
      <w:r w:rsidRPr="00EC7D99">
        <w:rPr>
          <w:rFonts w:eastAsia="Calibri" w:cs="Times New Roman"/>
          <w:color w:val="000000"/>
          <w:lang w:eastAsia="en-CA"/>
        </w:rPr>
        <w:t xml:space="preserve">, while one study showed maintenance on activity-level measures 12 months post intervention </w:t>
      </w:r>
      <w:r w:rsidRPr="00EC7D99">
        <w:rPr>
          <w:rFonts w:eastAsia="Calibri" w:cs="Times New Roman"/>
          <w:noProof/>
          <w:color w:val="000000"/>
          <w:lang w:eastAsia="en-CA"/>
        </w:rPr>
        <w:t>[59]</w:t>
      </w:r>
      <w:r w:rsidRPr="00EC7D99">
        <w:rPr>
          <w:rFonts w:eastAsia="Calibri" w:cs="Times New Roman"/>
          <w:color w:val="000000"/>
          <w:lang w:eastAsia="en-CA"/>
        </w:rPr>
        <w:t xml:space="preserve"> (figure 3). Reports of both enhanced and reduced benefit of augmented visual feedback-based treatments, however, were reported for global motor function when assessed at follow-up </w:t>
      </w:r>
      <w:r w:rsidRPr="00EC7D99">
        <w:rPr>
          <w:rFonts w:eastAsia="Calibri" w:cs="Times New Roman"/>
          <w:noProof/>
          <w:color w:val="000000"/>
          <w:lang w:eastAsia="en-CA"/>
        </w:rPr>
        <w:t>[42,55,58]</w:t>
      </w:r>
      <w:r w:rsidRPr="00EC7D99">
        <w:rPr>
          <w:rFonts w:eastAsia="Calibri" w:cs="Times New Roman"/>
          <w:color w:val="000000"/>
          <w:lang w:eastAsia="en-CA"/>
        </w:rPr>
        <w:t>.</w:t>
      </w:r>
    </w:p>
    <w:p w14:paraId="3F9A3621"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One study provided data to calculate the magnitude of treatment effect between an experimental group and an inactive control group who received falls prevention education (table 4). Post-intervention measures of impairment (i.e., muscle strength) and activity (i.e., balance, gait) were enhanced in the experimental group </w:t>
      </w:r>
      <w:r w:rsidRPr="00EC7D99">
        <w:rPr>
          <w:rFonts w:eastAsia="Calibri" w:cs="Times New Roman"/>
          <w:noProof/>
          <w:color w:val="000000"/>
          <w:lang w:eastAsia="en-CA"/>
        </w:rPr>
        <w:t>[53]</w:t>
      </w:r>
      <w:r w:rsidRPr="00EC7D99">
        <w:rPr>
          <w:rFonts w:eastAsia="Calibri" w:cs="Times New Roman"/>
          <w:color w:val="000000"/>
          <w:lang w:eastAsia="en-CA"/>
        </w:rPr>
        <w:t>. At follow-up assessment four weeks post intervention, the benefit of augmented visual feedback-aided treatment was maintained for all measures.</w:t>
      </w:r>
    </w:p>
    <w:p w14:paraId="1A1B54ED"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[Please insert table 4 about here]</w:t>
      </w:r>
    </w:p>
    <w:p w14:paraId="2595BFC5"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BD2946" w:rsidRPr="00EC7D99">
        <w:rPr>
          <w:rFonts w:eastAsia="Calibri" w:cs="Times New Roman"/>
          <w:color w:val="000000"/>
          <w:lang w:eastAsia="en-CA"/>
        </w:rPr>
        <w:t>ase insert figure 4 about here]</w:t>
      </w:r>
    </w:p>
    <w:p w14:paraId="7CEAC0D4"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 xml:space="preserve">Analysis of Treatment Design Factors in RCTs </w:t>
      </w:r>
    </w:p>
    <w:p w14:paraId="54F4842B" w14:textId="77777777" w:rsidR="00C13EBB" w:rsidRPr="00EC7D99" w:rsidRDefault="00C13EBB" w:rsidP="00DE73FB">
      <w:pPr>
        <w:spacing w:line="480" w:lineRule="auto"/>
        <w:rPr>
          <w:rFonts w:eastAsia="Calibri" w:cs="Times New Roman"/>
          <w:b/>
          <w:color w:val="000000"/>
          <w:lang w:eastAsia="en-CA"/>
        </w:rPr>
      </w:pPr>
      <w:r w:rsidRPr="00EC7D99">
        <w:rPr>
          <w:rFonts w:eastAsia="Calibri" w:cs="Times New Roman"/>
          <w:color w:val="000000"/>
          <w:lang w:eastAsia="en-CA"/>
        </w:rPr>
        <w:t xml:space="preserve">Figure 5 summarizes the analysis of treatment design factors in RCTs comparing experimental to active control groups. For continuous measures (amount and intensity of treatment), the distribution of data was examined to identify clusters. Studies were then categorized as having small (≤20 hours) or large (&gt;20 hours) amounts of treatment, and low (≤3 sessions/week) or high (&gt;3 sessions/week) treatment intensities. One RCT did not provide details that pertained to gamification, nature, or timing of feedback, and was excluded from those analyses </w:t>
      </w:r>
      <w:r w:rsidR="00DE73FB" w:rsidRPr="00EC7D99">
        <w:rPr>
          <w:rFonts w:eastAsia="Calibri" w:cs="Times New Roman"/>
          <w:color w:val="000000"/>
          <w:lang w:eastAsia="en-CA"/>
        </w:rPr>
        <w:t>[57].</w:t>
      </w:r>
    </w:p>
    <w:p w14:paraId="437F48E7"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RCTs used a small amount of treatment time at a low intensity. Six of the seven studies that implemented a small amount of treatment also delivered the treatment at a low intensity. Studies with large amounts and high intensities of treatment showed a trend for greater </w:t>
      </w:r>
      <w:r w:rsidRPr="00EC7D99">
        <w:rPr>
          <w:rFonts w:eastAsia="Calibri" w:cs="Times New Roman"/>
          <w:color w:val="000000"/>
          <w:lang w:eastAsia="en-CA"/>
        </w:rPr>
        <w:lastRenderedPageBreak/>
        <w:t xml:space="preserve">benefits of augmented visual feedback as compared to treatments delivered in small amounts and at low intensities. </w:t>
      </w:r>
    </w:p>
    <w:p w14:paraId="051C933F"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Most RCTs also implemented gamification of feedback and provided knowledge of performance information in real-time and on 100% of practice trials. Gamification of feedback resulted in a higher proportion of enhanced benefits, compared to studies with non-gamified feedback. A trend for greater benefits was also observed for studies providing knowledge of performance information, relative to a single study that provided knowledge of results. Real-time feedback, either alone or combined with terminal feedback, led to a greater proportion of enhanced benefits, compared to providing only terminal or delayed feedback. Additionally, studies implementing 100% feedback frequency showed a larger percentage of measures with enhanced benefits than a study with a reduced feedback schedule. </w:t>
      </w:r>
    </w:p>
    <w:p w14:paraId="34499CBF"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DE73FB" w:rsidRPr="00EC7D99">
        <w:rPr>
          <w:rFonts w:eastAsia="Calibri" w:cs="Times New Roman"/>
          <w:color w:val="000000"/>
          <w:lang w:eastAsia="en-CA"/>
        </w:rPr>
        <w:t>ase insert figure 5 about here]</w:t>
      </w:r>
    </w:p>
    <w:p w14:paraId="070F2275" w14:textId="77777777" w:rsidR="00C13EBB" w:rsidRPr="00EC7D99" w:rsidRDefault="00C13EBB" w:rsidP="00DE73FB">
      <w:pPr>
        <w:spacing w:line="480" w:lineRule="auto"/>
        <w:outlineLvl w:val="0"/>
        <w:rPr>
          <w:rFonts w:eastAsia="Calibri" w:cs="Times New Roman"/>
          <w:b/>
          <w:lang w:eastAsia="en-CA"/>
        </w:rPr>
      </w:pPr>
      <w:r w:rsidRPr="00EC7D99">
        <w:rPr>
          <w:rFonts w:eastAsia="Calibri" w:cs="Times New Roman"/>
          <w:b/>
          <w:lang w:eastAsia="en-CA"/>
        </w:rPr>
        <w:t xml:space="preserve">Discussion </w:t>
      </w:r>
    </w:p>
    <w:p w14:paraId="6AA99886" w14:textId="77777777" w:rsidR="00C13EBB" w:rsidRPr="00EC7D99" w:rsidRDefault="00C13EBB" w:rsidP="00DE73FB">
      <w:pPr>
        <w:spacing w:line="480" w:lineRule="auto"/>
        <w:rPr>
          <w:rFonts w:cs="Times New Roman"/>
        </w:rPr>
      </w:pPr>
      <w:r w:rsidRPr="00EC7D99">
        <w:rPr>
          <w:rFonts w:eastAsia="Calibri" w:cs="Times New Roman"/>
          <w:color w:val="000000"/>
          <w:lang w:eastAsia="en-CA"/>
        </w:rPr>
        <w:t xml:space="preserve">The overall aim of this study was to examine the effectiveness of augmented visual feedback-based approaches </w:t>
      </w:r>
      <w:r w:rsidRPr="00EC7D99">
        <w:rPr>
          <w:rFonts w:cs="Times New Roman"/>
        </w:rPr>
        <w:t xml:space="preserve">on motor rehabilitation in Parkinson’s disease and to identify the factors that might be associated with better treatment outcomes. A detailed analysis of the data from single-group studies and RCTs revealed that </w:t>
      </w:r>
      <w:r w:rsidRPr="00EC7D99">
        <w:rPr>
          <w:rFonts w:eastAsia="Calibri" w:cs="Times New Roman"/>
          <w:color w:val="000000"/>
          <w:lang w:eastAsia="en-CA"/>
        </w:rPr>
        <w:t>augmented visual feedback-based treatments</w:t>
      </w:r>
      <w:r w:rsidRPr="00EC7D99">
        <w:rPr>
          <w:rFonts w:cs="Times New Roman"/>
        </w:rPr>
        <w:t xml:space="preserve"> led to clearly improved outcomes post treatment,</w:t>
      </w:r>
      <w:r w:rsidRPr="00EC7D99">
        <w:rPr>
          <w:rFonts w:eastAsia="Calibri" w:cs="Times New Roman"/>
          <w:color w:val="000000"/>
          <w:lang w:eastAsia="en-CA"/>
        </w:rPr>
        <w:t xml:space="preserve"> as well as superior outcomes </w:t>
      </w:r>
      <w:r w:rsidRPr="00EC7D99">
        <w:rPr>
          <w:rFonts w:cs="Times New Roman"/>
        </w:rPr>
        <w:t>as compared to traditional rehabilitation and education programs.</w:t>
      </w:r>
      <w:r w:rsidRPr="00EC7D99">
        <w:rPr>
          <w:rFonts w:eastAsia="Calibri" w:cs="Times New Roman"/>
          <w:color w:val="000000"/>
          <w:lang w:eastAsia="en-CA"/>
        </w:rPr>
        <w:t xml:space="preserve"> Instances of reduced and equivocal benefits of such treatments, however, were also reported</w:t>
      </w:r>
      <w:r w:rsidRPr="00EC7D99">
        <w:rPr>
          <w:rFonts w:eastAsia="Calibri" w:cs="Times New Roman"/>
          <w:lang w:eastAsia="en-CA"/>
        </w:rPr>
        <w:t>.</w:t>
      </w:r>
      <w:r w:rsidRPr="00EC7D99">
        <w:rPr>
          <w:rFonts w:cs="Times New Roman"/>
        </w:rPr>
        <w:t xml:space="preserve"> </w:t>
      </w:r>
    </w:p>
    <w:p w14:paraId="074D4B76" w14:textId="77777777" w:rsidR="00C13EBB" w:rsidRPr="00EC7D99" w:rsidRDefault="00C13EBB" w:rsidP="00BD2946">
      <w:pPr>
        <w:spacing w:line="480" w:lineRule="auto"/>
        <w:ind w:firstLine="720"/>
        <w:rPr>
          <w:rFonts w:cs="Times New Roman"/>
        </w:rPr>
      </w:pPr>
      <w:r w:rsidRPr="00EC7D99">
        <w:rPr>
          <w:rFonts w:cs="Times New Roman"/>
        </w:rPr>
        <w:t xml:space="preserve">Many of the included studies were rated, however, as having a high or unclear risk of bias on key areas of methodological quality. Only two RCTs were rated as having a low risk of bias for all key areas. Their results showed enhanced, reduced, and equivocal benefits of </w:t>
      </w:r>
      <w:r w:rsidRPr="00EC7D99">
        <w:rPr>
          <w:rFonts w:eastAsia="Calibri" w:cs="Times New Roman"/>
          <w:color w:val="000000"/>
          <w:lang w:eastAsia="en-CA"/>
        </w:rPr>
        <w:t xml:space="preserve">augmented </w:t>
      </w:r>
      <w:r w:rsidRPr="00EC7D99">
        <w:rPr>
          <w:rFonts w:eastAsia="Calibri" w:cs="Times New Roman"/>
          <w:color w:val="000000"/>
          <w:lang w:eastAsia="en-CA"/>
        </w:rPr>
        <w:lastRenderedPageBreak/>
        <w:t>visual feedback-aided treatments</w:t>
      </w:r>
      <w:r w:rsidRPr="00EC7D99">
        <w:rPr>
          <w:rFonts w:cs="Times New Roman"/>
        </w:rPr>
        <w:t xml:space="preserve"> on measures of impairment, activity and global motor function as compared to traditional rehabilitation methods </w:t>
      </w:r>
      <w:r w:rsidRPr="00EC7D99">
        <w:rPr>
          <w:rFonts w:cs="Times New Roman"/>
          <w:noProof/>
        </w:rPr>
        <w:t>[58,59]</w:t>
      </w:r>
      <w:r w:rsidRPr="00EC7D99">
        <w:rPr>
          <w:rFonts w:cs="Times New Roman"/>
        </w:rPr>
        <w:t xml:space="preserve">. The effectiveness of </w:t>
      </w:r>
      <w:r w:rsidRPr="00EC7D99">
        <w:rPr>
          <w:rFonts w:eastAsia="Calibri" w:cs="Times New Roman"/>
          <w:color w:val="000000"/>
          <w:lang w:eastAsia="en-CA"/>
        </w:rPr>
        <w:t xml:space="preserve">augmented visual feedback-based </w:t>
      </w:r>
      <w:r w:rsidRPr="00EC7D99">
        <w:rPr>
          <w:rFonts w:cs="Times New Roman"/>
        </w:rPr>
        <w:t>approaches needs to be considered in relation to the characteristics of the participants in the included studies, as well as the implementation of different treatment enhancing factors. Examining the outcome data in this way can lead to recommendations for treatment candidacy as well as identifying factors that may be affecting treatment outcomes.</w:t>
      </w:r>
    </w:p>
    <w:p w14:paraId="3B54AE3B"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Participant Characteristics</w:t>
      </w:r>
    </w:p>
    <w:p w14:paraId="3AACE866" w14:textId="780F937B"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Both the presentation and progression of symptoms in PD are notably variable across patients </w:t>
      </w:r>
      <w:r w:rsidRPr="00EC7D99">
        <w:rPr>
          <w:rFonts w:eastAsia="Calibri" w:cs="Times New Roman"/>
          <w:noProof/>
          <w:color w:val="000000"/>
          <w:lang w:eastAsia="en-CA"/>
        </w:rPr>
        <w:t>[1]</w:t>
      </w:r>
      <w:r w:rsidRPr="00EC7D99">
        <w:rPr>
          <w:rFonts w:eastAsia="Calibri" w:cs="Times New Roman"/>
          <w:color w:val="000000"/>
          <w:lang w:eastAsia="en-CA"/>
        </w:rPr>
        <w:t xml:space="preserve">, yet the participants in the included studies represented a relatively homogenous group of patients in terms of age and disease severity. Most studies recruited those with mild-moderate disease severity without cognitive impairment. Noteworthy is one RCT that included older, more severely impaired participants (i.e., moderate impairment), which showed enhanced benefit of augmented visual feedback-based interventions over traditional rehabilitation immediately post treatment </w:t>
      </w:r>
      <w:r w:rsidRPr="00EC7D99">
        <w:rPr>
          <w:rFonts w:eastAsia="Calibri" w:cs="Times New Roman"/>
          <w:noProof/>
          <w:color w:val="000000"/>
          <w:lang w:eastAsia="en-CA"/>
        </w:rPr>
        <w:t>[55]</w:t>
      </w:r>
      <w:r w:rsidRPr="00EC7D99">
        <w:rPr>
          <w:rFonts w:eastAsia="Calibri" w:cs="Times New Roman"/>
          <w:color w:val="000000"/>
          <w:lang w:eastAsia="en-CA"/>
        </w:rPr>
        <w:t xml:space="preserve">. This might suggest that patients in the later stages of PD, who typically have greater difficulties with implicit motor learning, may benefit </w:t>
      </w:r>
      <w:r w:rsidR="007571C6" w:rsidRPr="00EC7D99">
        <w:rPr>
          <w:rFonts w:eastAsia="Calibri" w:cs="Times New Roman"/>
          <w:color w:val="000000"/>
          <w:lang w:eastAsia="en-CA"/>
        </w:rPr>
        <w:t xml:space="preserve">to a great extent </w:t>
      </w:r>
      <w:r w:rsidRPr="00EC7D99">
        <w:rPr>
          <w:rFonts w:eastAsia="Calibri" w:cs="Times New Roman"/>
          <w:color w:val="000000"/>
          <w:lang w:eastAsia="en-CA"/>
        </w:rPr>
        <w:t>from augmented visual feedback to improve their control</w:t>
      </w:r>
      <w:r w:rsidR="007571C6" w:rsidRPr="00EC7D99">
        <w:rPr>
          <w:rFonts w:eastAsia="Calibri" w:cs="Times New Roman"/>
          <w:color w:val="000000"/>
          <w:lang w:eastAsia="en-CA"/>
        </w:rPr>
        <w:t xml:space="preserve"> of movement</w:t>
      </w:r>
      <w:r w:rsidRPr="00EC7D99">
        <w:rPr>
          <w:rFonts w:eastAsia="Calibri" w:cs="Times New Roman"/>
          <w:color w:val="000000"/>
          <w:lang w:eastAsia="en-CA"/>
        </w:rPr>
        <w:t xml:space="preserve"> </w:t>
      </w:r>
      <w:r w:rsidRPr="00EC7D99">
        <w:rPr>
          <w:rFonts w:eastAsia="Calibri" w:cs="Times New Roman"/>
          <w:noProof/>
          <w:color w:val="000000"/>
          <w:lang w:eastAsia="en-CA"/>
        </w:rPr>
        <w:t>[11]</w:t>
      </w:r>
      <w:r w:rsidRPr="00EC7D99">
        <w:rPr>
          <w:rFonts w:eastAsia="Calibri" w:cs="Times New Roman"/>
          <w:color w:val="000000"/>
          <w:lang w:eastAsia="en-CA"/>
        </w:rPr>
        <w:t xml:space="preserve">. </w:t>
      </w:r>
    </w:p>
    <w:p w14:paraId="165C582A"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Treatment Design Factors</w:t>
      </w:r>
    </w:p>
    <w:p w14:paraId="6FAF0531" w14:textId="77777777" w:rsidR="00C13EBB" w:rsidRPr="00EC7D99" w:rsidRDefault="00C13EBB" w:rsidP="00DE73FB">
      <w:pPr>
        <w:spacing w:line="480" w:lineRule="auto"/>
        <w:rPr>
          <w:rFonts w:eastAsia="Calibri" w:cs="Times New Roman"/>
          <w:lang w:eastAsia="en-CA"/>
        </w:rPr>
      </w:pPr>
      <w:r w:rsidRPr="00EC7D99">
        <w:rPr>
          <w:rFonts w:eastAsia="Calibri" w:cs="Times New Roman"/>
          <w:lang w:eastAsia="en-CA"/>
        </w:rPr>
        <w:t xml:space="preserve">A number of factors have been identified as influencing the outcomes of rehabilitation. Among these factors are the amount and intensity of therapy, the use of engaging technology and motivating games, and the nature, timing, and frequency of augmented visual feedback. </w:t>
      </w:r>
    </w:p>
    <w:p w14:paraId="28672303"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Generally, studies that provided large amounts of treatment did so at a high intensity, and therefore, in the context of this review, it is not possible to delineate the effect of these two treatment factors independently. When augmented visual feedback-based treatments were </w:t>
      </w:r>
      <w:r w:rsidRPr="00EC7D99">
        <w:rPr>
          <w:rFonts w:eastAsia="Calibri" w:cs="Times New Roman"/>
          <w:color w:val="000000"/>
          <w:lang w:eastAsia="en-CA"/>
        </w:rPr>
        <w:lastRenderedPageBreak/>
        <w:t xml:space="preserve">provided in large amounts at high intensities, more enhanced benefits of treatment were observed compared to interventions provided in small amounts at low intensities. This finding is in contrast to a previous study of treadmill training in PD (without augmented feedback) that showed better outcomes at lower treatment intensities </w:t>
      </w:r>
      <w:r w:rsidRPr="00EC7D99">
        <w:rPr>
          <w:rFonts w:eastAsia="Calibri" w:cs="Times New Roman"/>
          <w:noProof/>
          <w:color w:val="000000"/>
          <w:lang w:eastAsia="en-CA"/>
        </w:rPr>
        <w:t>[35]</w:t>
      </w:r>
      <w:r w:rsidRPr="00EC7D99">
        <w:rPr>
          <w:rFonts w:eastAsia="Calibri" w:cs="Times New Roman"/>
          <w:color w:val="000000"/>
          <w:lang w:eastAsia="en-CA"/>
        </w:rPr>
        <w:t xml:space="preserve">. The amount of treatment in Pelosin et al.’s study </w:t>
      </w:r>
      <w:r w:rsidRPr="00EC7D99">
        <w:rPr>
          <w:rFonts w:eastAsia="Calibri" w:cs="Times New Roman"/>
          <w:noProof/>
          <w:color w:val="000000"/>
          <w:lang w:eastAsia="en-CA"/>
        </w:rPr>
        <w:t>[35]</w:t>
      </w:r>
      <w:r w:rsidRPr="00EC7D99">
        <w:rPr>
          <w:rFonts w:eastAsia="Calibri" w:cs="Times New Roman"/>
          <w:color w:val="000000"/>
          <w:lang w:eastAsia="en-CA"/>
        </w:rPr>
        <w:t xml:space="preserve">, however, was small (i.e., 10 hours). It is possible that a high intensity of treatment might be most effective when combined with a large amount of treatment. </w:t>
      </w:r>
    </w:p>
    <w:p w14:paraId="17B6E775" w14:textId="613403F9"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RCTs used gamified visual feedback - via the Wii or custom-built software - and showed enhanced benefit compared to traditional rehabilitation. In contrast, inconsistent results were found for the non-gamified approaches </w:t>
      </w:r>
      <w:r w:rsidRPr="00EC7D99">
        <w:rPr>
          <w:rFonts w:eastAsia="Calibri" w:cs="Times New Roman"/>
          <w:noProof/>
          <w:color w:val="000000"/>
          <w:lang w:eastAsia="en-CA"/>
        </w:rPr>
        <w:t>[51,59]</w:t>
      </w:r>
      <w:r w:rsidRPr="00EC7D99">
        <w:rPr>
          <w:rFonts w:eastAsia="Calibri" w:cs="Times New Roman"/>
          <w:color w:val="000000"/>
          <w:lang w:eastAsia="en-CA"/>
        </w:rPr>
        <w:t xml:space="preserve">. When feedback was not gamified, it was presented </w:t>
      </w:r>
      <w:r w:rsidR="00F57A87" w:rsidRPr="00EC7D99">
        <w:rPr>
          <w:rFonts w:eastAsia="Calibri" w:cs="Times New Roman"/>
          <w:color w:val="000000"/>
          <w:lang w:eastAsia="en-CA"/>
        </w:rPr>
        <w:t xml:space="preserve">graphically </w:t>
      </w:r>
      <w:r w:rsidRPr="00EC7D99">
        <w:rPr>
          <w:rFonts w:eastAsia="Calibri" w:cs="Times New Roman"/>
          <w:color w:val="000000"/>
          <w:lang w:eastAsia="en-CA"/>
        </w:rPr>
        <w:t xml:space="preserve">as a time history </w:t>
      </w:r>
      <w:r w:rsidR="00F57A87" w:rsidRPr="00EC7D99">
        <w:rPr>
          <w:rFonts w:eastAsia="Calibri" w:cs="Times New Roman"/>
          <w:color w:val="000000"/>
          <w:lang w:eastAsia="en-CA"/>
        </w:rPr>
        <w:t xml:space="preserve">(e.g., </w:t>
      </w:r>
      <w:r w:rsidRPr="00EC7D99">
        <w:rPr>
          <w:rFonts w:eastAsia="Calibri" w:cs="Times New Roman"/>
          <w:color w:val="000000"/>
          <w:lang w:eastAsia="en-CA"/>
        </w:rPr>
        <w:t xml:space="preserve">muscle </w:t>
      </w:r>
      <w:r w:rsidR="00F57A87" w:rsidRPr="00EC7D99">
        <w:rPr>
          <w:rFonts w:eastAsia="Calibri" w:cs="Times New Roman"/>
          <w:color w:val="000000"/>
          <w:lang w:eastAsia="en-CA"/>
        </w:rPr>
        <w:t>force</w:t>
      </w:r>
      <w:r w:rsidRPr="00EC7D99">
        <w:rPr>
          <w:rFonts w:eastAsia="Calibri" w:cs="Times New Roman"/>
          <w:color w:val="000000"/>
          <w:lang w:eastAsia="en-CA"/>
        </w:rPr>
        <w:t xml:space="preserve"> during swallowing</w:t>
      </w:r>
      <w:r w:rsidR="00F57A87" w:rsidRPr="00EC7D99">
        <w:rPr>
          <w:rFonts w:eastAsia="Calibri" w:cs="Times New Roman"/>
          <w:color w:val="000000"/>
          <w:lang w:eastAsia="en-CA"/>
        </w:rPr>
        <w:t>,</w:t>
      </w:r>
      <w:r w:rsidRPr="00EC7D99">
        <w:rPr>
          <w:rFonts w:eastAsia="Calibri" w:cs="Times New Roman"/>
          <w:color w:val="000000"/>
          <w:lang w:eastAsia="en-CA"/>
        </w:rPr>
        <w:t xml:space="preserve"> </w:t>
      </w:r>
      <w:r w:rsidR="00F57A87" w:rsidRPr="00EC7D99">
        <w:rPr>
          <w:rFonts w:eastAsia="Calibri" w:cs="Times New Roman"/>
          <w:color w:val="000000"/>
          <w:lang w:eastAsia="en-CA"/>
        </w:rPr>
        <w:t>ground reaction force</w:t>
      </w:r>
      <w:r w:rsidRPr="00EC7D99">
        <w:rPr>
          <w:rFonts w:eastAsia="Calibri" w:cs="Times New Roman"/>
          <w:color w:val="000000"/>
          <w:lang w:eastAsia="en-CA"/>
        </w:rPr>
        <w:t xml:space="preserve"> during gait</w:t>
      </w:r>
      <w:r w:rsidR="00F57A87" w:rsidRPr="00EC7D99">
        <w:rPr>
          <w:rFonts w:eastAsia="Calibri" w:cs="Times New Roman"/>
          <w:color w:val="000000"/>
          <w:lang w:eastAsia="en-CA"/>
        </w:rPr>
        <w:t>)</w:t>
      </w:r>
      <w:r w:rsidRPr="00EC7D99">
        <w:rPr>
          <w:rFonts w:eastAsia="Calibri" w:cs="Times New Roman"/>
          <w:color w:val="000000"/>
          <w:lang w:eastAsia="en-CA"/>
        </w:rPr>
        <w:t xml:space="preserve"> or as an accuracy score. This information may be </w:t>
      </w:r>
      <w:r w:rsidR="00F57A87" w:rsidRPr="00EC7D99">
        <w:rPr>
          <w:rFonts w:eastAsia="Calibri" w:cs="Times New Roman"/>
          <w:color w:val="000000"/>
          <w:lang w:eastAsia="en-CA"/>
        </w:rPr>
        <w:t>challenging to interpret</w:t>
      </w:r>
      <w:r w:rsidRPr="00EC7D99">
        <w:rPr>
          <w:rFonts w:eastAsia="Calibri" w:cs="Times New Roman"/>
          <w:color w:val="000000"/>
          <w:lang w:eastAsia="en-CA"/>
        </w:rPr>
        <w:t xml:space="preserve"> for a non-expert user</w:t>
      </w:r>
      <w:r w:rsidR="00F57A87" w:rsidRPr="00EC7D99">
        <w:rPr>
          <w:rFonts w:eastAsia="Calibri" w:cs="Times New Roman"/>
          <w:color w:val="000000"/>
          <w:lang w:eastAsia="en-CA"/>
        </w:rPr>
        <w:t>.</w:t>
      </w:r>
      <w:r w:rsidRPr="00EC7D99">
        <w:rPr>
          <w:rFonts w:eastAsia="Calibri" w:cs="Times New Roman"/>
          <w:color w:val="000000"/>
          <w:lang w:eastAsia="en-CA"/>
        </w:rPr>
        <w:t xml:space="preserve"> Further, non-gamified approaches may lack the engagement of a game that has intuitive representations of movement and structured levels of difficulty. These early results indicate that gamification is a beneficial factor of the visual feedback systems, and may promote greater treatment adherence and potentially better outcomes than traditional rehabilitation </w:t>
      </w:r>
      <w:r w:rsidRPr="00EC7D99">
        <w:rPr>
          <w:rFonts w:eastAsia="Calibri" w:cs="Times New Roman"/>
          <w:noProof/>
          <w:color w:val="000000"/>
          <w:lang w:eastAsia="en-CA"/>
        </w:rPr>
        <w:t>[24]</w:t>
      </w:r>
      <w:r w:rsidRPr="00EC7D99">
        <w:rPr>
          <w:rFonts w:eastAsia="Calibri" w:cs="Times New Roman"/>
          <w:color w:val="000000"/>
          <w:lang w:eastAsia="en-CA"/>
        </w:rPr>
        <w:t xml:space="preserve">. </w:t>
      </w:r>
      <w:r w:rsidR="00F57A87" w:rsidRPr="00EC7D99">
        <w:rPr>
          <w:rFonts w:eastAsia="Calibri" w:cs="Times New Roman"/>
          <w:color w:val="000000"/>
          <w:lang w:eastAsia="en-CA"/>
        </w:rPr>
        <w:t xml:space="preserve">Availability of commercial solutions that may have established usability and are familiar to the general public (e.g., patients and caregivers) offer a particularly attractive option for rehabilitation of motor skills. </w:t>
      </w:r>
    </w:p>
    <w:p w14:paraId="5EDA4446" w14:textId="149F77C2" w:rsidR="00C13EBB" w:rsidRPr="00EC7D99" w:rsidRDefault="00C13EBB" w:rsidP="00DE73FB">
      <w:pPr>
        <w:widowControl w:val="0"/>
        <w:autoSpaceDE w:val="0"/>
        <w:autoSpaceDN w:val="0"/>
        <w:adjustRightInd w:val="0"/>
        <w:spacing w:line="480" w:lineRule="auto"/>
        <w:ind w:firstLine="720"/>
        <w:rPr>
          <w:rFonts w:eastAsia="Calibri" w:cs="Times New Roman"/>
          <w:color w:val="000000"/>
          <w:lang w:eastAsia="en-CA"/>
        </w:rPr>
      </w:pPr>
      <w:r w:rsidRPr="00EC7D99">
        <w:rPr>
          <w:rFonts w:eastAsia="Calibri" w:cs="Times New Roman"/>
          <w:color w:val="000000"/>
          <w:lang w:eastAsia="en-CA"/>
        </w:rPr>
        <w:t>Most of the reviewed studies provided knowledge of performance feedback during treatment and showed a benefit of these treatments over a single intervention that provided knowledge of results</w:t>
      </w:r>
      <w:r w:rsidR="00F57A87" w:rsidRPr="00EC7D99">
        <w:rPr>
          <w:rFonts w:eastAsia="Calibri" w:cs="Times New Roman"/>
          <w:color w:val="000000"/>
          <w:lang w:eastAsia="en-CA"/>
        </w:rPr>
        <w:t xml:space="preserve"> feedback. </w:t>
      </w:r>
      <w:r w:rsidRPr="00EC7D99">
        <w:rPr>
          <w:rFonts w:eastAsia="Calibri" w:cs="Times New Roman"/>
          <w:color w:val="000000"/>
          <w:lang w:eastAsia="en-CA"/>
        </w:rPr>
        <w:t>Knowledge of performance feedback may have been more beneficia</w:t>
      </w:r>
      <w:r w:rsidR="00F57A87" w:rsidRPr="00EC7D99">
        <w:rPr>
          <w:rFonts w:eastAsia="Calibri" w:cs="Times New Roman"/>
          <w:color w:val="000000"/>
          <w:lang w:eastAsia="en-CA"/>
        </w:rPr>
        <w:t xml:space="preserve">l in conveying information necessary for training </w:t>
      </w:r>
      <w:r w:rsidRPr="00EC7D99">
        <w:rPr>
          <w:rFonts w:eastAsia="Calibri" w:cs="Times New Roman"/>
          <w:color w:val="000000"/>
          <w:lang w:eastAsia="en-CA"/>
        </w:rPr>
        <w:t>complex motor skills, such as those targeted in the studies</w:t>
      </w:r>
      <w:r w:rsidR="00F57A87" w:rsidRPr="00EC7D99">
        <w:rPr>
          <w:rFonts w:eastAsia="Calibri" w:cs="Times New Roman"/>
          <w:color w:val="000000"/>
          <w:lang w:eastAsia="en-CA"/>
        </w:rPr>
        <w:t>, compared to feedback focused only on the outcome of movement</w:t>
      </w:r>
      <w:r w:rsidRPr="00EC7D99">
        <w:rPr>
          <w:rFonts w:eastAsia="Calibri" w:cs="Times New Roman"/>
          <w:color w:val="000000"/>
          <w:lang w:eastAsia="en-CA"/>
        </w:rPr>
        <w:t xml:space="preserve">. </w:t>
      </w:r>
      <w:r w:rsidRPr="00EC7D99">
        <w:rPr>
          <w:rFonts w:eastAsia="Calibri" w:cs="Times New Roman"/>
          <w:color w:val="000000"/>
          <w:lang w:eastAsia="en-CA"/>
        </w:rPr>
        <w:lastRenderedPageBreak/>
        <w:t xml:space="preserve">Previous studies examining the effect of knowledge of performance versus results </w:t>
      </w:r>
      <w:r w:rsidR="00F57A87" w:rsidRPr="00EC7D99">
        <w:rPr>
          <w:rFonts w:eastAsia="Calibri" w:cs="Times New Roman"/>
          <w:color w:val="000000"/>
          <w:lang w:eastAsia="en-CA"/>
        </w:rPr>
        <w:t xml:space="preserve">feedback </w:t>
      </w:r>
      <w:r w:rsidRPr="00EC7D99">
        <w:rPr>
          <w:rFonts w:eastAsia="Calibri" w:cs="Times New Roman"/>
          <w:color w:val="000000"/>
          <w:lang w:eastAsia="en-CA"/>
        </w:rPr>
        <w:t xml:space="preserve">on motor learning in healthy populations have also shown a benefit of knowledge of performance over knowledge of results </w:t>
      </w:r>
      <w:r w:rsidR="00BC2328" w:rsidRPr="00EC7D99">
        <w:rPr>
          <w:rFonts w:eastAsia="Calibri" w:cs="Times New Roman"/>
          <w:noProof/>
          <w:color w:val="000000"/>
          <w:lang w:eastAsia="en-CA"/>
        </w:rPr>
        <w:t>[62</w:t>
      </w:r>
      <w:r w:rsidRPr="00EC7D99">
        <w:rPr>
          <w:rFonts w:eastAsia="Calibri" w:cs="Times New Roman"/>
          <w:noProof/>
          <w:color w:val="000000"/>
          <w:lang w:eastAsia="en-CA"/>
        </w:rPr>
        <w:t>]</w:t>
      </w:r>
      <w:r w:rsidRPr="00EC7D99">
        <w:rPr>
          <w:rFonts w:eastAsia="Calibri" w:cs="Times New Roman"/>
          <w:color w:val="000000"/>
          <w:lang w:eastAsia="en-CA"/>
        </w:rPr>
        <w:t xml:space="preserve">. </w:t>
      </w:r>
    </w:p>
    <w:p w14:paraId="767A2A49" w14:textId="77777777" w:rsidR="00C13EBB" w:rsidRPr="00EC7D99" w:rsidRDefault="00C13EBB" w:rsidP="00DE73FB">
      <w:pPr>
        <w:widowControl w:val="0"/>
        <w:autoSpaceDE w:val="0"/>
        <w:autoSpaceDN w:val="0"/>
        <w:adjustRightInd w:val="0"/>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studies implemented real time feedback in their design and showed better outcomes than the terminal or delayed feedback studies. Real-time or concurrent feedback has been shown to be beneficial to motor learning in healthy adults when it provides an external focus of attention </w:t>
      </w:r>
      <w:r w:rsidR="00BC2328" w:rsidRPr="00EC7D99">
        <w:rPr>
          <w:rFonts w:eastAsia="Calibri" w:cs="Times New Roman"/>
          <w:noProof/>
          <w:color w:val="000000"/>
          <w:lang w:eastAsia="en-CA"/>
        </w:rPr>
        <w:t>[63,64</w:t>
      </w:r>
      <w:r w:rsidRPr="00EC7D99">
        <w:rPr>
          <w:rFonts w:eastAsia="Calibri" w:cs="Times New Roman"/>
          <w:noProof/>
          <w:color w:val="000000"/>
          <w:lang w:eastAsia="en-CA"/>
        </w:rPr>
        <w:t>]</w:t>
      </w:r>
      <w:r w:rsidRPr="00EC7D99">
        <w:rPr>
          <w:rFonts w:eastAsia="Calibri" w:cs="Times New Roman"/>
          <w:color w:val="000000"/>
          <w:lang w:eastAsia="en-CA"/>
        </w:rPr>
        <w:t xml:space="preserve">. However terminal or delayed feedback can allow for greater intrinsic processing of feedback and thus, better retention of motor skill </w:t>
      </w:r>
      <w:r w:rsidRPr="00EC7D99">
        <w:rPr>
          <w:rFonts w:eastAsia="Calibri" w:cs="Times New Roman"/>
          <w:noProof/>
          <w:color w:val="000000"/>
          <w:lang w:eastAsia="en-CA"/>
        </w:rPr>
        <w:t>[33]</w:t>
      </w:r>
      <w:r w:rsidRPr="00EC7D99">
        <w:rPr>
          <w:rFonts w:eastAsia="Calibri" w:cs="Times New Roman"/>
          <w:color w:val="000000"/>
          <w:lang w:eastAsia="en-CA"/>
        </w:rPr>
        <w:t xml:space="preserve">. Real-time feedback may have a dual effect in facilitating motor learning in PD; as the visual information is always present, patients may be benefitting from cueing of movement, as well as from the feedback about how the movement was performed. Notably, the same two studies that used terminal or delayed feedback also used non-gamified feedback as discussed above and these two design factors may have interacted. </w:t>
      </w:r>
    </w:p>
    <w:p w14:paraId="47B53232"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Even though most studies provided feedback 100% of the time during training, gains were still apparent post intervention when feedback was removed, suggesting that participants were not dependent on the feedback in order to carry out the motor skill </w:t>
      </w:r>
      <w:r w:rsidR="00BC2328" w:rsidRPr="00EC7D99">
        <w:rPr>
          <w:rFonts w:eastAsia="Calibri" w:cs="Times New Roman"/>
          <w:noProof/>
          <w:color w:val="000000"/>
          <w:lang w:eastAsia="en-CA"/>
        </w:rPr>
        <w:t>[see Guidance Hypothesis; 65</w:t>
      </w:r>
      <w:r w:rsidRPr="00EC7D99">
        <w:rPr>
          <w:rFonts w:eastAsia="Calibri" w:cs="Times New Roman"/>
          <w:noProof/>
          <w:color w:val="000000"/>
          <w:lang w:eastAsia="en-CA"/>
        </w:rPr>
        <w:t>]</w:t>
      </w:r>
      <w:r w:rsidRPr="00EC7D99">
        <w:rPr>
          <w:rFonts w:eastAsia="Calibri" w:cs="Times New Roman"/>
          <w:color w:val="000000"/>
          <w:lang w:eastAsia="en-CA"/>
        </w:rPr>
        <w:t xml:space="preserve">. In contrast, a study that provided feedback on a reduced schedule (for approximately one third of the treatment session) showed reduced benefit of visual feedback when compared to traditional rehabilitation on measures of impairment, and inconsistent benefits on measures of activity. The advantage of high frequency over low frequency feedback differs from previous studies of novel motor skill learning in PD </w:t>
      </w:r>
      <w:r w:rsidRPr="00EC7D99">
        <w:rPr>
          <w:rFonts w:eastAsia="Calibri" w:cs="Times New Roman"/>
          <w:noProof/>
          <w:color w:val="000000"/>
          <w:lang w:eastAsia="en-CA"/>
        </w:rPr>
        <w:t>[36,37]</w:t>
      </w:r>
      <w:r w:rsidRPr="00EC7D99">
        <w:rPr>
          <w:rFonts w:eastAsia="Calibri" w:cs="Times New Roman"/>
          <w:color w:val="000000"/>
          <w:lang w:eastAsia="en-CA"/>
        </w:rPr>
        <w:t xml:space="preserve">. While feedback frequency was not experimentally manipulated during the studies, the significant benefits in studies with 100% </w:t>
      </w:r>
      <w:r w:rsidRPr="00EC7D99">
        <w:rPr>
          <w:rFonts w:eastAsia="Calibri" w:cs="Times New Roman"/>
          <w:color w:val="000000"/>
          <w:lang w:eastAsia="en-CA"/>
        </w:rPr>
        <w:lastRenderedPageBreak/>
        <w:t xml:space="preserve">feedback frequency suggest that individuals with PD can transfer their learning to non-feedback contexts. </w:t>
      </w:r>
    </w:p>
    <w:p w14:paraId="0D5395CA"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Limitations of Existing Literature</w:t>
      </w:r>
    </w:p>
    <w:p w14:paraId="5AA60FE4" w14:textId="6F2DB9E1" w:rsidR="00C13EBB" w:rsidRPr="00EC7D99" w:rsidRDefault="00C13EBB" w:rsidP="00DE73FB">
      <w:pPr>
        <w:pStyle w:val="p1"/>
        <w:spacing w:line="480" w:lineRule="auto"/>
        <w:rPr>
          <w:rFonts w:ascii="Times" w:hAnsi="Times"/>
          <w:sz w:val="24"/>
          <w:szCs w:val="24"/>
        </w:rPr>
      </w:pPr>
      <w:r w:rsidRPr="00EC7D99">
        <w:rPr>
          <w:rFonts w:ascii="Times" w:eastAsia="Calibri" w:hAnsi="Times"/>
          <w:color w:val="000000"/>
          <w:sz w:val="24"/>
          <w:szCs w:val="24"/>
          <w:lang w:eastAsia="en-CA"/>
        </w:rPr>
        <w:t>The findings from this systematic review showed that high-quality, rigorous studies of the effect of augmented visual feedb</w:t>
      </w:r>
      <w:r w:rsidR="00AD03F2" w:rsidRPr="00EC7D99">
        <w:rPr>
          <w:rFonts w:ascii="Times" w:eastAsia="Calibri" w:hAnsi="Times"/>
          <w:color w:val="000000"/>
          <w:sz w:val="24"/>
          <w:szCs w:val="24"/>
          <w:lang w:eastAsia="en-CA"/>
        </w:rPr>
        <w:t>ack-based treatments on</w:t>
      </w:r>
      <w:r w:rsidR="0016063A" w:rsidRPr="00EC7D99">
        <w:rPr>
          <w:rFonts w:ascii="Times" w:eastAsia="Calibri" w:hAnsi="Times"/>
          <w:color w:val="000000"/>
          <w:sz w:val="24"/>
          <w:szCs w:val="24"/>
          <w:lang w:eastAsia="en-CA"/>
        </w:rPr>
        <w:t xml:space="preserve"> motor rehabilitation in PD remain</w:t>
      </w:r>
      <w:r w:rsidRPr="00EC7D99">
        <w:rPr>
          <w:rFonts w:ascii="Times" w:eastAsia="Calibri" w:hAnsi="Times"/>
          <w:color w:val="000000"/>
          <w:sz w:val="24"/>
          <w:szCs w:val="24"/>
          <w:lang w:eastAsia="en-CA"/>
        </w:rPr>
        <w:t xml:space="preserve"> limited, however, this area is a</w:t>
      </w:r>
      <w:r w:rsidR="0016063A" w:rsidRPr="00EC7D99">
        <w:rPr>
          <w:rFonts w:ascii="Times" w:eastAsia="Calibri" w:hAnsi="Times"/>
          <w:color w:val="000000"/>
          <w:sz w:val="24"/>
          <w:szCs w:val="24"/>
          <w:lang w:eastAsia="en-CA"/>
        </w:rPr>
        <w:t xml:space="preserve"> growing topic of research</w:t>
      </w:r>
      <w:r w:rsidRPr="00EC7D99">
        <w:rPr>
          <w:rFonts w:ascii="Times" w:eastAsia="Calibri" w:hAnsi="Times"/>
          <w:color w:val="000000"/>
          <w:sz w:val="24"/>
          <w:szCs w:val="24"/>
          <w:lang w:eastAsia="en-CA"/>
        </w:rPr>
        <w:t xml:space="preserve">. </w:t>
      </w:r>
      <w:r w:rsidR="0016063A" w:rsidRPr="00EC7D99">
        <w:rPr>
          <w:rFonts w:ascii="Times" w:hAnsi="Times"/>
          <w:sz w:val="24"/>
          <w:szCs w:val="24"/>
        </w:rPr>
        <w:t>T</w:t>
      </w:r>
      <w:r w:rsidRPr="00EC7D99">
        <w:rPr>
          <w:rFonts w:ascii="Times" w:eastAsia="Calibri" w:hAnsi="Times"/>
          <w:color w:val="000000"/>
          <w:sz w:val="24"/>
          <w:szCs w:val="24"/>
          <w:lang w:eastAsia="en-CA"/>
        </w:rPr>
        <w:t xml:space="preserve">he majority of identified studies were in the physiotherapy domain, targeting motor skills such as balance, gait, and muscle strength. Although the search aimed to identify studies relevant to all rehabilitative disciplines, only one study </w:t>
      </w:r>
      <w:r w:rsidR="0016063A" w:rsidRPr="00EC7D99">
        <w:rPr>
          <w:rFonts w:ascii="Times" w:eastAsia="Calibri" w:hAnsi="Times"/>
          <w:color w:val="000000"/>
          <w:sz w:val="24"/>
          <w:szCs w:val="24"/>
          <w:lang w:eastAsia="en-CA"/>
        </w:rPr>
        <w:t>focused on</w:t>
      </w:r>
      <w:r w:rsidRPr="00EC7D99">
        <w:rPr>
          <w:rFonts w:ascii="Times" w:eastAsia="Calibri" w:hAnsi="Times"/>
          <w:color w:val="000000"/>
          <w:sz w:val="24"/>
          <w:szCs w:val="24"/>
          <w:lang w:eastAsia="en-CA"/>
        </w:rPr>
        <w:t xml:space="preserve"> the rehabilitation of swallowing. A number of studies examining </w:t>
      </w:r>
      <w:r w:rsidR="0016063A" w:rsidRPr="00EC7D99">
        <w:rPr>
          <w:rFonts w:ascii="Times" w:eastAsia="Calibri" w:hAnsi="Times"/>
          <w:color w:val="000000"/>
          <w:sz w:val="24"/>
          <w:szCs w:val="24"/>
          <w:lang w:eastAsia="en-CA"/>
        </w:rPr>
        <w:t xml:space="preserve">augmented visual feedback in the context of </w:t>
      </w:r>
      <w:r w:rsidRPr="00EC7D99">
        <w:rPr>
          <w:rFonts w:ascii="Times" w:eastAsia="Calibri" w:hAnsi="Times"/>
          <w:color w:val="000000"/>
          <w:sz w:val="24"/>
          <w:szCs w:val="24"/>
          <w:lang w:eastAsia="en-CA"/>
        </w:rPr>
        <w:t>writing</w:t>
      </w:r>
      <w:r w:rsidR="0016063A" w:rsidRPr="00EC7D99">
        <w:rPr>
          <w:rFonts w:ascii="Times" w:eastAsia="Calibri" w:hAnsi="Times"/>
          <w:color w:val="000000"/>
          <w:sz w:val="24"/>
          <w:szCs w:val="24"/>
          <w:lang w:eastAsia="en-CA"/>
        </w:rPr>
        <w:t xml:space="preserve"> or</w:t>
      </w:r>
      <w:r w:rsidRPr="00EC7D99">
        <w:rPr>
          <w:rFonts w:ascii="Times" w:eastAsia="Calibri" w:hAnsi="Times"/>
          <w:color w:val="000000"/>
          <w:sz w:val="24"/>
          <w:szCs w:val="24"/>
          <w:lang w:eastAsia="en-CA"/>
        </w:rPr>
        <w:t xml:space="preserve"> speech </w:t>
      </w:r>
      <w:r w:rsidR="0016063A" w:rsidRPr="00EC7D99">
        <w:rPr>
          <w:rFonts w:ascii="Times" w:eastAsia="Calibri" w:hAnsi="Times"/>
          <w:color w:val="000000"/>
          <w:sz w:val="24"/>
          <w:szCs w:val="24"/>
          <w:lang w:eastAsia="en-CA"/>
        </w:rPr>
        <w:t xml:space="preserve">production </w:t>
      </w:r>
      <w:r w:rsidRPr="00EC7D99">
        <w:rPr>
          <w:rFonts w:ascii="Times" w:eastAsia="Calibri" w:hAnsi="Times"/>
          <w:color w:val="000000"/>
          <w:sz w:val="24"/>
          <w:szCs w:val="24"/>
          <w:lang w:eastAsia="en-CA"/>
        </w:rPr>
        <w:t xml:space="preserve">in PD either did not study these skills in the context of rehabilitation </w:t>
      </w:r>
      <w:r w:rsidR="00BC2328" w:rsidRPr="00EC7D99">
        <w:rPr>
          <w:rFonts w:ascii="Times" w:eastAsia="Calibri" w:hAnsi="Times"/>
          <w:noProof/>
          <w:color w:val="000000"/>
          <w:sz w:val="24"/>
          <w:szCs w:val="24"/>
          <w:lang w:eastAsia="en-CA"/>
        </w:rPr>
        <w:t xml:space="preserve">[e.g., </w:t>
      </w:r>
      <w:r w:rsidR="0016063A" w:rsidRPr="00EC7D99">
        <w:rPr>
          <w:rFonts w:ascii="Times" w:eastAsia="Calibri" w:hAnsi="Times"/>
          <w:noProof/>
          <w:color w:val="000000"/>
          <w:sz w:val="24"/>
          <w:szCs w:val="24"/>
          <w:lang w:eastAsia="en-CA"/>
        </w:rPr>
        <w:t>27,</w:t>
      </w:r>
      <w:r w:rsidR="00BC2328" w:rsidRPr="00EC7D99">
        <w:rPr>
          <w:rFonts w:ascii="Times" w:eastAsia="Calibri" w:hAnsi="Times"/>
          <w:noProof/>
          <w:color w:val="000000"/>
          <w:sz w:val="24"/>
          <w:szCs w:val="24"/>
          <w:lang w:eastAsia="en-CA"/>
        </w:rPr>
        <w:t>66</w:t>
      </w:r>
      <w:r w:rsidRPr="00EC7D99">
        <w:rPr>
          <w:rFonts w:ascii="Times" w:eastAsia="Calibri" w:hAnsi="Times"/>
          <w:noProof/>
          <w:color w:val="000000"/>
          <w:sz w:val="24"/>
          <w:szCs w:val="24"/>
          <w:lang w:eastAsia="en-CA"/>
        </w:rPr>
        <w:t>]</w:t>
      </w:r>
      <w:r w:rsidRPr="00EC7D99">
        <w:rPr>
          <w:rFonts w:ascii="Times" w:eastAsia="Calibri" w:hAnsi="Times"/>
          <w:color w:val="000000"/>
          <w:sz w:val="24"/>
          <w:szCs w:val="24"/>
          <w:lang w:eastAsia="en-CA"/>
        </w:rPr>
        <w:t xml:space="preserve">, or augmented visual feedback was incorporated as a small component of a wider treatment program in a single group study </w:t>
      </w:r>
      <w:r w:rsidRPr="00EC7D99">
        <w:rPr>
          <w:rFonts w:ascii="Times" w:eastAsia="Calibri" w:hAnsi="Times"/>
          <w:noProof/>
          <w:color w:val="000000"/>
          <w:sz w:val="24"/>
          <w:szCs w:val="24"/>
          <w:lang w:eastAsia="en-CA"/>
        </w:rPr>
        <w:t>[e.g., 68]</w:t>
      </w:r>
      <w:r w:rsidR="0016063A" w:rsidRPr="00EC7D99">
        <w:rPr>
          <w:rFonts w:ascii="Times" w:eastAsia="Calibri" w:hAnsi="Times"/>
          <w:color w:val="000000"/>
          <w:sz w:val="24"/>
          <w:szCs w:val="24"/>
          <w:lang w:eastAsia="en-CA"/>
        </w:rPr>
        <w:t xml:space="preserve">. A recent </w:t>
      </w:r>
      <w:r w:rsidRPr="00EC7D99">
        <w:rPr>
          <w:rFonts w:ascii="Times" w:eastAsia="Calibri" w:hAnsi="Times"/>
          <w:color w:val="000000"/>
          <w:sz w:val="24"/>
          <w:szCs w:val="24"/>
          <w:lang w:eastAsia="en-CA"/>
        </w:rPr>
        <w:t>systematic review of rehabilitative therapies in PD also identified a greater number of RCTs for physiotherapy (</w:t>
      </w:r>
      <w:r w:rsidRPr="00EC7D99">
        <w:rPr>
          <w:rFonts w:ascii="Times" w:eastAsia="Calibri" w:hAnsi="Times"/>
          <w:i/>
          <w:color w:val="000000"/>
          <w:sz w:val="24"/>
          <w:szCs w:val="24"/>
          <w:lang w:eastAsia="en-CA"/>
        </w:rPr>
        <w:t xml:space="preserve">n </w:t>
      </w:r>
      <w:r w:rsidRPr="00EC7D99">
        <w:rPr>
          <w:rFonts w:ascii="Times" w:eastAsia="Calibri" w:hAnsi="Times"/>
          <w:color w:val="000000"/>
          <w:sz w:val="24"/>
          <w:szCs w:val="24"/>
          <w:lang w:eastAsia="en-CA"/>
        </w:rPr>
        <w:t>= 25) compared to occupational therapy (</w:t>
      </w:r>
      <w:r w:rsidRPr="00EC7D99">
        <w:rPr>
          <w:rFonts w:ascii="Times" w:eastAsia="Calibri" w:hAnsi="Times"/>
          <w:i/>
          <w:color w:val="000000"/>
          <w:sz w:val="24"/>
          <w:szCs w:val="24"/>
          <w:lang w:eastAsia="en-CA"/>
        </w:rPr>
        <w:t xml:space="preserve">n </w:t>
      </w:r>
      <w:r w:rsidRPr="00EC7D99">
        <w:rPr>
          <w:rFonts w:ascii="Times" w:eastAsia="Calibri" w:hAnsi="Times"/>
          <w:color w:val="000000"/>
          <w:sz w:val="24"/>
          <w:szCs w:val="24"/>
          <w:lang w:eastAsia="en-CA"/>
        </w:rPr>
        <w:t>= 4) and speech-language pathology (</w:t>
      </w:r>
      <w:r w:rsidRPr="00EC7D99">
        <w:rPr>
          <w:rFonts w:ascii="Times" w:eastAsia="Calibri" w:hAnsi="Times"/>
          <w:i/>
          <w:color w:val="000000"/>
          <w:sz w:val="24"/>
          <w:szCs w:val="24"/>
          <w:lang w:eastAsia="en-CA"/>
        </w:rPr>
        <w:t xml:space="preserve">n </w:t>
      </w:r>
      <w:r w:rsidRPr="00EC7D99">
        <w:rPr>
          <w:rFonts w:ascii="Times" w:eastAsia="Calibri" w:hAnsi="Times"/>
          <w:color w:val="000000"/>
          <w:sz w:val="24"/>
          <w:szCs w:val="24"/>
          <w:lang w:eastAsia="en-CA"/>
        </w:rPr>
        <w:t xml:space="preserve">= 10) </w:t>
      </w:r>
      <w:r w:rsidRPr="00EC7D99">
        <w:rPr>
          <w:rFonts w:ascii="Times" w:eastAsia="Calibri" w:hAnsi="Times"/>
          <w:noProof/>
          <w:color w:val="000000"/>
          <w:sz w:val="24"/>
          <w:szCs w:val="24"/>
          <w:lang w:eastAsia="en-CA"/>
        </w:rPr>
        <w:t>[5]</w:t>
      </w:r>
      <w:r w:rsidRPr="00EC7D99">
        <w:rPr>
          <w:rFonts w:ascii="Times" w:eastAsia="Calibri" w:hAnsi="Times"/>
          <w:color w:val="000000"/>
          <w:sz w:val="24"/>
          <w:szCs w:val="24"/>
          <w:lang w:eastAsia="en-CA"/>
        </w:rPr>
        <w:t>.</w:t>
      </w:r>
    </w:p>
    <w:p w14:paraId="2FBC8FCC" w14:textId="57181573"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Even though the aim of all studies was to assess the effect of an intervention, methodological descriptions of the interventions were often not detailed enough to be replicated by anothe</w:t>
      </w:r>
      <w:r w:rsidR="0016063A" w:rsidRPr="00EC7D99">
        <w:rPr>
          <w:rFonts w:eastAsia="Calibri" w:cs="Times New Roman"/>
          <w:color w:val="000000"/>
          <w:lang w:eastAsia="en-CA"/>
        </w:rPr>
        <w:t>r research group. M</w:t>
      </w:r>
      <w:r w:rsidRPr="00EC7D99">
        <w:rPr>
          <w:rFonts w:eastAsia="Calibri" w:cs="Times New Roman"/>
          <w:color w:val="000000"/>
          <w:lang w:eastAsia="en-CA"/>
        </w:rPr>
        <w:t xml:space="preserve">any of the interventions involved multiple components (e.g., a variety of video games), or included additional training tasks that were supplementary to the experimental rehabilitation. As a result, it was difficult to assess which components were effecting change, or whether the augmented visual feedback-based treatment alone was effective. </w:t>
      </w:r>
    </w:p>
    <w:p w14:paraId="6FE54326" w14:textId="1ECB66CA"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studies aimed to capture change in activity-based clinical measures. While these measures often show strong and important relationships to functional change for </w:t>
      </w:r>
      <w:r w:rsidR="0016063A" w:rsidRPr="00EC7D99">
        <w:rPr>
          <w:rFonts w:eastAsia="Calibri" w:cs="Times New Roman"/>
          <w:color w:val="000000"/>
          <w:lang w:eastAsia="en-CA"/>
        </w:rPr>
        <w:lastRenderedPageBreak/>
        <w:t>participants, they do not</w:t>
      </w:r>
      <w:r w:rsidRPr="00EC7D99">
        <w:rPr>
          <w:rFonts w:eastAsia="Calibri" w:cs="Times New Roman"/>
          <w:color w:val="000000"/>
          <w:lang w:eastAsia="en-CA"/>
        </w:rPr>
        <w:t xml:space="preserve"> capture the underlying change at a physiological level. </w:t>
      </w:r>
      <w:r w:rsidR="0016063A" w:rsidRPr="00EC7D99">
        <w:rPr>
          <w:rFonts w:eastAsia="Calibri" w:cs="Times New Roman"/>
          <w:color w:val="000000"/>
          <w:lang w:eastAsia="en-CA"/>
        </w:rPr>
        <w:t>O</w:t>
      </w:r>
      <w:r w:rsidRPr="00EC7D99">
        <w:rPr>
          <w:rFonts w:eastAsia="Calibri" w:cs="Times New Roman"/>
          <w:color w:val="000000"/>
          <w:lang w:eastAsia="en-CA"/>
        </w:rPr>
        <w:t xml:space="preserve">nly four studies examined change at the participation level, even though a number of valid PD-specific instruments are available to measure quality of life in this population, such as the Parkinson’s Disease Questionnaire-39 item version </w:t>
      </w:r>
      <w:r w:rsidR="00BC2328" w:rsidRPr="00EC7D99">
        <w:rPr>
          <w:rFonts w:eastAsia="Calibri" w:cs="Times New Roman"/>
          <w:noProof/>
          <w:color w:val="000000"/>
          <w:lang w:eastAsia="en-CA"/>
        </w:rPr>
        <w:t>[68</w:t>
      </w:r>
      <w:r w:rsidRPr="00EC7D99">
        <w:rPr>
          <w:rFonts w:eastAsia="Calibri" w:cs="Times New Roman"/>
          <w:noProof/>
          <w:color w:val="000000"/>
          <w:lang w:eastAsia="en-CA"/>
        </w:rPr>
        <w:t>]</w:t>
      </w:r>
      <w:r w:rsidRPr="00EC7D99">
        <w:rPr>
          <w:rFonts w:eastAsia="Calibri" w:cs="Times New Roman"/>
          <w:color w:val="000000"/>
          <w:lang w:eastAsia="en-CA"/>
        </w:rPr>
        <w:t xml:space="preserve">. The </w:t>
      </w:r>
      <w:r w:rsidRPr="00EC7D99">
        <w:rPr>
          <w:rFonts w:eastAsia="Calibri" w:cs="Times New Roman"/>
          <w:color w:val="000000"/>
          <w:lang w:val="en-US" w:eastAsia="en-CA"/>
        </w:rPr>
        <w:t xml:space="preserve">inclusion of quality of life measures would offer a broader social perspective on the potential effects of </w:t>
      </w:r>
      <w:r w:rsidRPr="00EC7D99">
        <w:rPr>
          <w:rFonts w:eastAsia="Calibri" w:cs="Times New Roman"/>
          <w:color w:val="000000"/>
          <w:lang w:eastAsia="en-CA"/>
        </w:rPr>
        <w:t>augmented visual feedback-based interventions</w:t>
      </w:r>
      <w:r w:rsidRPr="00EC7D99">
        <w:rPr>
          <w:rFonts w:eastAsia="Calibri" w:cs="Times New Roman"/>
          <w:color w:val="000000"/>
          <w:lang w:val="en-US" w:eastAsia="en-CA"/>
        </w:rPr>
        <w:t xml:space="preserve"> for patients with PD.</w:t>
      </w:r>
    </w:p>
    <w:p w14:paraId="494DF1EE" w14:textId="4FBFD362" w:rsidR="00C13EBB" w:rsidRPr="00EC7D99" w:rsidRDefault="00C13EBB" w:rsidP="00BD2946">
      <w:pPr>
        <w:spacing w:line="480" w:lineRule="auto"/>
        <w:ind w:firstLine="720"/>
        <w:rPr>
          <w:rFonts w:eastAsia="Calibri" w:cs="Times New Roman"/>
          <w:lang w:eastAsia="en-CA"/>
        </w:rPr>
      </w:pPr>
      <w:r w:rsidRPr="00EC7D99">
        <w:rPr>
          <w:rFonts w:eastAsia="Calibri" w:cs="Times New Roman"/>
          <w:lang w:eastAsia="en-CA"/>
        </w:rPr>
        <w:t xml:space="preserve">A number of participant factors may have played a role in the treatment outcomes but were often not accounted for in the included studies. First, </w:t>
      </w:r>
      <w:r w:rsidRPr="00EC7D99">
        <w:rPr>
          <w:rFonts w:eastAsia="Calibri" w:cs="Times New Roman"/>
          <w:color w:val="000000"/>
          <w:lang w:eastAsia="en-CA"/>
        </w:rPr>
        <w:t xml:space="preserve">the RCTs rarely sex-matched experimental and control groups, or statistically controlled for sex in the analyses, even though previous studies suggested sex differences in the clinical presentation of PD </w:t>
      </w:r>
      <w:r w:rsidR="00BC2328" w:rsidRPr="00EC7D99">
        <w:rPr>
          <w:rFonts w:eastAsia="Calibri" w:cs="Times New Roman"/>
          <w:noProof/>
          <w:color w:val="000000"/>
          <w:lang w:eastAsia="en-CA"/>
        </w:rPr>
        <w:t>[69</w:t>
      </w:r>
      <w:r w:rsidR="00DE73FB" w:rsidRPr="00EC7D99">
        <w:rPr>
          <w:rFonts w:eastAsia="Calibri" w:cs="Times New Roman"/>
          <w:noProof/>
          <w:color w:val="000000"/>
          <w:lang w:eastAsia="en-CA"/>
        </w:rPr>
        <w:t>–</w:t>
      </w:r>
      <w:r w:rsidR="00BC2328" w:rsidRPr="00EC7D99">
        <w:rPr>
          <w:rFonts w:eastAsia="Calibri" w:cs="Times New Roman"/>
          <w:noProof/>
          <w:color w:val="000000"/>
          <w:lang w:eastAsia="en-CA"/>
        </w:rPr>
        <w:t>71</w:t>
      </w:r>
      <w:r w:rsidRPr="00EC7D99">
        <w:rPr>
          <w:rFonts w:eastAsia="Calibri" w:cs="Times New Roman"/>
          <w:noProof/>
          <w:color w:val="000000"/>
          <w:lang w:eastAsia="en-CA"/>
        </w:rPr>
        <w:t>]</w:t>
      </w:r>
      <w:r w:rsidRPr="00EC7D99">
        <w:rPr>
          <w:rFonts w:eastAsia="Calibri" w:cs="Times New Roman"/>
          <w:color w:val="000000"/>
          <w:lang w:eastAsia="en-CA"/>
        </w:rPr>
        <w:t>, which may have affected participants’ performance.</w:t>
      </w:r>
      <w:r w:rsidRPr="00EC7D99">
        <w:rPr>
          <w:rFonts w:eastAsia="Calibri" w:cs="Times New Roman"/>
          <w:lang w:eastAsia="en-CA"/>
        </w:rPr>
        <w:t xml:space="preserve"> Another consideration is that an increased familiarity with technology before treatment may have benefitted participants</w:t>
      </w:r>
      <w:r w:rsidRPr="00EC7D99">
        <w:rPr>
          <w:rFonts w:eastAsia="Calibri" w:cs="Times New Roman"/>
          <w:color w:val="000000"/>
          <w:lang w:eastAsia="en-CA"/>
        </w:rPr>
        <w:t xml:space="preserve">, yet only three studies considered this factor by excluding participants who had experience playing the Wii. Further, while intact vision is an important pre-requisite of using visual feedback systems, only half of the studies specified normal or corrected-to-normal vision as an inclusion criterion. Finally, when assessing balance parameters in an older population, it is pertinent to remember that hearing loss occurs in 45% of adults over 60 years of age, and is associated with an increased risk of balance impairment and falls </w:t>
      </w:r>
      <w:r w:rsidRPr="00EC7D99">
        <w:rPr>
          <w:rFonts w:eastAsia="Calibri" w:cs="Times New Roman"/>
          <w:noProof/>
          <w:color w:val="000000"/>
          <w:lang w:eastAsia="en-CA"/>
        </w:rPr>
        <w:t>[</w:t>
      </w:r>
      <w:r w:rsidR="00BC2328" w:rsidRPr="00EC7D99">
        <w:rPr>
          <w:rFonts w:eastAsia="Calibri" w:cs="Times New Roman"/>
          <w:noProof/>
          <w:color w:val="000000"/>
          <w:lang w:eastAsia="en-CA"/>
        </w:rPr>
        <w:t>72</w:t>
      </w:r>
      <w:r w:rsidRPr="00EC7D99">
        <w:rPr>
          <w:rFonts w:eastAsia="Calibri" w:cs="Times New Roman"/>
          <w:noProof/>
          <w:color w:val="000000"/>
          <w:lang w:eastAsia="en-CA"/>
        </w:rPr>
        <w:t>]</w:t>
      </w:r>
      <w:r w:rsidRPr="00EC7D99">
        <w:rPr>
          <w:rFonts w:eastAsia="Calibri" w:cs="Times New Roman"/>
          <w:color w:val="000000"/>
          <w:lang w:eastAsia="en-CA"/>
        </w:rPr>
        <w:t>. The balance impairment, therefore, may be confounded by a comorbid hearing impairment. Three studies excluded participants with auditory impairment, but did not document how the particip</w:t>
      </w:r>
      <w:r w:rsidR="0016063A" w:rsidRPr="00EC7D99">
        <w:rPr>
          <w:rFonts w:eastAsia="Calibri" w:cs="Times New Roman"/>
          <w:color w:val="000000"/>
          <w:lang w:eastAsia="en-CA"/>
        </w:rPr>
        <w:t>ants were screened (e.g.,</w:t>
      </w:r>
      <w:r w:rsidRPr="00EC7D99">
        <w:rPr>
          <w:rFonts w:eastAsia="Calibri" w:cs="Times New Roman"/>
          <w:color w:val="000000"/>
          <w:lang w:eastAsia="en-CA"/>
        </w:rPr>
        <w:t xml:space="preserve"> by patient report or audiometric testing). </w:t>
      </w:r>
    </w:p>
    <w:p w14:paraId="4E470B4E" w14:textId="77777777" w:rsidR="00C13EBB" w:rsidRPr="00EC7D99" w:rsidRDefault="00C13EBB" w:rsidP="00DE73FB">
      <w:pPr>
        <w:spacing w:line="480" w:lineRule="auto"/>
        <w:outlineLvl w:val="0"/>
        <w:rPr>
          <w:rFonts w:eastAsia="Times New Roman" w:cs="Times New Roman"/>
          <w:b/>
          <w:bCs/>
          <w:i/>
          <w:lang w:val="en-US"/>
        </w:rPr>
      </w:pPr>
      <w:r w:rsidRPr="00EC7D99">
        <w:rPr>
          <w:rFonts w:eastAsia="Times New Roman" w:cs="Times New Roman"/>
          <w:b/>
          <w:bCs/>
          <w:i/>
          <w:lang w:val="en-US"/>
        </w:rPr>
        <w:t>Recommendations for Practice and Future Research</w:t>
      </w:r>
    </w:p>
    <w:p w14:paraId="168992FE" w14:textId="77777777" w:rsidR="00C13EBB" w:rsidRPr="00EC7D99" w:rsidRDefault="00C13EBB" w:rsidP="00DE73FB">
      <w:pPr>
        <w:spacing w:line="480" w:lineRule="auto"/>
        <w:rPr>
          <w:rFonts w:eastAsia="Times New Roman" w:cs="Times New Roman"/>
          <w:bCs/>
          <w:lang w:val="en-US"/>
        </w:rPr>
      </w:pPr>
      <w:r w:rsidRPr="00EC7D99">
        <w:rPr>
          <w:rFonts w:eastAsia="Times New Roman" w:cs="Times New Roman"/>
          <w:bCs/>
          <w:lang w:val="en-US"/>
        </w:rPr>
        <w:t xml:space="preserve">This review indicates that augmented visual feedback may be clinically beneficial for individuals with mild-moderate PD symptoms. When designing visual feedback-based intervention, the </w:t>
      </w:r>
      <w:r w:rsidRPr="00EC7D99">
        <w:rPr>
          <w:rFonts w:eastAsia="Times New Roman" w:cs="Times New Roman"/>
          <w:bCs/>
          <w:lang w:val="en-US"/>
        </w:rPr>
        <w:lastRenderedPageBreak/>
        <w:t xml:space="preserve">following factors should be considered: large amounts and high intensities of treatment, gamification of feedback, knowledge of performance feedback, real-time feedback, and a high frequency of feedback. </w:t>
      </w:r>
    </w:p>
    <w:p w14:paraId="36D8E414" w14:textId="77777777" w:rsidR="00C13EBB" w:rsidRPr="00EC7D99" w:rsidRDefault="00C13EBB" w:rsidP="00BD2946">
      <w:pPr>
        <w:spacing w:line="480" w:lineRule="auto"/>
        <w:ind w:firstLine="720"/>
        <w:rPr>
          <w:rFonts w:eastAsia="Calibri" w:cs="Times New Roman"/>
          <w:lang w:eastAsia="en-CA"/>
        </w:rPr>
      </w:pPr>
      <w:r w:rsidRPr="00EC7D99">
        <w:rPr>
          <w:rFonts w:eastAsia="Times New Roman" w:cs="Times New Roman"/>
          <w:bCs/>
          <w:lang w:val="en-US"/>
        </w:rPr>
        <w:t xml:space="preserve">Further high-quality research is needed to assess the effect of augmented visual feedback in the rehabilitation of fine motor, speech and swallowing skills, to identify the “active” ingredients of interventions, and to understand the physiological mechanisms underlying changes in clinical outcomes following treatment. </w:t>
      </w:r>
      <w:r w:rsidRPr="00EC7D99">
        <w:rPr>
          <w:rFonts w:eastAsia="Calibri" w:cs="Times New Roman"/>
          <w:color w:val="000000"/>
          <w:lang w:eastAsia="en-CA"/>
        </w:rPr>
        <w:t>Improved participant descriptions are also needed to control for confounding factors and to assess the applicability of study results.</w:t>
      </w:r>
      <w:r w:rsidRPr="00EC7D99">
        <w:rPr>
          <w:rFonts w:eastAsia="Calibri" w:cs="Times New Roman"/>
          <w:lang w:eastAsia="en-CA"/>
        </w:rPr>
        <w:t xml:space="preserve"> </w:t>
      </w:r>
      <w:r w:rsidRPr="00EC7D99">
        <w:rPr>
          <w:rFonts w:eastAsia="Calibri" w:cs="Times New Roman"/>
          <w:color w:val="000000"/>
          <w:lang w:eastAsia="en-CA"/>
        </w:rPr>
        <w:t xml:space="preserve">Future studies, and in particular RCTs, would benefit from following the Consolidated Standards of Reporting Trials guidelines when designing studies and disseminating results </w:t>
      </w:r>
      <w:r w:rsidR="00BC2328" w:rsidRPr="00EC7D99">
        <w:rPr>
          <w:rFonts w:eastAsia="Calibri" w:cs="Times New Roman"/>
          <w:noProof/>
          <w:color w:val="000000"/>
          <w:lang w:eastAsia="en-CA"/>
        </w:rPr>
        <w:t>[73</w:t>
      </w:r>
      <w:r w:rsidRPr="00EC7D99">
        <w:rPr>
          <w:rFonts w:eastAsia="Calibri" w:cs="Times New Roman"/>
          <w:noProof/>
          <w:color w:val="000000"/>
          <w:lang w:eastAsia="en-CA"/>
        </w:rPr>
        <w:t>]</w:t>
      </w:r>
      <w:r w:rsidRPr="00EC7D99">
        <w:rPr>
          <w:rFonts w:eastAsia="Calibri" w:cs="Times New Roman"/>
          <w:color w:val="000000"/>
          <w:lang w:eastAsia="en-CA"/>
        </w:rPr>
        <w:t>.</w:t>
      </w:r>
    </w:p>
    <w:p w14:paraId="39B2A9E2" w14:textId="77777777" w:rsidR="00C13EBB" w:rsidRPr="00EC7D99" w:rsidRDefault="00C13EBB" w:rsidP="00DE73FB">
      <w:pPr>
        <w:spacing w:line="480" w:lineRule="auto"/>
        <w:outlineLvl w:val="0"/>
        <w:rPr>
          <w:b/>
        </w:rPr>
      </w:pPr>
      <w:r w:rsidRPr="00EC7D99">
        <w:rPr>
          <w:b/>
        </w:rPr>
        <w:t>Acknowledgements</w:t>
      </w:r>
    </w:p>
    <w:p w14:paraId="162C1C0B" w14:textId="4EA14DB7" w:rsidR="00C13EBB" w:rsidRPr="00EC7D99" w:rsidRDefault="00C13EBB" w:rsidP="00BD2946">
      <w:pPr>
        <w:spacing w:line="480" w:lineRule="auto"/>
      </w:pPr>
      <w:r w:rsidRPr="00EC7D99">
        <w:t>We would like to thank Jessica Babineau, MLIS (University Health Network-Toronto Rehabilitation Institute), for her assistance in formulating the search strategy for this review. This work was supported by the Parkinson’s Societ</w:t>
      </w:r>
      <w:r w:rsidR="0016063A" w:rsidRPr="00EC7D99">
        <w:t>y of Canada Pilot Project Grant,</w:t>
      </w:r>
      <w:r w:rsidRPr="00EC7D99">
        <w:t xml:space="preserve"> and the Natural Sciences and Engineering Research Council Discovery Grant</w:t>
      </w:r>
      <w:r w:rsidR="0016063A" w:rsidRPr="00EC7D99">
        <w:t>, awarded to YY</w:t>
      </w:r>
      <w:r w:rsidRPr="00EC7D99">
        <w:t>. RM</w:t>
      </w:r>
      <w:r w:rsidR="0016063A" w:rsidRPr="00EC7D99">
        <w:t xml:space="preserve"> wa</w:t>
      </w:r>
      <w:r w:rsidRPr="00EC7D99">
        <w:t>s supported by a Canada Research Chair (Tier II) in Swallowing Disorders.</w:t>
      </w:r>
    </w:p>
    <w:p w14:paraId="353C9CC7" w14:textId="77777777" w:rsidR="00C13EBB" w:rsidRPr="00EC7D99" w:rsidRDefault="00C13EBB" w:rsidP="00DE73FB">
      <w:pPr>
        <w:spacing w:line="480" w:lineRule="auto"/>
        <w:outlineLvl w:val="0"/>
        <w:rPr>
          <w:b/>
        </w:rPr>
      </w:pPr>
      <w:r w:rsidRPr="00EC7D99">
        <w:rPr>
          <w:b/>
        </w:rPr>
        <w:t xml:space="preserve">Declaration of interest </w:t>
      </w:r>
    </w:p>
    <w:p w14:paraId="71573C68" w14:textId="77777777" w:rsidR="00C13EBB" w:rsidRPr="00EC7D99" w:rsidRDefault="00C13EBB" w:rsidP="00BD2946">
      <w:pPr>
        <w:spacing w:line="480" w:lineRule="auto"/>
        <w:outlineLvl w:val="0"/>
      </w:pPr>
      <w:r w:rsidRPr="00EC7D99">
        <w:t xml:space="preserve">The authors report no conflicts of interest. </w:t>
      </w:r>
    </w:p>
    <w:p w14:paraId="3AB551E0" w14:textId="3A2C8C7C" w:rsidR="00C13EBB" w:rsidRPr="00EC7D99" w:rsidRDefault="00C13EBB" w:rsidP="00DE73FB">
      <w:pPr>
        <w:spacing w:line="480" w:lineRule="auto"/>
        <w:outlineLvl w:val="0"/>
      </w:pPr>
      <w:r w:rsidRPr="00EC7D99">
        <w:rPr>
          <w:b/>
        </w:rPr>
        <w:t xml:space="preserve">Word count (excluding references, tables) </w:t>
      </w:r>
      <w:r w:rsidRPr="00EC7D99">
        <w:t xml:space="preserve">= </w:t>
      </w:r>
      <w:r w:rsidR="0016063A" w:rsidRPr="00EC7D99">
        <w:t>5,981</w:t>
      </w:r>
    </w:p>
    <w:p w14:paraId="5912CE06" w14:textId="24971463" w:rsidR="00C13EBB" w:rsidRPr="00EC7D99" w:rsidRDefault="00C13EBB" w:rsidP="00DE73FB">
      <w:pPr>
        <w:spacing w:line="480" w:lineRule="auto"/>
        <w:outlineLvl w:val="0"/>
      </w:pPr>
      <w:r w:rsidRPr="00EC7D99">
        <w:rPr>
          <w:b/>
        </w:rPr>
        <w:t xml:space="preserve">Total word count </w:t>
      </w:r>
      <w:r w:rsidRPr="00EC7D99">
        <w:t xml:space="preserve">= </w:t>
      </w:r>
      <w:r w:rsidR="0016063A" w:rsidRPr="00EC7D99">
        <w:t>11,159</w:t>
      </w:r>
    </w:p>
    <w:p w14:paraId="4176993E" w14:textId="77777777" w:rsidR="00C13EBB" w:rsidRPr="00EC7D99" w:rsidRDefault="00C13EBB" w:rsidP="00DE73FB">
      <w:pPr>
        <w:spacing w:line="480" w:lineRule="auto"/>
        <w:rPr>
          <w:rFonts w:eastAsia="Times New Roman" w:cs="Times New Roman"/>
          <w:b/>
          <w:bCs/>
          <w:lang w:val="en-US"/>
        </w:rPr>
      </w:pPr>
      <w:r w:rsidRPr="00EC7D99">
        <w:rPr>
          <w:rFonts w:eastAsia="Times New Roman" w:cs="Times New Roman"/>
          <w:b/>
          <w:bCs/>
          <w:lang w:val="en-US"/>
        </w:rPr>
        <w:t xml:space="preserve"> </w:t>
      </w:r>
    </w:p>
    <w:p w14:paraId="7DE1A9EC" w14:textId="77777777" w:rsidR="00C13EBB" w:rsidRPr="00EC7D99" w:rsidRDefault="00C13EBB" w:rsidP="00DE73FB">
      <w:pPr>
        <w:spacing w:line="480" w:lineRule="auto"/>
        <w:jc w:val="center"/>
        <w:outlineLvl w:val="0"/>
      </w:pPr>
      <w:r w:rsidRPr="00EC7D99">
        <w:rPr>
          <w:rFonts w:eastAsia="Times New Roman" w:cs="Times New Roman"/>
          <w:b/>
          <w:bCs/>
          <w:lang w:val="en-US"/>
        </w:rPr>
        <w:br w:type="page"/>
      </w:r>
      <w:r w:rsidRPr="00EC7D99">
        <w:rPr>
          <w:rFonts w:eastAsia="Times New Roman" w:cs="Times New Roman"/>
          <w:b/>
          <w:bCs/>
          <w:lang w:val="en-US"/>
        </w:rPr>
        <w:lastRenderedPageBreak/>
        <w:t>References</w:t>
      </w:r>
    </w:p>
    <w:p w14:paraId="5540D119" w14:textId="77777777" w:rsidR="00C13EBB" w:rsidRPr="00EC7D99" w:rsidRDefault="00C13EBB" w:rsidP="00DE73FB">
      <w:pPr>
        <w:pStyle w:val="EndNoteBibliography"/>
        <w:rPr>
          <w:noProof/>
        </w:rPr>
      </w:pPr>
      <w:r w:rsidRPr="00EC7D99">
        <w:rPr>
          <w:noProof/>
        </w:rPr>
        <w:t>1.</w:t>
      </w:r>
      <w:r w:rsidRPr="00EC7D99">
        <w:rPr>
          <w:noProof/>
        </w:rPr>
        <w:tab/>
        <w:t>J Jankovic. Parkinson’s disease: clinical features and diagnosis. J Neurol Neurosurg Psychiatry. 2008;79(4):368-376. doi: 10.1136/jnnp.2007.131045.</w:t>
      </w:r>
    </w:p>
    <w:p w14:paraId="32A28A6B" w14:textId="77777777" w:rsidR="00C13EBB" w:rsidRPr="00EC7D99" w:rsidRDefault="00C13EBB" w:rsidP="00DE73FB">
      <w:pPr>
        <w:pStyle w:val="EndNoteBibliography"/>
        <w:rPr>
          <w:noProof/>
        </w:rPr>
      </w:pPr>
      <w:r w:rsidRPr="00EC7D99">
        <w:rPr>
          <w:noProof/>
        </w:rPr>
        <w:t>2.</w:t>
      </w:r>
      <w:r w:rsidRPr="00EC7D99">
        <w:rPr>
          <w:noProof/>
        </w:rPr>
        <w:tab/>
        <w:t>MA Hely, JG Morris, WG Reid, et al. Sydney multicenter study of Parkinson's disease: Non</w:t>
      </w:r>
      <w:r w:rsidRPr="00EC7D99">
        <w:rPr>
          <w:rFonts w:ascii="Cambria Math" w:hAnsi="Cambria Math" w:cs="Cambria Math"/>
          <w:noProof/>
        </w:rPr>
        <w:t>‐</w:t>
      </w:r>
      <w:r w:rsidRPr="00EC7D99">
        <w:rPr>
          <w:noProof/>
        </w:rPr>
        <w:t>L</w:t>
      </w:r>
      <w:r w:rsidRPr="00EC7D99">
        <w:rPr>
          <w:rFonts w:ascii="Cambria Math" w:hAnsi="Cambria Math" w:cs="Cambria Math"/>
          <w:noProof/>
        </w:rPr>
        <w:t>‐</w:t>
      </w:r>
      <w:r w:rsidRPr="00EC7D99">
        <w:rPr>
          <w:noProof/>
        </w:rPr>
        <w:t>dopa–responsive problems dominate at 15 years. Mov Disord. 2005;20(2):190-199. doi: 10.1002/mds.20324.</w:t>
      </w:r>
    </w:p>
    <w:p w14:paraId="20A4F8A6" w14:textId="77777777" w:rsidR="00C13EBB" w:rsidRPr="00EC7D99" w:rsidRDefault="00C13EBB" w:rsidP="00DE73FB">
      <w:pPr>
        <w:pStyle w:val="EndNoteBibliography"/>
        <w:rPr>
          <w:noProof/>
        </w:rPr>
      </w:pPr>
      <w:r w:rsidRPr="00EC7D99">
        <w:rPr>
          <w:noProof/>
        </w:rPr>
        <w:t>3.</w:t>
      </w:r>
      <w:r w:rsidRPr="00EC7D99">
        <w:rPr>
          <w:noProof/>
        </w:rPr>
        <w:tab/>
        <w:t>SS Paul, C Sherrington, VS Fung, et al. Motor and cognitive impairments in Parkinson disease: relationships with specific balance and mobility tasks. Neurorehabil Neural Repair. 2013;27(1):63-71. doi: 10.1177/1545968312446754.</w:t>
      </w:r>
    </w:p>
    <w:p w14:paraId="73E3C09C" w14:textId="77777777" w:rsidR="00C13EBB" w:rsidRPr="00EC7D99" w:rsidRDefault="00C13EBB" w:rsidP="00DE73FB">
      <w:pPr>
        <w:pStyle w:val="EndNoteBibliography"/>
        <w:rPr>
          <w:noProof/>
        </w:rPr>
      </w:pPr>
      <w:r w:rsidRPr="00EC7D99">
        <w:rPr>
          <w:noProof/>
        </w:rPr>
        <w:t>4.</w:t>
      </w:r>
      <w:r w:rsidRPr="00EC7D99">
        <w:rPr>
          <w:noProof/>
        </w:rPr>
        <w:tab/>
        <w:t>K Karlsen, E Tandberg, D Årsland, et al. Health related quality of life in Parkinson's disease: a prospective longitudinal study. J Neurol Neurosurg Psychiatry. 2000;69(5):584-589. doi: 10.1136/jnnp.69.5.584.</w:t>
      </w:r>
    </w:p>
    <w:p w14:paraId="03610561" w14:textId="77777777" w:rsidR="00C13EBB" w:rsidRPr="00EC7D99" w:rsidRDefault="00C13EBB" w:rsidP="00DE73FB">
      <w:pPr>
        <w:pStyle w:val="EndNoteBibliography"/>
        <w:rPr>
          <w:noProof/>
        </w:rPr>
      </w:pPr>
      <w:r w:rsidRPr="00EC7D99">
        <w:rPr>
          <w:noProof/>
        </w:rPr>
        <w:t>5.</w:t>
      </w:r>
      <w:r w:rsidRPr="00EC7D99">
        <w:rPr>
          <w:noProof/>
        </w:rPr>
        <w:tab/>
        <w:t>H Gage and L Storey. Rehabilitation for Parkinson's disease: a systematic review of available evidence. Clin Rehabil. 2004;18(5):463-482. doi: 10.1 191/026921 5504cr764oa.</w:t>
      </w:r>
    </w:p>
    <w:p w14:paraId="3C181283" w14:textId="77777777" w:rsidR="00C13EBB" w:rsidRPr="00EC7D99" w:rsidRDefault="00C13EBB" w:rsidP="00DE73FB">
      <w:pPr>
        <w:pStyle w:val="EndNoteBibliography"/>
        <w:rPr>
          <w:noProof/>
        </w:rPr>
      </w:pPr>
      <w:r w:rsidRPr="00EC7D99">
        <w:rPr>
          <w:noProof/>
        </w:rPr>
        <w:t>6.</w:t>
      </w:r>
      <w:r w:rsidRPr="00EC7D99">
        <w:rPr>
          <w:noProof/>
        </w:rPr>
        <w:tab/>
        <w:t>M Nijkrake, S Keus, J Kalf, et al. Allied health care interventions and complementary therapies in Parkinson's disease. Parkinsonism Relat Disord. 2007;13(s3):S488-S494. doi: 10.1016/S1353-8020(08)70054-3.</w:t>
      </w:r>
    </w:p>
    <w:p w14:paraId="028AEEE1" w14:textId="77777777" w:rsidR="00C13EBB" w:rsidRPr="00EC7D99" w:rsidRDefault="00C13EBB" w:rsidP="00DE73FB">
      <w:pPr>
        <w:pStyle w:val="EndNoteBibliography"/>
        <w:rPr>
          <w:noProof/>
        </w:rPr>
      </w:pPr>
      <w:r w:rsidRPr="00EC7D99">
        <w:rPr>
          <w:noProof/>
        </w:rPr>
        <w:t>7.</w:t>
      </w:r>
      <w:r w:rsidRPr="00EC7D99">
        <w:rPr>
          <w:noProof/>
        </w:rPr>
        <w:tab/>
        <w:t>DM Huse, K Schulman, L Orsini, et al. Burden of illness in Parkinson's disease. Mov Disord. 2005;20(11):1449-1454. doi: 10.1002/mds.20609.</w:t>
      </w:r>
    </w:p>
    <w:p w14:paraId="26FAE590" w14:textId="77777777" w:rsidR="00C13EBB" w:rsidRPr="00EC7D99" w:rsidRDefault="00C13EBB" w:rsidP="00DE73FB">
      <w:pPr>
        <w:pStyle w:val="EndNoteBibliography"/>
        <w:rPr>
          <w:noProof/>
        </w:rPr>
      </w:pPr>
      <w:r w:rsidRPr="00EC7D99">
        <w:rPr>
          <w:noProof/>
        </w:rPr>
        <w:t>8.</w:t>
      </w:r>
      <w:r w:rsidRPr="00EC7D99">
        <w:rPr>
          <w:noProof/>
        </w:rPr>
        <w:tab/>
        <w:t>SH Keus, BR Bloem, EJ Hendriks, et al. Evidence</w:t>
      </w:r>
      <w:r w:rsidRPr="00EC7D99">
        <w:rPr>
          <w:rFonts w:ascii="Cambria Math" w:hAnsi="Cambria Math" w:cs="Cambria Math"/>
          <w:noProof/>
        </w:rPr>
        <w:t>‐</w:t>
      </w:r>
      <w:r w:rsidRPr="00EC7D99">
        <w:rPr>
          <w:noProof/>
        </w:rPr>
        <w:t>based analysis of physical therapy in Parkinson's disease with recommendations for practice and research. Mov Disord. 2007;22(4):451-460. doi: 10.1002/mds.21244.</w:t>
      </w:r>
    </w:p>
    <w:p w14:paraId="02458528" w14:textId="77777777" w:rsidR="00C13EBB" w:rsidRPr="00EC7D99" w:rsidRDefault="00C13EBB" w:rsidP="00DE73FB">
      <w:pPr>
        <w:pStyle w:val="EndNoteBibliography"/>
        <w:rPr>
          <w:noProof/>
        </w:rPr>
      </w:pPr>
      <w:r w:rsidRPr="00EC7D99">
        <w:rPr>
          <w:noProof/>
        </w:rPr>
        <w:lastRenderedPageBreak/>
        <w:t>9.</w:t>
      </w:r>
      <w:r w:rsidRPr="00EC7D99">
        <w:rPr>
          <w:noProof/>
        </w:rPr>
        <w:tab/>
        <w:t xml:space="preserve">I Sturkenboom, M Thijssen, J Gons-van Elsacker, et al. Guidelines for occupational therapy in Parkinson's disease rehabilitation. Nijmegen, The Netherlands/Miami, FL: ParkinsonNet/National Parkinson Foundation; 2012. </w:t>
      </w:r>
    </w:p>
    <w:p w14:paraId="401210B8" w14:textId="77777777" w:rsidR="00C13EBB" w:rsidRPr="00EC7D99" w:rsidRDefault="00C13EBB" w:rsidP="00DE73FB">
      <w:pPr>
        <w:pStyle w:val="EndNoteBibliography"/>
        <w:rPr>
          <w:noProof/>
        </w:rPr>
      </w:pPr>
      <w:r w:rsidRPr="00EC7D99">
        <w:rPr>
          <w:noProof/>
        </w:rPr>
        <w:t>10.</w:t>
      </w:r>
      <w:r w:rsidRPr="00EC7D99">
        <w:rPr>
          <w:noProof/>
        </w:rPr>
        <w:tab/>
        <w:t xml:space="preserve">J Kalf, B de Swart, M Bonnier, et al. Guidelines for speech–language therapy in Parkinson's disease. Nijmegen, The Netherlands/Miami, FL: ParkinsonNet/National Parkinson Foundation; 2010. </w:t>
      </w:r>
    </w:p>
    <w:p w14:paraId="10183DBD" w14:textId="77777777" w:rsidR="00C13EBB" w:rsidRPr="00EC7D99" w:rsidRDefault="00C13EBB" w:rsidP="00DE73FB">
      <w:pPr>
        <w:pStyle w:val="EndNoteBibliography"/>
        <w:rPr>
          <w:noProof/>
        </w:rPr>
      </w:pPr>
      <w:r w:rsidRPr="00EC7D99">
        <w:rPr>
          <w:noProof/>
        </w:rPr>
        <w:t>11.</w:t>
      </w:r>
      <w:r w:rsidRPr="00EC7D99">
        <w:rPr>
          <w:noProof/>
        </w:rPr>
        <w:tab/>
        <w:t>G Abbruzzese, R Marchese, L Avanzino, et al. Rehabilitation for Parkinson's disease: Current outlook and future challenges. Parkinsonism Relat Disord. 2016;22:S60-S64. doi: 10.1016/j.parkreldis.2015.09.005.</w:t>
      </w:r>
    </w:p>
    <w:p w14:paraId="0D052C71" w14:textId="77777777" w:rsidR="00C13EBB" w:rsidRPr="00EC7D99" w:rsidRDefault="00C13EBB" w:rsidP="00DE73FB">
      <w:pPr>
        <w:pStyle w:val="EndNoteBibliography"/>
        <w:rPr>
          <w:noProof/>
        </w:rPr>
      </w:pPr>
      <w:r w:rsidRPr="00EC7D99">
        <w:rPr>
          <w:noProof/>
        </w:rPr>
        <w:t>12.</w:t>
      </w:r>
      <w:r w:rsidRPr="00EC7D99">
        <w:rPr>
          <w:noProof/>
        </w:rPr>
        <w:tab/>
        <w:t>J Doyon, P Bellec, R Amsel, et al. Contributions of the basal ganglia and functionally related brain structures to motor learning. Behav Brain Res. 2009;199(1):61-75. doi: 10.1016/j.bbr.2008.11.012.</w:t>
      </w:r>
    </w:p>
    <w:p w14:paraId="1A86A80C" w14:textId="77777777" w:rsidR="00C13EBB" w:rsidRPr="00EC7D99" w:rsidRDefault="00C13EBB" w:rsidP="00DE73FB">
      <w:pPr>
        <w:pStyle w:val="EndNoteBibliography"/>
        <w:rPr>
          <w:noProof/>
        </w:rPr>
      </w:pPr>
      <w:r w:rsidRPr="00EC7D99">
        <w:rPr>
          <w:noProof/>
        </w:rPr>
        <w:t>13.</w:t>
      </w:r>
      <w:r w:rsidRPr="00EC7D99">
        <w:rPr>
          <w:noProof/>
        </w:rPr>
        <w:tab/>
        <w:t>T Wu, P Chan and M Hallett. Effective connectivity of neural networks in automatic movements in Parkinson's disease. Neuroimage. 2010;49(3):2581-2587. doi: 10.1016/j.neuroimage.2009.10.051.</w:t>
      </w:r>
    </w:p>
    <w:p w14:paraId="3AE9824B" w14:textId="77777777" w:rsidR="00C13EBB" w:rsidRPr="00EC7D99" w:rsidRDefault="00C13EBB" w:rsidP="00DE73FB">
      <w:pPr>
        <w:pStyle w:val="EndNoteBibliography"/>
        <w:rPr>
          <w:noProof/>
        </w:rPr>
      </w:pPr>
      <w:r w:rsidRPr="00EC7D99">
        <w:rPr>
          <w:noProof/>
        </w:rPr>
        <w:t>14.</w:t>
      </w:r>
      <w:r w:rsidRPr="00EC7D99">
        <w:rPr>
          <w:noProof/>
        </w:rPr>
        <w:tab/>
        <w:t>RJ Siegert, KD Taylor, M Weatherall, et al. Is implicit sequence learning impaired in Parkinson's disease? A meta-analysis. Neuropsychology. 2006;20(4):490. doi: 10.1037/0894-4105.20.4.490.</w:t>
      </w:r>
    </w:p>
    <w:p w14:paraId="2B3837FC" w14:textId="77777777" w:rsidR="00C13EBB" w:rsidRPr="00EC7D99" w:rsidRDefault="00C13EBB" w:rsidP="00DE73FB">
      <w:pPr>
        <w:pStyle w:val="EndNoteBibliography"/>
        <w:rPr>
          <w:noProof/>
        </w:rPr>
      </w:pPr>
      <w:r w:rsidRPr="00EC7D99">
        <w:rPr>
          <w:noProof/>
        </w:rPr>
        <w:t>15.</w:t>
      </w:r>
      <w:r w:rsidRPr="00EC7D99">
        <w:rPr>
          <w:noProof/>
        </w:rPr>
        <w:tab/>
        <w:t>HA Hayes, N Hunsaker and LE Dibble. Implicit motor sequence learning in individuals with Parkinson disease: a meta-analysis. J Parkinsons Dis. 2015;5(3):549-560. doi: 10.3233/JPD-140441.</w:t>
      </w:r>
    </w:p>
    <w:p w14:paraId="26C895FD" w14:textId="77777777" w:rsidR="00C13EBB" w:rsidRPr="00EC7D99" w:rsidRDefault="00C13EBB" w:rsidP="00DE73FB">
      <w:pPr>
        <w:pStyle w:val="EndNoteBibliography"/>
        <w:rPr>
          <w:noProof/>
        </w:rPr>
      </w:pPr>
      <w:r w:rsidRPr="00EC7D99">
        <w:rPr>
          <w:noProof/>
        </w:rPr>
        <w:lastRenderedPageBreak/>
        <w:t>16.</w:t>
      </w:r>
      <w:r w:rsidRPr="00EC7D99">
        <w:rPr>
          <w:noProof/>
        </w:rPr>
        <w:tab/>
        <w:t>A Nieuwboer, L Rochester, L Muncks, et al. Motor learning in Parkinson's disease: limitations and potential for rehabilitation. Parkinsonism Relat Disord. 2009 Dec;15(s3):s53-8. doi: 10.1016/S1353-8020(09)70781-3.</w:t>
      </w:r>
    </w:p>
    <w:p w14:paraId="782EE3C6" w14:textId="77777777" w:rsidR="00C13EBB" w:rsidRPr="00EC7D99" w:rsidRDefault="00C13EBB" w:rsidP="00DE73FB">
      <w:pPr>
        <w:pStyle w:val="EndNoteBibliography"/>
        <w:rPr>
          <w:noProof/>
        </w:rPr>
      </w:pPr>
      <w:r w:rsidRPr="00EC7D99">
        <w:rPr>
          <w:noProof/>
        </w:rPr>
        <w:t>17.</w:t>
      </w:r>
      <w:r w:rsidRPr="00EC7D99">
        <w:rPr>
          <w:noProof/>
        </w:rPr>
        <w:tab/>
        <w:t>G Drui, S Carnicella, C Carcenac, et al. Loss of dopaminergic nigrostriatal neurons accounts for the motivational and affective deficits in Parkinson's disease. Mol Psychiatry. 2014;19:358-367. doi: 10.1038/mp.2013.3.</w:t>
      </w:r>
    </w:p>
    <w:p w14:paraId="39E50D1B" w14:textId="77777777" w:rsidR="00C13EBB" w:rsidRPr="00EC7D99" w:rsidRDefault="00C13EBB" w:rsidP="00DE73FB">
      <w:pPr>
        <w:pStyle w:val="EndNoteBibliography"/>
        <w:rPr>
          <w:noProof/>
        </w:rPr>
      </w:pPr>
      <w:r w:rsidRPr="00EC7D99">
        <w:rPr>
          <w:noProof/>
        </w:rPr>
        <w:t>18.</w:t>
      </w:r>
      <w:r w:rsidRPr="00EC7D99">
        <w:rPr>
          <w:noProof/>
        </w:rPr>
        <w:tab/>
        <w:t>S Adamovich, M Berkinblit, W Hening, et al. The interaction of visual and proprioceptive inputs in pointing to actual and remembered targets in Parkinson’s disease. Neuroscience. 2001;104(4):1027-1041. doi: 10.1016/S0306-4522(01)00099-9.</w:t>
      </w:r>
    </w:p>
    <w:p w14:paraId="2334871F" w14:textId="77777777" w:rsidR="00C13EBB" w:rsidRPr="00EC7D99" w:rsidRDefault="00C13EBB" w:rsidP="00DE73FB">
      <w:pPr>
        <w:pStyle w:val="EndNoteBibliography"/>
        <w:rPr>
          <w:noProof/>
        </w:rPr>
      </w:pPr>
      <w:r w:rsidRPr="00EC7D99">
        <w:rPr>
          <w:noProof/>
        </w:rPr>
        <w:t>19.</w:t>
      </w:r>
      <w:r w:rsidRPr="00EC7D99">
        <w:rPr>
          <w:noProof/>
        </w:rPr>
        <w:tab/>
        <w:t>GN Lewis, WD Byblow and SE Walt. Stride length regulation in Parkinson's disease: the use of extrinsic, visual cues. Brain. 2000;123(10):2077-2090. doi: 10.1093/brain/123.10.2077.</w:t>
      </w:r>
    </w:p>
    <w:p w14:paraId="31308096" w14:textId="77777777" w:rsidR="00C13EBB" w:rsidRPr="00EC7D99" w:rsidRDefault="00C13EBB" w:rsidP="00DE73FB">
      <w:pPr>
        <w:pStyle w:val="EndNoteBibliography"/>
        <w:rPr>
          <w:noProof/>
        </w:rPr>
      </w:pPr>
      <w:r w:rsidRPr="00EC7D99">
        <w:rPr>
          <w:noProof/>
        </w:rPr>
        <w:t>20.</w:t>
      </w:r>
      <w:r w:rsidRPr="00EC7D99">
        <w:rPr>
          <w:noProof/>
        </w:rPr>
        <w:tab/>
        <w:t>LF Schettino, SV Adamovich, W Hening, et al. Hand preshaping in Parkinson’s disease: effects of visual feedback and medication state. Exp Brain Res. 2006;168(1-2):186-202. doi: 10.1007/s00221-005-0080-4.</w:t>
      </w:r>
    </w:p>
    <w:p w14:paraId="2CC1C98B" w14:textId="77777777" w:rsidR="00C13EBB" w:rsidRPr="00EC7D99" w:rsidRDefault="00C13EBB" w:rsidP="00DE73FB">
      <w:pPr>
        <w:pStyle w:val="EndNoteBibliography"/>
        <w:rPr>
          <w:noProof/>
        </w:rPr>
      </w:pPr>
      <w:r w:rsidRPr="00EC7D99">
        <w:rPr>
          <w:noProof/>
        </w:rPr>
        <w:t>21.</w:t>
      </w:r>
      <w:r w:rsidRPr="00EC7D99">
        <w:rPr>
          <w:noProof/>
        </w:rPr>
        <w:tab/>
        <w:t>C Rickards and F Cody. Proprioceptive control of wrist movements in Parkinson's disease. Reduced muscle vibration-induced errors. Brain. 1997;120(6):977-990.</w:t>
      </w:r>
    </w:p>
    <w:p w14:paraId="215DA52D" w14:textId="77777777" w:rsidR="00C13EBB" w:rsidRPr="00EC7D99" w:rsidRDefault="00C13EBB" w:rsidP="00DE73FB">
      <w:pPr>
        <w:pStyle w:val="EndNoteBibliography"/>
        <w:rPr>
          <w:noProof/>
        </w:rPr>
      </w:pPr>
      <w:r w:rsidRPr="00EC7D99">
        <w:rPr>
          <w:noProof/>
        </w:rPr>
        <w:t>22.</w:t>
      </w:r>
      <w:r w:rsidRPr="00EC7D99">
        <w:rPr>
          <w:noProof/>
        </w:rPr>
        <w:tab/>
        <w:t>T Klockgether, M Borutta, H Rapp, et al. A defect of kinesthesia in Parkinson's disease. Mov Disord. 1995;10(4):460-465. doi: 10.1002/mds.870100410.</w:t>
      </w:r>
    </w:p>
    <w:p w14:paraId="2096745C" w14:textId="77777777" w:rsidR="00C13EBB" w:rsidRPr="00EC7D99" w:rsidRDefault="00C13EBB" w:rsidP="00DE73FB">
      <w:pPr>
        <w:pStyle w:val="EndNoteBibliography"/>
        <w:rPr>
          <w:noProof/>
        </w:rPr>
      </w:pPr>
      <w:r w:rsidRPr="00EC7D99">
        <w:rPr>
          <w:noProof/>
        </w:rPr>
        <w:t>23.</w:t>
      </w:r>
      <w:r w:rsidRPr="00EC7D99">
        <w:rPr>
          <w:noProof/>
        </w:rPr>
        <w:tab/>
        <w:t>EE Jobst, ME Melnick, NN Byl, et al. Sensory perception in Parkinson disease. Arch Neurol. 1997;54(4):450-454.</w:t>
      </w:r>
    </w:p>
    <w:p w14:paraId="46FAAC10" w14:textId="77777777" w:rsidR="00C13EBB" w:rsidRPr="00EC7D99" w:rsidRDefault="00C13EBB" w:rsidP="00DE73FB">
      <w:pPr>
        <w:pStyle w:val="EndNoteBibliography"/>
        <w:rPr>
          <w:noProof/>
        </w:rPr>
      </w:pPr>
      <w:r w:rsidRPr="00EC7D99">
        <w:rPr>
          <w:noProof/>
        </w:rPr>
        <w:t>24.</w:t>
      </w:r>
      <w:r w:rsidRPr="00EC7D99">
        <w:rPr>
          <w:noProof/>
        </w:rPr>
        <w:tab/>
        <w:t>G Barry, B Galna and L Rochester. The role of exergaming in Parkinson’s disease rehabilitation: a systematic review of the evidence. J Neuroeng Rehabil. 2014;11(33):1-10. doi: 10.1186/1743-0003-11-33.</w:t>
      </w:r>
    </w:p>
    <w:p w14:paraId="19A7B5F6" w14:textId="77777777" w:rsidR="00C13EBB" w:rsidRPr="00EC7D99" w:rsidRDefault="00C13EBB" w:rsidP="00DE73FB">
      <w:pPr>
        <w:pStyle w:val="EndNoteBibliography"/>
        <w:rPr>
          <w:noProof/>
        </w:rPr>
      </w:pPr>
      <w:r w:rsidRPr="00EC7D99">
        <w:rPr>
          <w:noProof/>
        </w:rPr>
        <w:lastRenderedPageBreak/>
        <w:t>25.</w:t>
      </w:r>
      <w:r w:rsidRPr="00EC7D99">
        <w:rPr>
          <w:noProof/>
        </w:rPr>
        <w:tab/>
        <w:t>SP Swinnen. Information feedback for motor skill learning: A review. In: HN Zelaznik, editor. Advances in Motor Learning and Control. Champaign, IL: Human Kinetics; 1996. p. 37-66.</w:t>
      </w:r>
    </w:p>
    <w:p w14:paraId="51FC512B" w14:textId="77777777" w:rsidR="00C13EBB" w:rsidRPr="00EC7D99" w:rsidRDefault="00C13EBB" w:rsidP="00DE73FB">
      <w:pPr>
        <w:pStyle w:val="EndNoteBibliography"/>
        <w:rPr>
          <w:noProof/>
        </w:rPr>
      </w:pPr>
      <w:r w:rsidRPr="00EC7D99">
        <w:rPr>
          <w:noProof/>
        </w:rPr>
        <w:t>26.</w:t>
      </w:r>
      <w:r w:rsidRPr="00EC7D99">
        <w:rPr>
          <w:noProof/>
        </w:rPr>
        <w:tab/>
        <w:t>R Montoya, P Dupui, B Pages, et al. Step-length biofeedback device for walk rehabilitation. Medical and Biological Engineering and Computing. 1994;32(4):416-420.</w:t>
      </w:r>
    </w:p>
    <w:p w14:paraId="57C2BE4E" w14:textId="77777777" w:rsidR="00C13EBB" w:rsidRPr="00EC7D99" w:rsidRDefault="00C13EBB" w:rsidP="00DE73FB">
      <w:pPr>
        <w:pStyle w:val="EndNoteBibliography"/>
        <w:rPr>
          <w:noProof/>
        </w:rPr>
      </w:pPr>
      <w:r w:rsidRPr="00EC7D99">
        <w:rPr>
          <w:noProof/>
        </w:rPr>
        <w:t>27.</w:t>
      </w:r>
      <w:r w:rsidRPr="00EC7D99">
        <w:rPr>
          <w:noProof/>
        </w:rPr>
        <w:tab/>
        <w:t>Y Yunusova, E Kearney, M Kulkarni, et al. Game-based augmented visual feedback for enlarging speech movements in Parkinson's disease. J Speech Lang Hear Res. 2017;60:1818-1825. doi: 10.1044/2017_JSLHR-S-16-0233.</w:t>
      </w:r>
    </w:p>
    <w:p w14:paraId="650B8E73" w14:textId="77777777" w:rsidR="00C13EBB" w:rsidRPr="00EC7D99" w:rsidRDefault="00C13EBB" w:rsidP="00DE73FB">
      <w:pPr>
        <w:pStyle w:val="EndNoteBibliography"/>
        <w:rPr>
          <w:noProof/>
        </w:rPr>
      </w:pPr>
      <w:r w:rsidRPr="00EC7D99">
        <w:rPr>
          <w:noProof/>
        </w:rPr>
        <w:t>28.</w:t>
      </w:r>
      <w:r w:rsidRPr="00EC7D99">
        <w:rPr>
          <w:noProof/>
        </w:rPr>
        <w:tab/>
        <w:t>BI Molier, EH Van Asseldonk, HJ Hermens, et al. Nature, timing, frequency and type of augmented feedback; does it influence motor relearning of the hemiparetic arm after stroke? A systematic review. Disabil Rehabil. 2010;32(22):1799-1809. doi: 10.3109/09638281003734359.</w:t>
      </w:r>
    </w:p>
    <w:p w14:paraId="0764C2FF" w14:textId="77777777" w:rsidR="00C13EBB" w:rsidRPr="00EC7D99" w:rsidRDefault="00C13EBB" w:rsidP="00DE73FB">
      <w:pPr>
        <w:pStyle w:val="EndNoteBibliography"/>
        <w:rPr>
          <w:noProof/>
        </w:rPr>
      </w:pPr>
      <w:r w:rsidRPr="00EC7D99">
        <w:rPr>
          <w:noProof/>
        </w:rPr>
        <w:t>29.</w:t>
      </w:r>
      <w:r w:rsidRPr="00EC7D99">
        <w:rPr>
          <w:noProof/>
        </w:rPr>
        <w:tab/>
        <w:t>TD Lee, SP Swinnen and DJ Serrien. Cognitive effort and motor learning. Quest. 1994;46(3):328-344. doi: 10.1080/00336297.1994.10484130.</w:t>
      </w:r>
    </w:p>
    <w:p w14:paraId="3F9975B9" w14:textId="77777777" w:rsidR="00C13EBB" w:rsidRPr="00EC7D99" w:rsidRDefault="00C13EBB" w:rsidP="00DE73FB">
      <w:pPr>
        <w:pStyle w:val="EndNoteBibliography"/>
        <w:rPr>
          <w:noProof/>
        </w:rPr>
      </w:pPr>
      <w:r w:rsidRPr="00EC7D99">
        <w:rPr>
          <w:noProof/>
        </w:rPr>
        <w:t>30.</w:t>
      </w:r>
      <w:r w:rsidRPr="00EC7D99">
        <w:rPr>
          <w:noProof/>
        </w:rPr>
        <w:tab/>
        <w:t>KR Lohse, CE Lang and LA Boyd. Is more better? Using metadata to explore dose–response relationships in stroke rehabilitation. Stroke. 2014;45(7):2053-2058. doi: 10.1161/strokeaha.114.004695.</w:t>
      </w:r>
    </w:p>
    <w:p w14:paraId="7D45FFD0" w14:textId="77777777" w:rsidR="00C13EBB" w:rsidRPr="00EC7D99" w:rsidRDefault="00C13EBB" w:rsidP="00DE73FB">
      <w:pPr>
        <w:pStyle w:val="EndNoteBibliography"/>
        <w:rPr>
          <w:noProof/>
        </w:rPr>
      </w:pPr>
      <w:r w:rsidRPr="00EC7D99">
        <w:rPr>
          <w:noProof/>
        </w:rPr>
        <w:t>31.</w:t>
      </w:r>
      <w:r w:rsidRPr="00EC7D99">
        <w:rPr>
          <w:noProof/>
        </w:rPr>
        <w:tab/>
        <w:t>G Kwakkel, RC Wagenaar, TW Koelman, et al. Effects of intensity of rehabilitation after stroke. Stroke. 1997;28(8):1550-1556.</w:t>
      </w:r>
    </w:p>
    <w:p w14:paraId="0173C4F4" w14:textId="77777777" w:rsidR="00C13EBB" w:rsidRPr="00EC7D99" w:rsidRDefault="00C13EBB" w:rsidP="00DE73FB">
      <w:pPr>
        <w:pStyle w:val="EndNoteBibliography"/>
        <w:rPr>
          <w:noProof/>
        </w:rPr>
      </w:pPr>
      <w:r w:rsidRPr="00EC7D99">
        <w:rPr>
          <w:noProof/>
        </w:rPr>
        <w:t>32.</w:t>
      </w:r>
      <w:r w:rsidRPr="00EC7D99">
        <w:rPr>
          <w:noProof/>
        </w:rPr>
        <w:tab/>
        <w:t>DE Young and RA Schmidt. Augmented kinematic feedback for motor learning. J Mot Behav. 1992;24(3):261-273. doi: 10.1080/00222895.1992.9941621.</w:t>
      </w:r>
    </w:p>
    <w:p w14:paraId="515777D1" w14:textId="77777777" w:rsidR="00C13EBB" w:rsidRPr="00EC7D99" w:rsidRDefault="00C13EBB" w:rsidP="00DE73FB">
      <w:pPr>
        <w:pStyle w:val="EndNoteBibliography"/>
        <w:rPr>
          <w:noProof/>
        </w:rPr>
      </w:pPr>
      <w:r w:rsidRPr="00EC7D99">
        <w:rPr>
          <w:noProof/>
        </w:rPr>
        <w:t>33.</w:t>
      </w:r>
      <w:r w:rsidRPr="00EC7D99">
        <w:rPr>
          <w:noProof/>
        </w:rPr>
        <w:tab/>
        <w:t>RA Schmidt and G Wulf. Continuous concurrent feedback degrades skill learning: Implications for training and simulation. Hum Factors. 1997;39(4):509-525. doi: 10.1518/001872097778667979.</w:t>
      </w:r>
    </w:p>
    <w:p w14:paraId="239C6917" w14:textId="77777777" w:rsidR="00C13EBB" w:rsidRPr="00EC7D99" w:rsidRDefault="00C13EBB" w:rsidP="00DE73FB">
      <w:pPr>
        <w:pStyle w:val="EndNoteBibliography"/>
        <w:rPr>
          <w:noProof/>
        </w:rPr>
      </w:pPr>
      <w:r w:rsidRPr="00EC7D99">
        <w:rPr>
          <w:noProof/>
        </w:rPr>
        <w:lastRenderedPageBreak/>
        <w:t>34.</w:t>
      </w:r>
      <w:r w:rsidRPr="00EC7D99">
        <w:rPr>
          <w:noProof/>
        </w:rPr>
        <w:tab/>
        <w:t>CJ Winstein and RA Schmidt. Reduced frequency of knowledge of results enhances motor skill learning. J Exp Psychol Learn Mem Cogn. 1990;16(4):677. doi: 10.1037/0278-7393.16.4.677.</w:t>
      </w:r>
    </w:p>
    <w:p w14:paraId="42786654" w14:textId="77777777" w:rsidR="00C13EBB" w:rsidRPr="00EC7D99" w:rsidRDefault="00C13EBB" w:rsidP="00DE73FB">
      <w:pPr>
        <w:pStyle w:val="EndNoteBibliography"/>
        <w:rPr>
          <w:noProof/>
        </w:rPr>
      </w:pPr>
      <w:r w:rsidRPr="00EC7D99">
        <w:rPr>
          <w:noProof/>
        </w:rPr>
        <w:t>35.</w:t>
      </w:r>
      <w:r w:rsidRPr="00EC7D99">
        <w:rPr>
          <w:noProof/>
        </w:rPr>
        <w:tab/>
        <w:t>E Pelosin, L Avanzino, R Barella, et al. Treadmill training frequency influences walking improvements in subjects with Parkinson's disease: a randomized pilot study. Eur J Phys Rehabil Med. 2016.</w:t>
      </w:r>
    </w:p>
    <w:p w14:paraId="1FFA8F97" w14:textId="77777777" w:rsidR="00C13EBB" w:rsidRPr="00EC7D99" w:rsidRDefault="00C13EBB" w:rsidP="00DE73FB">
      <w:pPr>
        <w:pStyle w:val="EndNoteBibliography"/>
        <w:rPr>
          <w:noProof/>
        </w:rPr>
      </w:pPr>
      <w:r w:rsidRPr="00EC7D99">
        <w:rPr>
          <w:noProof/>
        </w:rPr>
        <w:t>36.</w:t>
      </w:r>
      <w:r w:rsidRPr="00EC7D99">
        <w:rPr>
          <w:noProof/>
        </w:rPr>
        <w:tab/>
        <w:t>S Chiviacowsky, T Campos and MR Domingues. Reduced frequency of knowledge of results enhances learning in persons with Parkinson's disease. Front Psychol. 2010;1(226):1-6. doi: 10.3389/fpsyg.2010.00226.</w:t>
      </w:r>
    </w:p>
    <w:p w14:paraId="6A635CFC" w14:textId="77777777" w:rsidR="00C13EBB" w:rsidRPr="00EC7D99" w:rsidRDefault="00C13EBB" w:rsidP="00DE73FB">
      <w:pPr>
        <w:pStyle w:val="EndNoteBibliography"/>
        <w:rPr>
          <w:noProof/>
        </w:rPr>
      </w:pPr>
      <w:r w:rsidRPr="00EC7D99">
        <w:rPr>
          <w:noProof/>
        </w:rPr>
        <w:t>37.</w:t>
      </w:r>
      <w:r w:rsidRPr="00EC7D99">
        <w:rPr>
          <w:noProof/>
        </w:rPr>
        <w:tab/>
        <w:t>SG Adams, AD Page and M Jog. Summary feedback schedules and speech motor learning in Parkinson’s disease. J Med Speech Lang Pathol. 2002;10(4):215-220.</w:t>
      </w:r>
    </w:p>
    <w:p w14:paraId="00F3142E" w14:textId="77777777" w:rsidR="00C13EBB" w:rsidRPr="00EC7D99" w:rsidRDefault="00C13EBB" w:rsidP="00DE73FB">
      <w:pPr>
        <w:pStyle w:val="EndNoteBibliography"/>
        <w:rPr>
          <w:noProof/>
        </w:rPr>
      </w:pPr>
      <w:r w:rsidRPr="00EC7D99">
        <w:rPr>
          <w:noProof/>
        </w:rPr>
        <w:t>38.</w:t>
      </w:r>
      <w:r w:rsidRPr="00EC7D99">
        <w:rPr>
          <w:noProof/>
        </w:rPr>
        <w:tab/>
        <w:t xml:space="preserve">RA Schmidt and CA Wrisberg. Motor learning and performance: A situation-based learning approach. 4th ed. Champaign, IL: Human Kinetics; 2008. </w:t>
      </w:r>
    </w:p>
    <w:p w14:paraId="0859DA04" w14:textId="77777777" w:rsidR="00C13EBB" w:rsidRPr="00EC7D99" w:rsidRDefault="00C13EBB" w:rsidP="00DE73FB">
      <w:pPr>
        <w:pStyle w:val="EndNoteBibliography"/>
        <w:rPr>
          <w:noProof/>
        </w:rPr>
      </w:pPr>
      <w:r w:rsidRPr="00EC7D99">
        <w:rPr>
          <w:noProof/>
        </w:rPr>
        <w:t>39.</w:t>
      </w:r>
      <w:r w:rsidRPr="00EC7D99">
        <w:rPr>
          <w:noProof/>
        </w:rPr>
        <w:tab/>
        <w:t>JPT Higgins, DG Altman and JAC Sterne. Chapter 8: Assessing risk of bias in included studies. In: JPT Higgins and S Green, editors. Cochrane handbook for systematic reviews of interventions: The Cochrane Collaboration; 2011.</w:t>
      </w:r>
    </w:p>
    <w:p w14:paraId="7A0D92DC" w14:textId="77777777" w:rsidR="00C13EBB" w:rsidRPr="00EC7D99" w:rsidRDefault="00C13EBB" w:rsidP="00DE73FB">
      <w:pPr>
        <w:pStyle w:val="EndNoteBibliography"/>
        <w:rPr>
          <w:noProof/>
        </w:rPr>
      </w:pPr>
      <w:r w:rsidRPr="00EC7D99">
        <w:rPr>
          <w:noProof/>
        </w:rPr>
        <w:t>40.</w:t>
      </w:r>
      <w:r w:rsidRPr="00EC7D99">
        <w:rPr>
          <w:noProof/>
        </w:rPr>
        <w:tab/>
        <w:t xml:space="preserve">World Health Organization. International Classification of Functioning, Disability and Health (ICF). Geneva, Switzerland: WHO; 2001. </w:t>
      </w:r>
    </w:p>
    <w:p w14:paraId="75C7EB3B" w14:textId="77777777" w:rsidR="00C13EBB" w:rsidRPr="00EC7D99" w:rsidRDefault="00C13EBB" w:rsidP="00DE73FB">
      <w:pPr>
        <w:pStyle w:val="EndNoteBibliography"/>
        <w:rPr>
          <w:noProof/>
        </w:rPr>
      </w:pPr>
      <w:r w:rsidRPr="00EC7D99">
        <w:rPr>
          <w:noProof/>
        </w:rPr>
        <w:t>41.</w:t>
      </w:r>
      <w:r w:rsidRPr="00EC7D99">
        <w:rPr>
          <w:noProof/>
        </w:rPr>
        <w:tab/>
        <w:t xml:space="preserve">J Cohen. Statistical power analysis for the behavioral sciences. Hillsdale, NJ: Lawrence Erlbaum Associates; 1988. </w:t>
      </w:r>
    </w:p>
    <w:p w14:paraId="11982ED9" w14:textId="77777777" w:rsidR="00C13EBB" w:rsidRPr="00EC7D99" w:rsidRDefault="00C13EBB" w:rsidP="00DE73FB">
      <w:pPr>
        <w:pStyle w:val="EndNoteBibliography"/>
        <w:rPr>
          <w:noProof/>
        </w:rPr>
      </w:pPr>
      <w:r w:rsidRPr="00EC7D99">
        <w:rPr>
          <w:noProof/>
        </w:rPr>
        <w:t>42.</w:t>
      </w:r>
      <w:r w:rsidRPr="00EC7D99">
        <w:rPr>
          <w:noProof/>
        </w:rPr>
        <w:tab/>
        <w:t>JE Pompeu, FA dos Santos Mendes, KG da Silva, et al. Effect of Nintendo Wii™-based motor and cognitive training on activities of daily living in patients with Parkinson's disease: A randomised clinical trial. Physiotherapy. 2012;98(3):196-204. doi: 10.1016/j.physio.2012.06.004.</w:t>
      </w:r>
    </w:p>
    <w:p w14:paraId="1649EA6A" w14:textId="77777777" w:rsidR="00C13EBB" w:rsidRPr="00EC7D99" w:rsidRDefault="00C13EBB" w:rsidP="00DE73FB">
      <w:pPr>
        <w:pStyle w:val="EndNoteBibliography"/>
        <w:rPr>
          <w:noProof/>
        </w:rPr>
      </w:pPr>
      <w:r w:rsidRPr="00EC7D99">
        <w:rPr>
          <w:noProof/>
        </w:rPr>
        <w:t>43.</w:t>
      </w:r>
      <w:r w:rsidRPr="00EC7D99">
        <w:rPr>
          <w:noProof/>
        </w:rPr>
        <w:tab/>
        <w:t>FA dos Santos Mendes, JE Pompeu, AM Lobo, et al. Motor learning, retention and transfer after virtual-reality-based training in Parkinson's disease–effect of motor and cognitive demands of games: a longitudinal, controlled clinical study. Physiotherapy. 2012;98(3):217-223. doi: 10.1016/j.physio.2012.06.001.</w:t>
      </w:r>
    </w:p>
    <w:p w14:paraId="2CB2A519" w14:textId="77777777" w:rsidR="00C13EBB" w:rsidRPr="00EC7D99" w:rsidRDefault="00C13EBB" w:rsidP="00DE73FB">
      <w:pPr>
        <w:pStyle w:val="EndNoteBibliography"/>
        <w:rPr>
          <w:noProof/>
        </w:rPr>
      </w:pPr>
      <w:r w:rsidRPr="00EC7D99">
        <w:rPr>
          <w:noProof/>
        </w:rPr>
        <w:t>44.</w:t>
      </w:r>
      <w:r w:rsidRPr="00EC7D99">
        <w:rPr>
          <w:noProof/>
        </w:rPr>
        <w:tab/>
        <w:t>RP Athukorala, RD Jones, O Sella, et al. Skill training for swallowing rehabilitation in patients with parkinson's disease. Arch Phys Med Rehabil. 2014;95(7):1374-1382. doi: 10.1016/j.apmr.2014.03.001.</w:t>
      </w:r>
    </w:p>
    <w:p w14:paraId="5C747996" w14:textId="77777777" w:rsidR="00C13EBB" w:rsidRPr="00EC7D99" w:rsidRDefault="00C13EBB" w:rsidP="00DE73FB">
      <w:pPr>
        <w:pStyle w:val="EndNoteBibliography"/>
        <w:rPr>
          <w:noProof/>
        </w:rPr>
      </w:pPr>
      <w:r w:rsidRPr="00EC7D99">
        <w:rPr>
          <w:noProof/>
        </w:rPr>
        <w:t>45.</w:t>
      </w:r>
      <w:r w:rsidRPr="00EC7D99">
        <w:rPr>
          <w:noProof/>
        </w:rPr>
        <w:tab/>
        <w:t>NB Herz, SH Mehta, KD Sethi, et al. Nintendo Wii rehabilitation (“Wii-hab”) provides benefits in Parkinson's disease. Parkinsonism Relat Disord. 2013;19(11):1039-1042. doi: 10.1016/j.parkreldis.2013.07.014.</w:t>
      </w:r>
    </w:p>
    <w:p w14:paraId="7B695099" w14:textId="77777777" w:rsidR="00C13EBB" w:rsidRPr="00EC7D99" w:rsidRDefault="00C13EBB" w:rsidP="00DE73FB">
      <w:pPr>
        <w:pStyle w:val="EndNoteBibliography"/>
        <w:rPr>
          <w:noProof/>
        </w:rPr>
      </w:pPr>
      <w:r w:rsidRPr="00EC7D99">
        <w:rPr>
          <w:noProof/>
        </w:rPr>
        <w:t>46.</w:t>
      </w:r>
      <w:r w:rsidRPr="00EC7D99">
        <w:rPr>
          <w:noProof/>
        </w:rPr>
        <w:tab/>
        <w:t>PV Mhatre, I Vilares, SM Stibb, et al. Wii Fit balance board playing improves balance and gait in Parkinson disease. PM R. 2013;5(9):769-777. doi: 10.1016/j.pmrj.2013.05.019.</w:t>
      </w:r>
    </w:p>
    <w:p w14:paraId="1245E702" w14:textId="77777777" w:rsidR="00C13EBB" w:rsidRPr="00EC7D99" w:rsidRDefault="00C13EBB" w:rsidP="00DE73FB">
      <w:pPr>
        <w:pStyle w:val="EndNoteBibliography"/>
        <w:rPr>
          <w:noProof/>
        </w:rPr>
      </w:pPr>
      <w:r w:rsidRPr="00EC7D99">
        <w:rPr>
          <w:noProof/>
        </w:rPr>
        <w:t>47.</w:t>
      </w:r>
      <w:r w:rsidRPr="00EC7D99">
        <w:rPr>
          <w:noProof/>
        </w:rPr>
        <w:tab/>
        <w:t>T Zalecki, A Gorecka-Mazur, W Pietraszko, et al. Visual feedback training using WII Fit improves balance in Parkinson’s disease. Folia Med Cracov. 2013;53(1):65-78.</w:t>
      </w:r>
    </w:p>
    <w:p w14:paraId="1EBC0115" w14:textId="77777777" w:rsidR="00C13EBB" w:rsidRPr="00EC7D99" w:rsidRDefault="00C13EBB" w:rsidP="00DE73FB">
      <w:pPr>
        <w:pStyle w:val="EndNoteBibliography"/>
        <w:rPr>
          <w:noProof/>
        </w:rPr>
      </w:pPr>
      <w:r w:rsidRPr="00EC7D99">
        <w:rPr>
          <w:noProof/>
        </w:rPr>
        <w:t>48.</w:t>
      </w:r>
      <w:r w:rsidRPr="00EC7D99">
        <w:rPr>
          <w:noProof/>
        </w:rPr>
        <w:tab/>
        <w:t>GB Gonçalves, MAA Leite, M Orsini, et al. Effects of using the nintendo wii fit plus platform in the sensorimotor training of gait disorders in Parkinson’s disease. Neurol Int. 2014;6:1-3. doi: 10.4081/ni.2014.5048.</w:t>
      </w:r>
    </w:p>
    <w:p w14:paraId="2D8255CD" w14:textId="77777777" w:rsidR="00C13EBB" w:rsidRPr="00EC7D99" w:rsidRDefault="00C13EBB" w:rsidP="00DE73FB">
      <w:pPr>
        <w:pStyle w:val="EndNoteBibliography"/>
        <w:rPr>
          <w:noProof/>
        </w:rPr>
      </w:pPr>
      <w:r w:rsidRPr="00EC7D99">
        <w:rPr>
          <w:noProof/>
        </w:rPr>
        <w:t>49.</w:t>
      </w:r>
      <w:r w:rsidRPr="00EC7D99">
        <w:rPr>
          <w:noProof/>
        </w:rPr>
        <w:tab/>
        <w:t>JD Holmes, ML Gu, AM Johnson, et al. The Effects of a Home-Based Virtual Reality Rehabilitation Program on Balance Among Individuals with Parkinson's Disease. Phys Occup Ther Geriatr. 2013;31(3):241-253. doi: 10.3109/02703181.2013.814743.</w:t>
      </w:r>
    </w:p>
    <w:p w14:paraId="7C2264C6" w14:textId="77777777" w:rsidR="00C13EBB" w:rsidRPr="00EC7D99" w:rsidRDefault="00C13EBB" w:rsidP="00DE73FB">
      <w:pPr>
        <w:pStyle w:val="EndNoteBibliography"/>
        <w:rPr>
          <w:noProof/>
        </w:rPr>
      </w:pPr>
      <w:r w:rsidRPr="00EC7D99">
        <w:rPr>
          <w:noProof/>
        </w:rPr>
        <w:t>50.</w:t>
      </w:r>
      <w:r w:rsidRPr="00EC7D99">
        <w:rPr>
          <w:noProof/>
        </w:rPr>
        <w:tab/>
        <w:t>J-F Esculier, J Vaudrin, P Bériault, et al. Home-based balance training programme using Wii Fit with balance board for Parkinson's disease: A pilot study. J Rehabil Med. 2012;44(2):144-150. doi: 10.2340/16501977-0922.</w:t>
      </w:r>
    </w:p>
    <w:p w14:paraId="4E80EED3" w14:textId="77777777" w:rsidR="00C13EBB" w:rsidRPr="00EC7D99" w:rsidRDefault="00C13EBB" w:rsidP="00DE73FB">
      <w:pPr>
        <w:pStyle w:val="EndNoteBibliography"/>
        <w:rPr>
          <w:noProof/>
        </w:rPr>
      </w:pPr>
      <w:r w:rsidRPr="00EC7D99">
        <w:rPr>
          <w:noProof/>
        </w:rPr>
        <w:t>51.</w:t>
      </w:r>
      <w:r w:rsidRPr="00EC7D99">
        <w:rPr>
          <w:noProof/>
        </w:rPr>
        <w:tab/>
        <w:t>N Byl, W Zhang, S Coo, et al. Clinical impact of gait training enhanced with visual kinematic biofeedback: Patients with parkinson’s disease and patients stable post stroke. Neuropsychologia. 2015;79:332-343. doi: 10.1016/j.neuropsychologia.2015.04.020.</w:t>
      </w:r>
    </w:p>
    <w:p w14:paraId="4356E7E6" w14:textId="77777777" w:rsidR="00C13EBB" w:rsidRPr="00EC7D99" w:rsidRDefault="00C13EBB" w:rsidP="00DE73FB">
      <w:pPr>
        <w:pStyle w:val="EndNoteBibliography"/>
        <w:rPr>
          <w:noProof/>
        </w:rPr>
      </w:pPr>
      <w:r w:rsidRPr="00EC7D99">
        <w:rPr>
          <w:noProof/>
        </w:rPr>
        <w:t>52.</w:t>
      </w:r>
      <w:r w:rsidRPr="00EC7D99">
        <w:rPr>
          <w:noProof/>
        </w:rPr>
        <w:tab/>
        <w:t>N-Y Lee, D-K Lee and H-S Song. Effect of virtual reality dance exercise on the balance, activities of daily living, and depressive disorder status of Parkinson’s disease patients. J Phys Ther Sci. 2015;27(1):145-147. doi: 10.1589/jpts.27.145.</w:t>
      </w:r>
    </w:p>
    <w:p w14:paraId="780B34D3" w14:textId="77777777" w:rsidR="00C13EBB" w:rsidRPr="00EC7D99" w:rsidRDefault="00C13EBB" w:rsidP="00DE73FB">
      <w:pPr>
        <w:pStyle w:val="EndNoteBibliography"/>
        <w:rPr>
          <w:noProof/>
        </w:rPr>
      </w:pPr>
      <w:r w:rsidRPr="00EC7D99">
        <w:rPr>
          <w:noProof/>
        </w:rPr>
        <w:t>53.</w:t>
      </w:r>
      <w:r w:rsidRPr="00EC7D99">
        <w:rPr>
          <w:noProof/>
        </w:rPr>
        <w:tab/>
        <w:t>Y-Y Liao, Y-R Yang, Y-R Wu, et al. Virtual reality-based Wii fit training in improving muscle strength, sensory integration ability, and walking abilities in patients with Parkinson's disease: a randomized control trial. Int J Gerontol. 2015;9(4):190-195. doi: 10.1016/j.ijge.2014.06.007.</w:t>
      </w:r>
    </w:p>
    <w:p w14:paraId="60F66D6C" w14:textId="77777777" w:rsidR="00C13EBB" w:rsidRPr="00EC7D99" w:rsidRDefault="00C13EBB" w:rsidP="00DE73FB">
      <w:pPr>
        <w:pStyle w:val="EndNoteBibliography"/>
        <w:rPr>
          <w:noProof/>
        </w:rPr>
      </w:pPr>
      <w:r w:rsidRPr="00EC7D99">
        <w:rPr>
          <w:noProof/>
        </w:rPr>
        <w:t>54.</w:t>
      </w:r>
      <w:r w:rsidRPr="00EC7D99">
        <w:rPr>
          <w:noProof/>
        </w:rPr>
        <w:tab/>
        <w:t>G Pedreira, A Prazeres, D Cruz, et al. Virtual games and quality of life in Parkinson’s disease: A randomised controlled trial. Advances in Parkinson's Disease. 2013;2(4):97-101. doi: 10.4236/apd.2013.24018.</w:t>
      </w:r>
    </w:p>
    <w:p w14:paraId="68D0C24A" w14:textId="77777777" w:rsidR="00C13EBB" w:rsidRPr="00EC7D99" w:rsidRDefault="00C13EBB" w:rsidP="00DE73FB">
      <w:pPr>
        <w:pStyle w:val="EndNoteBibliography"/>
        <w:rPr>
          <w:noProof/>
        </w:rPr>
      </w:pPr>
      <w:r w:rsidRPr="00EC7D99">
        <w:rPr>
          <w:noProof/>
        </w:rPr>
        <w:t>55.</w:t>
      </w:r>
      <w:r w:rsidRPr="00EC7D99">
        <w:rPr>
          <w:noProof/>
        </w:rPr>
        <w:tab/>
        <w:t>W-C Yang, H-K Wang, R-M Wu, et al. Home-based virtual reality balance training and conventional balance training in Parkinson's disease: A randomized controlled trial. J Formos Med Assoc. 2016;115(9):734-743. doi: 10.1016/j.jfma.2015.07.012.</w:t>
      </w:r>
    </w:p>
    <w:p w14:paraId="2BBA8CF7" w14:textId="77777777" w:rsidR="00C13EBB" w:rsidRPr="00EC7D99" w:rsidRDefault="00C13EBB" w:rsidP="00DE73FB">
      <w:pPr>
        <w:pStyle w:val="EndNoteBibliography"/>
        <w:rPr>
          <w:noProof/>
        </w:rPr>
      </w:pPr>
      <w:r w:rsidRPr="00EC7D99">
        <w:rPr>
          <w:noProof/>
        </w:rPr>
        <w:t>56.</w:t>
      </w:r>
      <w:r w:rsidRPr="00EC7D99">
        <w:rPr>
          <w:noProof/>
        </w:rPr>
        <w:tab/>
        <w:t>C-Y Yen, K-H Lin, M-H Hu, et al. Effects of virtual reality-augmented balance training on sensory organization and attentional demand for postural control in people with Parkinson disease: a randomized controlled trial. Phys Ther. 2011;91(6):862. doi: 10.2522/ptj.20100050.</w:t>
      </w:r>
    </w:p>
    <w:p w14:paraId="2EBEB1C7" w14:textId="77777777" w:rsidR="00C13EBB" w:rsidRPr="00EC7D99" w:rsidRDefault="00C13EBB" w:rsidP="00DE73FB">
      <w:pPr>
        <w:pStyle w:val="EndNoteBibliography"/>
        <w:rPr>
          <w:noProof/>
        </w:rPr>
      </w:pPr>
      <w:r w:rsidRPr="00EC7D99">
        <w:rPr>
          <w:noProof/>
        </w:rPr>
        <w:t>57.</w:t>
      </w:r>
      <w:r w:rsidRPr="00EC7D99">
        <w:rPr>
          <w:noProof/>
        </w:rPr>
        <w:tab/>
        <w:t>G Stern. Computer assisted psychomotor training in a specialized population. FL: Nova Southeastern University; 2009.</w:t>
      </w:r>
    </w:p>
    <w:p w14:paraId="64B6F529" w14:textId="77777777" w:rsidR="00C13EBB" w:rsidRPr="00EC7D99" w:rsidRDefault="00C13EBB" w:rsidP="00DE73FB">
      <w:pPr>
        <w:pStyle w:val="EndNoteBibliography"/>
        <w:rPr>
          <w:noProof/>
        </w:rPr>
      </w:pPr>
      <w:r w:rsidRPr="00EC7D99">
        <w:rPr>
          <w:noProof/>
        </w:rPr>
        <w:t>58.</w:t>
      </w:r>
      <w:r w:rsidRPr="00EC7D99">
        <w:rPr>
          <w:noProof/>
        </w:rPr>
        <w:tab/>
        <w:t>MR van den Heuvel, G Kwakkel, PJ Beek, et al. Effects of augmented visual feedback during balance training in Parkinson's disease: A pilot randomized clinical trial. Parkinsonism Relat Disord. 2014;20(12):1352-1358. doi: 10.1016/j.parkreldis.2014.09.022.</w:t>
      </w:r>
    </w:p>
    <w:p w14:paraId="59E805E0" w14:textId="77777777" w:rsidR="00C13EBB" w:rsidRPr="00EC7D99" w:rsidRDefault="00C13EBB" w:rsidP="00DE73FB">
      <w:pPr>
        <w:pStyle w:val="EndNoteBibliography"/>
        <w:rPr>
          <w:noProof/>
        </w:rPr>
      </w:pPr>
      <w:r w:rsidRPr="00EC7D99">
        <w:rPr>
          <w:noProof/>
        </w:rPr>
        <w:t>59.</w:t>
      </w:r>
      <w:r w:rsidRPr="00EC7D99">
        <w:rPr>
          <w:noProof/>
        </w:rPr>
        <w:tab/>
        <w:t>X Shen and MK Mak. Balance and gait training with augmented feedback improves balance confidence in people with Parkinson’s disease: a randomized controlled trial. Neurorehabil Neural Repair. 2014;28(6):524-535. doi: 10.1177/1545968313517752.</w:t>
      </w:r>
    </w:p>
    <w:p w14:paraId="3536565D" w14:textId="77777777" w:rsidR="00C13EBB" w:rsidRPr="00EC7D99" w:rsidRDefault="00C13EBB" w:rsidP="00DE73FB">
      <w:pPr>
        <w:pStyle w:val="EndNoteBibliography"/>
        <w:rPr>
          <w:noProof/>
        </w:rPr>
      </w:pPr>
      <w:r w:rsidRPr="00EC7D99">
        <w:rPr>
          <w:noProof/>
        </w:rPr>
        <w:t>60.</w:t>
      </w:r>
      <w:r w:rsidRPr="00EC7D99">
        <w:rPr>
          <w:noProof/>
        </w:rPr>
        <w:tab/>
        <w:t>MM Hoehn and MD Yahr. Parkinsonism: onset, progression, and mortality. Neurology. 1967;17(5):427-442.</w:t>
      </w:r>
    </w:p>
    <w:p w14:paraId="009C0E86" w14:textId="77777777" w:rsidR="00C13EBB" w:rsidRPr="00EC7D99" w:rsidRDefault="00C13EBB" w:rsidP="00DE73FB">
      <w:pPr>
        <w:pStyle w:val="EndNoteBibliography"/>
        <w:rPr>
          <w:noProof/>
        </w:rPr>
      </w:pPr>
      <w:r w:rsidRPr="00EC7D99">
        <w:rPr>
          <w:noProof/>
        </w:rPr>
        <w:t>61.</w:t>
      </w:r>
      <w:r w:rsidRPr="00EC7D99">
        <w:rPr>
          <w:noProof/>
        </w:rPr>
        <w:tab/>
        <w:t>CG Goetz, BC Tilley, SR Shaftman, et al. Movement Disorder Society</w:t>
      </w:r>
      <w:r w:rsidRPr="00EC7D99">
        <w:rPr>
          <w:rFonts w:ascii="Cambria Math" w:hAnsi="Cambria Math" w:cs="Cambria Math"/>
          <w:noProof/>
        </w:rPr>
        <w:t>‐</w:t>
      </w:r>
      <w:r w:rsidRPr="00EC7D99">
        <w:rPr>
          <w:noProof/>
        </w:rPr>
        <w:t>sponsored revision of the Unified Parkinson's Disease Rating Scale (MDS</w:t>
      </w:r>
      <w:r w:rsidRPr="00EC7D99">
        <w:rPr>
          <w:rFonts w:ascii="Cambria Math" w:hAnsi="Cambria Math" w:cs="Cambria Math"/>
          <w:noProof/>
        </w:rPr>
        <w:t>‐</w:t>
      </w:r>
      <w:r w:rsidRPr="00EC7D99">
        <w:rPr>
          <w:noProof/>
        </w:rPr>
        <w:t>UPDRS): Scale presentation and clinimetric testing results. Mov Disord. 2008;23(15):2129-2170. doi: 10.1002/mds.22340.</w:t>
      </w:r>
    </w:p>
    <w:p w14:paraId="7DE5CAE5" w14:textId="77777777" w:rsidR="00C13EBB" w:rsidRPr="00EC7D99" w:rsidRDefault="00BC2328" w:rsidP="00DE73FB">
      <w:pPr>
        <w:pStyle w:val="EndNoteBibliography"/>
        <w:rPr>
          <w:noProof/>
        </w:rPr>
      </w:pPr>
      <w:r w:rsidRPr="00EC7D99">
        <w:rPr>
          <w:noProof/>
        </w:rPr>
        <w:t>62</w:t>
      </w:r>
      <w:r w:rsidR="00C13EBB" w:rsidRPr="00EC7D99">
        <w:rPr>
          <w:noProof/>
        </w:rPr>
        <w:t>.</w:t>
      </w:r>
      <w:r w:rsidR="00C13EBB" w:rsidRPr="00EC7D99">
        <w:rPr>
          <w:noProof/>
        </w:rPr>
        <w:tab/>
        <w:t>DA Sharma, MF Chevidikunnan, FR Khan, et al. Effectiveness of knowledge of result and knowledge of performance in the learning of a skilled motor activity by healthy young adults. J Phys Ther Sci. 2016;28(5):1482-1486.</w:t>
      </w:r>
    </w:p>
    <w:p w14:paraId="73A5B770" w14:textId="77777777" w:rsidR="00C13EBB" w:rsidRPr="00EC7D99" w:rsidRDefault="00BC2328" w:rsidP="00DE73FB">
      <w:pPr>
        <w:pStyle w:val="EndNoteBibliography"/>
        <w:rPr>
          <w:noProof/>
        </w:rPr>
      </w:pPr>
      <w:r w:rsidRPr="00EC7D99">
        <w:rPr>
          <w:noProof/>
        </w:rPr>
        <w:t>63</w:t>
      </w:r>
      <w:r w:rsidR="00C13EBB" w:rsidRPr="00EC7D99">
        <w:rPr>
          <w:noProof/>
        </w:rPr>
        <w:t>.</w:t>
      </w:r>
      <w:r w:rsidR="00C13EBB" w:rsidRPr="00EC7D99">
        <w:rPr>
          <w:noProof/>
        </w:rPr>
        <w:tab/>
        <w:t>CH Shea and G Wulf. Enhancing motor learning through external-focus instructions and feedback. Hum Mov Sci. 1999;18(4):553-571. doi: 10.1016/S0167-9457(99)00031-7.</w:t>
      </w:r>
    </w:p>
    <w:p w14:paraId="377B3FFF" w14:textId="77777777" w:rsidR="00C13EBB" w:rsidRPr="00EC7D99" w:rsidRDefault="00BC2328" w:rsidP="00DE73FB">
      <w:pPr>
        <w:pStyle w:val="EndNoteBibliography"/>
        <w:rPr>
          <w:noProof/>
        </w:rPr>
      </w:pPr>
      <w:r w:rsidRPr="00EC7D99">
        <w:rPr>
          <w:noProof/>
        </w:rPr>
        <w:t>64</w:t>
      </w:r>
      <w:r w:rsidR="00C13EBB" w:rsidRPr="00EC7D99">
        <w:rPr>
          <w:noProof/>
        </w:rPr>
        <w:t>.</w:t>
      </w:r>
      <w:r w:rsidR="00C13EBB" w:rsidRPr="00EC7D99">
        <w:rPr>
          <w:noProof/>
        </w:rPr>
        <w:tab/>
        <w:t>NJ Hodges and IM Franks. Learning a coordination skill: Interactive effects of instruction and feedback. Res Q Exerc Sport. 2001;72(2):132-142. doi: 10.1080/02701367.2001.10608943.</w:t>
      </w:r>
    </w:p>
    <w:p w14:paraId="0E52DA4E" w14:textId="77777777" w:rsidR="00C13EBB" w:rsidRPr="00EC7D99" w:rsidRDefault="00BC2328" w:rsidP="00DE73FB">
      <w:pPr>
        <w:pStyle w:val="EndNoteBibliography"/>
        <w:rPr>
          <w:noProof/>
        </w:rPr>
      </w:pPr>
      <w:r w:rsidRPr="00EC7D99">
        <w:rPr>
          <w:noProof/>
        </w:rPr>
        <w:t>65</w:t>
      </w:r>
      <w:r w:rsidR="00C13EBB" w:rsidRPr="00EC7D99">
        <w:rPr>
          <w:noProof/>
        </w:rPr>
        <w:t>.</w:t>
      </w:r>
      <w:r w:rsidR="00C13EBB" w:rsidRPr="00EC7D99">
        <w:rPr>
          <w:noProof/>
        </w:rPr>
        <w:tab/>
        <w:t>AW Salmoni, RA Schmidt and CB Walter. Knowledge of results and motor learning: a review and critical reappraisal. Psychol Bull. 1984;95(3):355-386.</w:t>
      </w:r>
    </w:p>
    <w:p w14:paraId="1B8D8C73" w14:textId="77777777" w:rsidR="00C13EBB" w:rsidRPr="00EC7D99" w:rsidRDefault="00BC2328" w:rsidP="00DE73FB">
      <w:pPr>
        <w:pStyle w:val="EndNoteBibliography"/>
        <w:rPr>
          <w:noProof/>
        </w:rPr>
      </w:pPr>
      <w:r w:rsidRPr="00EC7D99">
        <w:rPr>
          <w:noProof/>
        </w:rPr>
        <w:t>66</w:t>
      </w:r>
      <w:r w:rsidR="00C13EBB" w:rsidRPr="00EC7D99">
        <w:rPr>
          <w:noProof/>
        </w:rPr>
        <w:t>.</w:t>
      </w:r>
      <w:r w:rsidR="00C13EBB" w:rsidRPr="00EC7D99">
        <w:rPr>
          <w:noProof/>
        </w:rPr>
        <w:tab/>
        <w:t>AR Potgieser, E Roosma, M Beudel, et al. The Effect of Visual Feedback on Writing Size in Parkinson’s Disease. Parkinsons Dis. 2015;2015:1-4. doi: 10.1155/2015/857041.</w:t>
      </w:r>
    </w:p>
    <w:p w14:paraId="2051CE67" w14:textId="77777777" w:rsidR="00C13EBB" w:rsidRPr="00EC7D99" w:rsidRDefault="00BC2328" w:rsidP="00DE73FB">
      <w:pPr>
        <w:pStyle w:val="EndNoteBibliography"/>
        <w:rPr>
          <w:noProof/>
        </w:rPr>
      </w:pPr>
      <w:r w:rsidRPr="00EC7D99">
        <w:rPr>
          <w:noProof/>
        </w:rPr>
        <w:t>67</w:t>
      </w:r>
      <w:r w:rsidR="00C13EBB" w:rsidRPr="00EC7D99">
        <w:rPr>
          <w:noProof/>
        </w:rPr>
        <w:t>.</w:t>
      </w:r>
      <w:r w:rsidR="00C13EBB" w:rsidRPr="00EC7D99">
        <w:rPr>
          <w:noProof/>
        </w:rPr>
        <w:tab/>
        <w:t>S Scott and F Caird. The response of the apparent receptive speech disorder of Parkinson's disease to speech therapy. J Neurol Neurosurg Psychiatry. 1984;47(3):302-304. doi: 10.1136/jnnp.48.6.606.</w:t>
      </w:r>
    </w:p>
    <w:p w14:paraId="7D6808DA" w14:textId="77777777" w:rsidR="00C13EBB" w:rsidRPr="00EC7D99" w:rsidRDefault="00BC2328" w:rsidP="00DE73FB">
      <w:pPr>
        <w:pStyle w:val="EndNoteBibliography"/>
        <w:rPr>
          <w:noProof/>
        </w:rPr>
      </w:pPr>
      <w:r w:rsidRPr="00EC7D99">
        <w:rPr>
          <w:noProof/>
        </w:rPr>
        <w:t>68</w:t>
      </w:r>
      <w:r w:rsidR="00C13EBB" w:rsidRPr="00EC7D99">
        <w:rPr>
          <w:noProof/>
        </w:rPr>
        <w:t>.</w:t>
      </w:r>
      <w:r w:rsidR="00C13EBB" w:rsidRPr="00EC7D99">
        <w:rPr>
          <w:noProof/>
        </w:rPr>
        <w:tab/>
        <w:t>C Jenkinson, R Fitzpatrick, V Peto, et al. The Parkinson's Disease Questionnaire (PDQ-39): development and validation of a Parkinson's disease summary index score. Age Ageing. 1997;26(5):353-357.</w:t>
      </w:r>
    </w:p>
    <w:p w14:paraId="1B287F52" w14:textId="77777777" w:rsidR="00C13EBB" w:rsidRPr="00EC7D99" w:rsidRDefault="00BC2328" w:rsidP="00DE73FB">
      <w:pPr>
        <w:pStyle w:val="EndNoteBibliography"/>
        <w:rPr>
          <w:noProof/>
        </w:rPr>
      </w:pPr>
      <w:r w:rsidRPr="00EC7D99">
        <w:rPr>
          <w:noProof/>
        </w:rPr>
        <w:t>69</w:t>
      </w:r>
      <w:r w:rsidR="00C13EBB" w:rsidRPr="00EC7D99">
        <w:rPr>
          <w:noProof/>
        </w:rPr>
        <w:t>.</w:t>
      </w:r>
      <w:r w:rsidR="00C13EBB" w:rsidRPr="00EC7D99">
        <w:rPr>
          <w:noProof/>
        </w:rPr>
        <w:tab/>
        <w:t>I Miller and A Cronin-Golomb. Gender differences in Parkinson's disease: Clinical characteristics and cognition. Mov Disord. 2010;25(16):2695-2703. doi: 10.1002/mds.23388. PubMed PMID: PMC3003756.</w:t>
      </w:r>
    </w:p>
    <w:p w14:paraId="7BA92475" w14:textId="77777777" w:rsidR="00C13EBB" w:rsidRPr="00EC7D99" w:rsidRDefault="00BC2328" w:rsidP="00DE73FB">
      <w:pPr>
        <w:pStyle w:val="EndNoteBibliography"/>
        <w:rPr>
          <w:noProof/>
        </w:rPr>
      </w:pPr>
      <w:r w:rsidRPr="00EC7D99">
        <w:rPr>
          <w:noProof/>
        </w:rPr>
        <w:t>70</w:t>
      </w:r>
      <w:r w:rsidR="00C13EBB" w:rsidRPr="00EC7D99">
        <w:rPr>
          <w:noProof/>
        </w:rPr>
        <w:t>.</w:t>
      </w:r>
      <w:r w:rsidR="00C13EBB" w:rsidRPr="00EC7D99">
        <w:rPr>
          <w:noProof/>
        </w:rPr>
        <w:tab/>
        <w:t>CA Haaxma, BR Bloem, GF Borm, et al. Gender differences in Parkinson’s disease. J Neurol Neurosurg Psychiatry. 2007;78(8):819-824. doi: 10.1136/jnnp.2006.103788.</w:t>
      </w:r>
    </w:p>
    <w:p w14:paraId="22E89B23" w14:textId="77777777" w:rsidR="00C13EBB" w:rsidRPr="00EC7D99" w:rsidRDefault="00BC2328" w:rsidP="00DE73FB">
      <w:pPr>
        <w:pStyle w:val="EndNoteBibliography"/>
        <w:rPr>
          <w:noProof/>
        </w:rPr>
      </w:pPr>
      <w:r w:rsidRPr="00EC7D99">
        <w:rPr>
          <w:noProof/>
        </w:rPr>
        <w:t>71</w:t>
      </w:r>
      <w:r w:rsidR="00C13EBB" w:rsidRPr="00EC7D99">
        <w:rPr>
          <w:noProof/>
        </w:rPr>
        <w:t>.</w:t>
      </w:r>
      <w:r w:rsidR="00C13EBB" w:rsidRPr="00EC7D99">
        <w:rPr>
          <w:noProof/>
        </w:rPr>
        <w:tab/>
        <w:t>M Lubomski, RL Rushworth, W Lee, et al. Sex differences in Parkinson’s disease. J Clin Neurosci. 2014;21(9):1503-1506. doi: 10.1016/j.jocn.2013.12.016.</w:t>
      </w:r>
    </w:p>
    <w:p w14:paraId="5094404A" w14:textId="77777777" w:rsidR="00C13EBB" w:rsidRPr="00EC7D99" w:rsidRDefault="00BC2328" w:rsidP="00DE73FB">
      <w:pPr>
        <w:pStyle w:val="EndNoteBibliography"/>
        <w:rPr>
          <w:noProof/>
        </w:rPr>
      </w:pPr>
      <w:r w:rsidRPr="00EC7D99">
        <w:rPr>
          <w:noProof/>
        </w:rPr>
        <w:t>72</w:t>
      </w:r>
      <w:r w:rsidR="00C13EBB" w:rsidRPr="00EC7D99">
        <w:rPr>
          <w:noProof/>
        </w:rPr>
        <w:t>.</w:t>
      </w:r>
      <w:r w:rsidR="00C13EBB" w:rsidRPr="00EC7D99">
        <w:rPr>
          <w:noProof/>
        </w:rPr>
        <w:tab/>
        <w:t>NTL Jiam, C Li and Y Agrawal. Hearing loss and falls: A systematic review and meta</w:t>
      </w:r>
      <w:r w:rsidR="00C13EBB" w:rsidRPr="00EC7D99">
        <w:rPr>
          <w:rFonts w:ascii="Cambria Math" w:hAnsi="Cambria Math" w:cs="Cambria Math"/>
          <w:noProof/>
        </w:rPr>
        <w:t>‐</w:t>
      </w:r>
      <w:r w:rsidR="00C13EBB" w:rsidRPr="00EC7D99">
        <w:rPr>
          <w:noProof/>
        </w:rPr>
        <w:t>analysis. Laryngoscope. 2016;126(11):2587-2596. doi: 10.1002/lary.25927.</w:t>
      </w:r>
    </w:p>
    <w:p w14:paraId="62734806" w14:textId="77777777" w:rsidR="00C13EBB" w:rsidRPr="00EC7D99" w:rsidRDefault="00BC2328" w:rsidP="00DE73FB">
      <w:pPr>
        <w:pStyle w:val="EndNoteBibliography"/>
        <w:rPr>
          <w:noProof/>
        </w:rPr>
      </w:pPr>
      <w:r w:rsidRPr="00EC7D99">
        <w:rPr>
          <w:noProof/>
        </w:rPr>
        <w:t>73</w:t>
      </w:r>
      <w:r w:rsidR="00C13EBB" w:rsidRPr="00EC7D99">
        <w:rPr>
          <w:noProof/>
        </w:rPr>
        <w:t>.</w:t>
      </w:r>
      <w:r w:rsidR="00C13EBB" w:rsidRPr="00EC7D99">
        <w:rPr>
          <w:noProof/>
        </w:rPr>
        <w:tab/>
        <w:t>KF Schulz, DG Altman and D Moher. Consolidated Standards of Reporting Trials (CONSORT) 2010 statement: Updated guidelines for reporting parallel group randomised trials. BMC Med. 2010;8(18):1-9. doi: 10.1186/1741-7015-8-18.</w:t>
      </w:r>
    </w:p>
    <w:p w14:paraId="7B9EF2A8" w14:textId="77777777" w:rsidR="00C13EBB" w:rsidRPr="00EC7D99" w:rsidRDefault="00C13EBB" w:rsidP="00DE73FB">
      <w:pPr>
        <w:spacing w:line="480" w:lineRule="auto"/>
        <w:rPr>
          <w:rFonts w:eastAsia="Times New Roman" w:cs="Times New Roman"/>
          <w:b/>
          <w:bCs/>
          <w:sz w:val="22"/>
          <w:szCs w:val="22"/>
          <w:lang w:val="en-US"/>
        </w:rPr>
        <w:sectPr w:rsidR="00C13EBB" w:rsidRPr="00EC7D99" w:rsidSect="00C07BB8">
          <w:type w:val="continuous"/>
          <w:pgSz w:w="12240" w:h="15840"/>
          <w:pgMar w:top="1440" w:right="1440" w:bottom="1440" w:left="1440" w:header="709" w:footer="708" w:gutter="0"/>
          <w:cols w:space="708"/>
          <w:titlePg/>
          <w:docGrid w:linePitch="360"/>
        </w:sectPr>
      </w:pPr>
    </w:p>
    <w:p w14:paraId="1BD00720" w14:textId="77777777" w:rsidR="00C13EBB" w:rsidRPr="00EC7D99" w:rsidRDefault="00C13EBB" w:rsidP="00DE73FB">
      <w:pPr>
        <w:spacing w:line="480" w:lineRule="auto"/>
        <w:rPr>
          <w:rFonts w:eastAsia="Times New Roman" w:cs="Times New Roman"/>
          <w:b/>
          <w:bCs/>
          <w:sz w:val="22"/>
          <w:szCs w:val="22"/>
          <w:lang w:val="en-US"/>
        </w:rPr>
      </w:pPr>
    </w:p>
    <w:p w14:paraId="16AE2647" w14:textId="77777777" w:rsidR="00C13EBB" w:rsidRPr="00EC7D99" w:rsidRDefault="00C13EBB" w:rsidP="00DE73FB">
      <w:pPr>
        <w:pStyle w:val="EndNoteBibliography"/>
        <w:rPr>
          <w:noProof/>
        </w:rPr>
      </w:pPr>
    </w:p>
    <w:p w14:paraId="31FF287E" w14:textId="77777777" w:rsidR="00C13EBB" w:rsidRPr="00EC7D99" w:rsidRDefault="00C13EBB" w:rsidP="00DE73FB">
      <w:pPr>
        <w:spacing w:line="480" w:lineRule="auto"/>
        <w:jc w:val="center"/>
        <w:rPr>
          <w:rFonts w:cs="Times New Roman"/>
        </w:rPr>
        <w:sectPr w:rsidR="00C13EBB" w:rsidRPr="00EC7D99" w:rsidSect="00C07BB8">
          <w:type w:val="continuous"/>
          <w:pgSz w:w="12240" w:h="15840" w:code="1"/>
          <w:pgMar w:top="1440" w:right="2880" w:bottom="1440" w:left="1440" w:header="709" w:footer="709" w:gutter="0"/>
          <w:cols w:space="708"/>
          <w:titlePg/>
          <w:docGrid w:linePitch="360"/>
        </w:sectPr>
      </w:pPr>
    </w:p>
    <w:p w14:paraId="24C1342E" w14:textId="77777777" w:rsidR="00C13EBB" w:rsidRPr="00EC7D99" w:rsidRDefault="00C13EBB" w:rsidP="00DE73FB">
      <w:pPr>
        <w:spacing w:line="480" w:lineRule="auto"/>
        <w:rPr>
          <w:rFonts w:eastAsia="Calibri" w:cs="Times New Roman"/>
          <w:color w:val="000000"/>
          <w:lang w:eastAsia="en-CA"/>
        </w:rPr>
      </w:pPr>
    </w:p>
    <w:tbl>
      <w:tblPr>
        <w:tblStyle w:val="TableGrid"/>
        <w:tblW w:w="15451" w:type="dxa"/>
        <w:tblInd w:w="-116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92"/>
        <w:gridCol w:w="993"/>
        <w:gridCol w:w="992"/>
        <w:gridCol w:w="851"/>
        <w:gridCol w:w="1134"/>
        <w:gridCol w:w="992"/>
        <w:gridCol w:w="1418"/>
        <w:gridCol w:w="850"/>
        <w:gridCol w:w="992"/>
        <w:gridCol w:w="1134"/>
        <w:gridCol w:w="709"/>
        <w:gridCol w:w="141"/>
        <w:gridCol w:w="1418"/>
        <w:gridCol w:w="1134"/>
        <w:gridCol w:w="1701"/>
      </w:tblGrid>
      <w:tr w:rsidR="00C13EBB" w:rsidRPr="00EC7D99" w14:paraId="26F756AB" w14:textId="77777777" w:rsidTr="00D12A33">
        <w:trPr>
          <w:trHeight w:val="87"/>
        </w:trPr>
        <w:tc>
          <w:tcPr>
            <w:tcW w:w="15451" w:type="dxa"/>
            <w:gridSpan w:val="15"/>
            <w:tcBorders>
              <w:top w:val="nil"/>
            </w:tcBorders>
          </w:tcPr>
          <w:p w14:paraId="22FB8A5A" w14:textId="77777777" w:rsidR="00C13EBB" w:rsidRPr="00EC7D99" w:rsidRDefault="00C13EBB" w:rsidP="00D12A33">
            <w:pPr>
              <w:rPr>
                <w:rFonts w:ascii="Arial" w:eastAsia="Times New Roman" w:hAnsi="Arial" w:cs="Arial"/>
                <w:i/>
                <w:color w:val="000000"/>
                <w:sz w:val="16"/>
                <w:szCs w:val="16"/>
              </w:rPr>
            </w:pPr>
            <w:r w:rsidRPr="00EC7D99">
              <w:rPr>
                <w:rFonts w:ascii="Arial" w:eastAsia="Times New Roman" w:hAnsi="Arial" w:cs="Arial"/>
                <w:i/>
                <w:color w:val="000000"/>
                <w:sz w:val="16"/>
                <w:szCs w:val="16"/>
              </w:rPr>
              <w:t>Table 1. Study characteristics.</w:t>
            </w:r>
          </w:p>
        </w:tc>
      </w:tr>
      <w:tr w:rsidR="00C13EBB" w:rsidRPr="00EC7D99" w14:paraId="7CD17003" w14:textId="77777777" w:rsidTr="00C07BB8">
        <w:trPr>
          <w:trHeight w:val="293"/>
        </w:trPr>
        <w:tc>
          <w:tcPr>
            <w:tcW w:w="992" w:type="dxa"/>
            <w:vMerge w:val="restart"/>
          </w:tcPr>
          <w:p w14:paraId="79C4ABE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Study</w:t>
            </w:r>
          </w:p>
        </w:tc>
        <w:tc>
          <w:tcPr>
            <w:tcW w:w="993" w:type="dxa"/>
            <w:vMerge w:val="restart"/>
          </w:tcPr>
          <w:p w14:paraId="09035ED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Design</w:t>
            </w:r>
          </w:p>
        </w:tc>
        <w:tc>
          <w:tcPr>
            <w:tcW w:w="5387" w:type="dxa"/>
            <w:gridSpan w:val="5"/>
          </w:tcPr>
          <w:p w14:paraId="615B02B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Participants</w:t>
            </w:r>
          </w:p>
        </w:tc>
        <w:tc>
          <w:tcPr>
            <w:tcW w:w="8079" w:type="dxa"/>
            <w:gridSpan w:val="8"/>
          </w:tcPr>
          <w:p w14:paraId="7B8372A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Intervention</w:t>
            </w:r>
          </w:p>
        </w:tc>
      </w:tr>
      <w:tr w:rsidR="00C13EBB" w:rsidRPr="00EC7D99" w14:paraId="0CD1C3D8" w14:textId="77777777" w:rsidTr="0053218F">
        <w:trPr>
          <w:trHeight w:val="1226"/>
        </w:trPr>
        <w:tc>
          <w:tcPr>
            <w:tcW w:w="992" w:type="dxa"/>
            <w:vMerge/>
            <w:hideMark/>
          </w:tcPr>
          <w:p w14:paraId="09C32817" w14:textId="77777777" w:rsidR="00C13EBB" w:rsidRPr="00EC7D99" w:rsidRDefault="00C13EBB" w:rsidP="00D12A33">
            <w:pPr>
              <w:rPr>
                <w:rFonts w:ascii="Arial" w:eastAsia="Times New Roman" w:hAnsi="Arial" w:cs="Arial"/>
                <w:b/>
                <w:color w:val="000000"/>
                <w:sz w:val="16"/>
                <w:szCs w:val="16"/>
              </w:rPr>
            </w:pPr>
          </w:p>
        </w:tc>
        <w:tc>
          <w:tcPr>
            <w:tcW w:w="993" w:type="dxa"/>
            <w:vMerge/>
            <w:hideMark/>
          </w:tcPr>
          <w:p w14:paraId="1EE5BDB8" w14:textId="77777777" w:rsidR="00C13EBB" w:rsidRPr="00EC7D99" w:rsidRDefault="00C13EBB" w:rsidP="00D12A33">
            <w:pPr>
              <w:rPr>
                <w:rFonts w:ascii="Arial" w:eastAsia="Times New Roman" w:hAnsi="Arial" w:cs="Arial"/>
                <w:b/>
                <w:color w:val="000000"/>
                <w:sz w:val="16"/>
                <w:szCs w:val="16"/>
              </w:rPr>
            </w:pPr>
          </w:p>
        </w:tc>
        <w:tc>
          <w:tcPr>
            <w:tcW w:w="992" w:type="dxa"/>
            <w:hideMark/>
          </w:tcPr>
          <w:p w14:paraId="6EABFAA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 xml:space="preserve">N </w:t>
            </w:r>
          </w:p>
        </w:tc>
        <w:tc>
          <w:tcPr>
            <w:tcW w:w="851" w:type="dxa"/>
            <w:hideMark/>
          </w:tcPr>
          <w:p w14:paraId="56BAFAE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Sex (M/F)</w:t>
            </w:r>
          </w:p>
        </w:tc>
        <w:tc>
          <w:tcPr>
            <w:tcW w:w="1134" w:type="dxa"/>
            <w:hideMark/>
          </w:tcPr>
          <w:p w14:paraId="5E3973D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Age (years, m ± SD)</w:t>
            </w:r>
          </w:p>
        </w:tc>
        <w:tc>
          <w:tcPr>
            <w:tcW w:w="992" w:type="dxa"/>
            <w:hideMark/>
          </w:tcPr>
          <w:p w14:paraId="5D1D26B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PD Disease duration (years, m ± SD)</w:t>
            </w:r>
          </w:p>
        </w:tc>
        <w:tc>
          <w:tcPr>
            <w:tcW w:w="1418" w:type="dxa"/>
            <w:hideMark/>
          </w:tcPr>
          <w:p w14:paraId="4262214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PD Disease severity, m ± SD)</w:t>
            </w:r>
          </w:p>
        </w:tc>
        <w:tc>
          <w:tcPr>
            <w:tcW w:w="850" w:type="dxa"/>
            <w:hideMark/>
          </w:tcPr>
          <w:p w14:paraId="49A282F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Setting</w:t>
            </w:r>
          </w:p>
        </w:tc>
        <w:tc>
          <w:tcPr>
            <w:tcW w:w="992" w:type="dxa"/>
          </w:tcPr>
          <w:p w14:paraId="7A8835F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Motor Skill Targeted</w:t>
            </w:r>
          </w:p>
        </w:tc>
        <w:tc>
          <w:tcPr>
            <w:tcW w:w="1134" w:type="dxa"/>
          </w:tcPr>
          <w:p w14:paraId="568A5F6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Treatment Schedule</w:t>
            </w:r>
          </w:p>
        </w:tc>
        <w:tc>
          <w:tcPr>
            <w:tcW w:w="850" w:type="dxa"/>
            <w:gridSpan w:val="2"/>
          </w:tcPr>
          <w:p w14:paraId="157BC2A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Follow-up Assessment (weeks)</w:t>
            </w:r>
          </w:p>
        </w:tc>
        <w:tc>
          <w:tcPr>
            <w:tcW w:w="1418" w:type="dxa"/>
            <w:hideMark/>
          </w:tcPr>
          <w:p w14:paraId="47E6286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Device/ Intervention Description</w:t>
            </w:r>
          </w:p>
        </w:tc>
        <w:tc>
          <w:tcPr>
            <w:tcW w:w="1134" w:type="dxa"/>
            <w:hideMark/>
          </w:tcPr>
          <w:p w14:paraId="63A9AF3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Feedback Modalities</w:t>
            </w:r>
          </w:p>
        </w:tc>
        <w:tc>
          <w:tcPr>
            <w:tcW w:w="1701" w:type="dxa"/>
            <w:hideMark/>
          </w:tcPr>
          <w:p w14:paraId="7FB2E39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Visual Feedback (gamification, content, nature, timing, frequency)</w:t>
            </w:r>
          </w:p>
        </w:tc>
      </w:tr>
      <w:tr w:rsidR="00C13EBB" w:rsidRPr="00EC7D99" w14:paraId="1397766B" w14:textId="77777777" w:rsidTr="00C07BB8">
        <w:trPr>
          <w:trHeight w:val="97"/>
        </w:trPr>
        <w:tc>
          <w:tcPr>
            <w:tcW w:w="15451" w:type="dxa"/>
            <w:gridSpan w:val="15"/>
            <w:shd w:val="clear" w:color="auto" w:fill="FFFFFF" w:themeFill="background1"/>
          </w:tcPr>
          <w:p w14:paraId="6652DA8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Single Group Designs</w:t>
            </w:r>
          </w:p>
        </w:tc>
      </w:tr>
      <w:tr w:rsidR="00C13EBB" w:rsidRPr="00EC7D99" w14:paraId="2DB99BAC" w14:textId="77777777" w:rsidTr="0053218F">
        <w:trPr>
          <w:trHeight w:val="1038"/>
        </w:trPr>
        <w:tc>
          <w:tcPr>
            <w:tcW w:w="992" w:type="dxa"/>
          </w:tcPr>
          <w:p w14:paraId="34A6B1E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lang w:eastAsia="en-CA"/>
              </w:rPr>
              <w:t>dos Santos Mendes, Pompeu [43]</w:t>
            </w:r>
          </w:p>
        </w:tc>
        <w:tc>
          <w:tcPr>
            <w:tcW w:w="993" w:type="dxa"/>
          </w:tcPr>
          <w:p w14:paraId="7A02B16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Pre-post single group design, including comparisons to healthy </w:t>
            </w:r>
          </w:p>
          <w:p w14:paraId="545C536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control group  </w:t>
            </w:r>
          </w:p>
        </w:tc>
        <w:tc>
          <w:tcPr>
            <w:tcW w:w="992" w:type="dxa"/>
          </w:tcPr>
          <w:p w14:paraId="74F9271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155D2A1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11</w:t>
            </w:r>
          </w:p>
        </w:tc>
        <w:tc>
          <w:tcPr>
            <w:tcW w:w="851" w:type="dxa"/>
          </w:tcPr>
          <w:p w14:paraId="3224B01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p>
          <w:p w14:paraId="44832B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NR; </w:t>
            </w:r>
          </w:p>
          <w:p w14:paraId="772412B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Control:</w:t>
            </w:r>
          </w:p>
          <w:p w14:paraId="3DEEAE3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matched for gender</w:t>
            </w:r>
          </w:p>
        </w:tc>
        <w:tc>
          <w:tcPr>
            <w:tcW w:w="1134" w:type="dxa"/>
          </w:tcPr>
          <w:p w14:paraId="089EC64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E2A730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68.6 ± 8.0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68.7 ± 4.1</w:t>
            </w:r>
          </w:p>
        </w:tc>
        <w:tc>
          <w:tcPr>
            <w:tcW w:w="992" w:type="dxa"/>
          </w:tcPr>
          <w:p w14:paraId="4D8AD0F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17E96C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4.7 ± 5.4</w:t>
            </w:r>
          </w:p>
        </w:tc>
        <w:tc>
          <w:tcPr>
            <w:tcW w:w="1418" w:type="dxa"/>
          </w:tcPr>
          <w:p w14:paraId="506A1E7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1.86 ± 0.33</w:t>
            </w:r>
          </w:p>
        </w:tc>
        <w:tc>
          <w:tcPr>
            <w:tcW w:w="850" w:type="dxa"/>
          </w:tcPr>
          <w:p w14:paraId="122079F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02F43A2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6E6689F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30 mins (balance) + 30 mins (exercise), 2 days/week, 7 weeks</w:t>
            </w:r>
          </w:p>
        </w:tc>
        <w:tc>
          <w:tcPr>
            <w:tcW w:w="709" w:type="dxa"/>
          </w:tcPr>
          <w:p w14:paraId="6EC8506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w:t>
            </w:r>
          </w:p>
        </w:tc>
        <w:tc>
          <w:tcPr>
            <w:tcW w:w="1559" w:type="dxa"/>
            <w:gridSpan w:val="2"/>
          </w:tcPr>
          <w:p w14:paraId="15C177A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Wii Fit balance board + global exercise </w:t>
            </w:r>
          </w:p>
          <w:p w14:paraId="3A19163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Static balance, dynamic balance + stationary gait </w:t>
            </w:r>
          </w:p>
        </w:tc>
        <w:tc>
          <w:tcPr>
            <w:tcW w:w="1134" w:type="dxa"/>
          </w:tcPr>
          <w:p w14:paraId="6F762B2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w:t>
            </w:r>
          </w:p>
        </w:tc>
        <w:tc>
          <w:tcPr>
            <w:tcW w:w="1701" w:type="dxa"/>
          </w:tcPr>
          <w:p w14:paraId="2363261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Torso Twist, Single Leg Extension, Rhythm Parade, Table Tilt, Tilt City, Basic Step, Penguin Slide, Obstacle Course, Soccer Heading, Basic Run Plus; KR/KP; real-time on 100% of trials</w:t>
            </w:r>
          </w:p>
        </w:tc>
      </w:tr>
      <w:tr w:rsidR="00C13EBB" w:rsidRPr="00EC7D99" w14:paraId="68ED0F16" w14:textId="77777777" w:rsidTr="0053218F">
        <w:trPr>
          <w:trHeight w:val="1038"/>
        </w:trPr>
        <w:tc>
          <w:tcPr>
            <w:tcW w:w="992" w:type="dxa"/>
          </w:tcPr>
          <w:p w14:paraId="4495E25C"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Esculier, Vaudrin [50]</w:t>
            </w:r>
          </w:p>
        </w:tc>
        <w:tc>
          <w:tcPr>
            <w:tcW w:w="993" w:type="dxa"/>
          </w:tcPr>
          <w:p w14:paraId="4519CB3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Pre-post single group design, including comparisons to healthy </w:t>
            </w:r>
          </w:p>
          <w:p w14:paraId="09952CF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control group  </w:t>
            </w:r>
          </w:p>
        </w:tc>
        <w:tc>
          <w:tcPr>
            <w:tcW w:w="992" w:type="dxa"/>
          </w:tcPr>
          <w:p w14:paraId="3AEA8D2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53358B9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11</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483A420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w:t>
            </w:r>
          </w:p>
        </w:tc>
        <w:tc>
          <w:tcPr>
            <w:tcW w:w="851" w:type="dxa"/>
          </w:tcPr>
          <w:p w14:paraId="7E03FCA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79FF908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5/4</w:t>
            </w:r>
          </w:p>
        </w:tc>
        <w:tc>
          <w:tcPr>
            <w:tcW w:w="1134" w:type="dxa"/>
          </w:tcPr>
          <w:p w14:paraId="5C5804A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7B829E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61.9 ± 11.0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63.5 ± 12.0</w:t>
            </w:r>
          </w:p>
        </w:tc>
        <w:tc>
          <w:tcPr>
            <w:tcW w:w="992" w:type="dxa"/>
          </w:tcPr>
          <w:p w14:paraId="2F2C609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p>
          <w:p w14:paraId="5481E98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8.5 ± 3.6</w:t>
            </w:r>
          </w:p>
        </w:tc>
        <w:tc>
          <w:tcPr>
            <w:tcW w:w="1418" w:type="dxa"/>
          </w:tcPr>
          <w:p w14:paraId="16E9B39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UPDRS (Motor III): 18.4 ± 5.4</w:t>
            </w:r>
          </w:p>
        </w:tc>
        <w:tc>
          <w:tcPr>
            <w:tcW w:w="850" w:type="dxa"/>
          </w:tcPr>
          <w:p w14:paraId="1E9C95B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7828FEE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57C7A0D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40 mins, 3 days/week, 6 weeks</w:t>
            </w:r>
          </w:p>
        </w:tc>
        <w:tc>
          <w:tcPr>
            <w:tcW w:w="709" w:type="dxa"/>
          </w:tcPr>
          <w:p w14:paraId="2071FF2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5055FA4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Fit balance board + Wii Sports</w:t>
            </w:r>
            <w:r w:rsidRPr="00EC7D99">
              <w:rPr>
                <w:rFonts w:ascii="Arial" w:eastAsia="Times New Roman" w:hAnsi="Arial" w:cs="Arial"/>
                <w:color w:val="000000"/>
                <w:sz w:val="16"/>
                <w:szCs w:val="16"/>
              </w:rPr>
              <w:br/>
              <w:t xml:space="preserve">Balance, yoga + aerobics </w:t>
            </w:r>
          </w:p>
        </w:tc>
        <w:tc>
          <w:tcPr>
            <w:tcW w:w="1134" w:type="dxa"/>
          </w:tcPr>
          <w:p w14:paraId="0D6EFC0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 vibro-tactile</w:t>
            </w:r>
          </w:p>
        </w:tc>
        <w:tc>
          <w:tcPr>
            <w:tcW w:w="1701" w:type="dxa"/>
          </w:tcPr>
          <w:p w14:paraId="75C6DBD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Golf, Bowling, Table Tilt, Ski Slalom, Balance Bubble, Ski Jump, Penguin Slide, Deep Breathing, Hula-Hoop; KR/KP; real-time on 100% of trials</w:t>
            </w:r>
          </w:p>
        </w:tc>
      </w:tr>
      <w:tr w:rsidR="00C13EBB" w:rsidRPr="00EC7D99" w14:paraId="07486C51" w14:textId="77777777" w:rsidTr="0053218F">
        <w:trPr>
          <w:trHeight w:val="1038"/>
        </w:trPr>
        <w:tc>
          <w:tcPr>
            <w:tcW w:w="992" w:type="dxa"/>
          </w:tcPr>
          <w:p w14:paraId="6968B78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Herz, Mehta [45]</w:t>
            </w:r>
          </w:p>
        </w:tc>
        <w:tc>
          <w:tcPr>
            <w:tcW w:w="993" w:type="dxa"/>
          </w:tcPr>
          <w:p w14:paraId="7156800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1E7A644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20</w:t>
            </w:r>
          </w:p>
        </w:tc>
        <w:tc>
          <w:tcPr>
            <w:tcW w:w="851" w:type="dxa"/>
          </w:tcPr>
          <w:p w14:paraId="586612F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13/7</w:t>
            </w:r>
          </w:p>
        </w:tc>
        <w:tc>
          <w:tcPr>
            <w:tcW w:w="1134" w:type="dxa"/>
          </w:tcPr>
          <w:p w14:paraId="5EF294C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66.7 ± 7.2</w:t>
            </w:r>
          </w:p>
        </w:tc>
        <w:tc>
          <w:tcPr>
            <w:tcW w:w="992" w:type="dxa"/>
          </w:tcPr>
          <w:p w14:paraId="1B416FB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5.5 ± 4.3</w:t>
            </w:r>
          </w:p>
        </w:tc>
        <w:tc>
          <w:tcPr>
            <w:tcW w:w="1418" w:type="dxa"/>
          </w:tcPr>
          <w:p w14:paraId="386814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2 ± 0</w:t>
            </w:r>
          </w:p>
        </w:tc>
        <w:tc>
          <w:tcPr>
            <w:tcW w:w="850" w:type="dxa"/>
          </w:tcPr>
          <w:p w14:paraId="0BEA3BB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3401E66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Motor (unspecified)</w:t>
            </w:r>
          </w:p>
        </w:tc>
        <w:tc>
          <w:tcPr>
            <w:tcW w:w="1134" w:type="dxa"/>
          </w:tcPr>
          <w:p w14:paraId="47F0A7C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mins, 3 days/week, 4 weeks</w:t>
            </w:r>
          </w:p>
        </w:tc>
        <w:tc>
          <w:tcPr>
            <w:tcW w:w="709" w:type="dxa"/>
          </w:tcPr>
          <w:p w14:paraId="766062A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tcPr>
          <w:p w14:paraId="6AB50B0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Sport</w:t>
            </w:r>
            <w:r w:rsidRPr="00EC7D99">
              <w:rPr>
                <w:rFonts w:ascii="Arial" w:eastAsia="Times New Roman" w:hAnsi="Arial" w:cs="Arial"/>
                <w:color w:val="000000"/>
                <w:sz w:val="16"/>
                <w:szCs w:val="16"/>
              </w:rPr>
              <w:br/>
              <w:t>Balance, coordination + full-body motion training</w:t>
            </w:r>
          </w:p>
        </w:tc>
        <w:tc>
          <w:tcPr>
            <w:tcW w:w="1134" w:type="dxa"/>
          </w:tcPr>
          <w:p w14:paraId="3E745F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 vibro-tactile</w:t>
            </w:r>
          </w:p>
        </w:tc>
        <w:tc>
          <w:tcPr>
            <w:tcW w:w="1701" w:type="dxa"/>
          </w:tcPr>
          <w:p w14:paraId="117D198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Bowling, Tennis, Boxing; KR/KP; real-time on 100% of trials</w:t>
            </w:r>
          </w:p>
        </w:tc>
      </w:tr>
      <w:tr w:rsidR="00C13EBB" w:rsidRPr="00EC7D99" w14:paraId="4D84B337" w14:textId="77777777" w:rsidTr="0053218F">
        <w:trPr>
          <w:trHeight w:val="1038"/>
        </w:trPr>
        <w:tc>
          <w:tcPr>
            <w:tcW w:w="992" w:type="dxa"/>
          </w:tcPr>
          <w:p w14:paraId="00701BF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Holmes, Gu [49]</w:t>
            </w:r>
          </w:p>
        </w:tc>
        <w:tc>
          <w:tcPr>
            <w:tcW w:w="993" w:type="dxa"/>
          </w:tcPr>
          <w:p w14:paraId="67EDC9F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2868FC0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15</w:t>
            </w:r>
          </w:p>
        </w:tc>
        <w:tc>
          <w:tcPr>
            <w:tcW w:w="851" w:type="dxa"/>
          </w:tcPr>
          <w:p w14:paraId="5E99061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7/4</w:t>
            </w:r>
          </w:p>
        </w:tc>
        <w:tc>
          <w:tcPr>
            <w:tcW w:w="1134" w:type="dxa"/>
          </w:tcPr>
          <w:p w14:paraId="2F8C462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63.91 ± 12.05</w:t>
            </w:r>
          </w:p>
        </w:tc>
        <w:tc>
          <w:tcPr>
            <w:tcW w:w="992" w:type="dxa"/>
          </w:tcPr>
          <w:p w14:paraId="336C01D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8.45 ± 3.75</w:t>
            </w:r>
          </w:p>
        </w:tc>
        <w:tc>
          <w:tcPr>
            <w:tcW w:w="1418" w:type="dxa"/>
          </w:tcPr>
          <w:p w14:paraId="518E528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HY: 2.27 ± 0.39 </w:t>
            </w:r>
          </w:p>
          <w:p w14:paraId="5C00768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UPDRS (Motor III): 25.18 ± 11.71</w:t>
            </w:r>
          </w:p>
        </w:tc>
        <w:tc>
          <w:tcPr>
            <w:tcW w:w="850" w:type="dxa"/>
          </w:tcPr>
          <w:p w14:paraId="18CF29E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5E8834A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2A57BB9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30 mins, 3 days/week, 12 weeks</w:t>
            </w:r>
          </w:p>
        </w:tc>
        <w:tc>
          <w:tcPr>
            <w:tcW w:w="709" w:type="dxa"/>
          </w:tcPr>
          <w:p w14:paraId="02C34A3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1902339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Wii Fit balance board </w:t>
            </w:r>
          </w:p>
          <w:p w14:paraId="0480D52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5D7E591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w:t>
            </w:r>
          </w:p>
        </w:tc>
        <w:tc>
          <w:tcPr>
            <w:tcW w:w="1701" w:type="dxa"/>
          </w:tcPr>
          <w:p w14:paraId="532BAC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Balance Bubble, Table Tilt, Soccer Heading, Tightrope Tension, Penguin Slide, Ski Slalom, Snowboard Slalom; KR/KP; real-time on 100% of trials</w:t>
            </w:r>
          </w:p>
        </w:tc>
      </w:tr>
      <w:tr w:rsidR="00C13EBB" w:rsidRPr="00EC7D99" w14:paraId="1EA3F465" w14:textId="77777777" w:rsidTr="0053218F">
        <w:trPr>
          <w:trHeight w:val="1038"/>
        </w:trPr>
        <w:tc>
          <w:tcPr>
            <w:tcW w:w="992" w:type="dxa"/>
          </w:tcPr>
          <w:p w14:paraId="76DC183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Mhatre, Vilares [46]</w:t>
            </w:r>
          </w:p>
          <w:p w14:paraId="749A3B57" w14:textId="77777777" w:rsidR="00C13EBB" w:rsidRPr="00EC7D99" w:rsidRDefault="00C13EBB" w:rsidP="00D12A33">
            <w:pPr>
              <w:rPr>
                <w:rFonts w:ascii="Arial" w:eastAsia="Times New Roman" w:hAnsi="Arial" w:cs="Arial"/>
                <w:b/>
                <w:color w:val="000000"/>
                <w:sz w:val="16"/>
                <w:szCs w:val="16"/>
              </w:rPr>
            </w:pPr>
          </w:p>
        </w:tc>
        <w:tc>
          <w:tcPr>
            <w:tcW w:w="993" w:type="dxa"/>
          </w:tcPr>
          <w:p w14:paraId="5BE3638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3D6E13A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w:t>
            </w:r>
          </w:p>
        </w:tc>
        <w:tc>
          <w:tcPr>
            <w:tcW w:w="851" w:type="dxa"/>
          </w:tcPr>
          <w:p w14:paraId="42F5A15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4/6</w:t>
            </w:r>
          </w:p>
        </w:tc>
        <w:tc>
          <w:tcPr>
            <w:tcW w:w="1134" w:type="dxa"/>
          </w:tcPr>
          <w:p w14:paraId="643ABFF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67.1; Range: 44-91</w:t>
            </w:r>
          </w:p>
        </w:tc>
        <w:tc>
          <w:tcPr>
            <w:tcW w:w="992" w:type="dxa"/>
          </w:tcPr>
          <w:p w14:paraId="3CE29C1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6.7; Range: 1-14</w:t>
            </w:r>
          </w:p>
        </w:tc>
        <w:tc>
          <w:tcPr>
            <w:tcW w:w="1418" w:type="dxa"/>
          </w:tcPr>
          <w:p w14:paraId="5C8B6E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Range: 2.5-3</w:t>
            </w:r>
          </w:p>
        </w:tc>
        <w:tc>
          <w:tcPr>
            <w:tcW w:w="850" w:type="dxa"/>
          </w:tcPr>
          <w:p w14:paraId="6C1E1B8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5A11E1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7B00250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30 mins, 3 days/week, 8 weeks</w:t>
            </w:r>
          </w:p>
        </w:tc>
        <w:tc>
          <w:tcPr>
            <w:tcW w:w="709" w:type="dxa"/>
          </w:tcPr>
          <w:p w14:paraId="4F99286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41AFCD5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Wii Fit balance board </w:t>
            </w:r>
          </w:p>
          <w:p w14:paraId="1066296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3A4E11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w:t>
            </w:r>
          </w:p>
        </w:tc>
        <w:tc>
          <w:tcPr>
            <w:tcW w:w="1701" w:type="dxa"/>
          </w:tcPr>
          <w:p w14:paraId="5FFD975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unspecified marble, balance, bubble games; KR/KP; real-time on 100% of trials</w:t>
            </w:r>
          </w:p>
        </w:tc>
      </w:tr>
      <w:tr w:rsidR="00C13EBB" w:rsidRPr="00EC7D99" w14:paraId="3CF69747" w14:textId="77777777" w:rsidTr="0053218F">
        <w:trPr>
          <w:trHeight w:val="1038"/>
        </w:trPr>
        <w:tc>
          <w:tcPr>
            <w:tcW w:w="992" w:type="dxa"/>
          </w:tcPr>
          <w:p w14:paraId="12E38FF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Zalecki, Gorecka-Mazur [47]</w:t>
            </w:r>
          </w:p>
        </w:tc>
        <w:tc>
          <w:tcPr>
            <w:tcW w:w="993" w:type="dxa"/>
          </w:tcPr>
          <w:p w14:paraId="3F170FA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72C095D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24</w:t>
            </w:r>
          </w:p>
        </w:tc>
        <w:tc>
          <w:tcPr>
            <w:tcW w:w="851" w:type="dxa"/>
          </w:tcPr>
          <w:p w14:paraId="6140617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17/7</w:t>
            </w:r>
          </w:p>
        </w:tc>
        <w:tc>
          <w:tcPr>
            <w:tcW w:w="1134" w:type="dxa"/>
          </w:tcPr>
          <w:p w14:paraId="7DE7294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61.8 ± 1.9</w:t>
            </w:r>
          </w:p>
        </w:tc>
        <w:tc>
          <w:tcPr>
            <w:tcW w:w="992" w:type="dxa"/>
          </w:tcPr>
          <w:p w14:paraId="2826907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9.21 ± 0.94</w:t>
            </w:r>
          </w:p>
        </w:tc>
        <w:tc>
          <w:tcPr>
            <w:tcW w:w="1418" w:type="dxa"/>
          </w:tcPr>
          <w:p w14:paraId="6A80BD6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UPDRS (Motor II): 13.29 ± 0.47 </w:t>
            </w:r>
            <w:r w:rsidRPr="00EC7D99">
              <w:rPr>
                <w:rFonts w:ascii="Arial" w:eastAsia="Times New Roman" w:hAnsi="Arial" w:cs="Arial"/>
                <w:color w:val="000000"/>
                <w:sz w:val="16"/>
                <w:szCs w:val="16"/>
              </w:rPr>
              <w:br/>
              <w:t xml:space="preserve">UPDRS (Motor III): 22.42 ± 0.63 </w:t>
            </w:r>
          </w:p>
        </w:tc>
        <w:tc>
          <w:tcPr>
            <w:tcW w:w="850" w:type="dxa"/>
          </w:tcPr>
          <w:p w14:paraId="67F0188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00E8C3C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7CABD55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20 mins, twice/day, 6 weeks</w:t>
            </w:r>
          </w:p>
        </w:tc>
        <w:tc>
          <w:tcPr>
            <w:tcW w:w="709" w:type="dxa"/>
          </w:tcPr>
          <w:p w14:paraId="6723D32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64686A3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Fit balance board + Wii Sport</w:t>
            </w:r>
            <w:r w:rsidRPr="00EC7D99">
              <w:rPr>
                <w:rFonts w:ascii="Arial" w:eastAsia="Times New Roman" w:hAnsi="Arial" w:cs="Arial"/>
                <w:color w:val="000000"/>
                <w:sz w:val="16"/>
                <w:szCs w:val="16"/>
              </w:rPr>
              <w:br/>
              <w:t>Balance, flexibility, strength + coordination</w:t>
            </w:r>
          </w:p>
        </w:tc>
        <w:tc>
          <w:tcPr>
            <w:tcW w:w="1134" w:type="dxa"/>
          </w:tcPr>
          <w:p w14:paraId="14C095A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Visual, auditory, vibro-tactile </w:t>
            </w:r>
          </w:p>
        </w:tc>
        <w:tc>
          <w:tcPr>
            <w:tcW w:w="1701" w:type="dxa"/>
          </w:tcPr>
          <w:p w14:paraId="3B3A0C4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Ski Slalom, Balance Bubble, unspecified Wii Sport games; KR/KP; real-time on 100% of trials</w:t>
            </w:r>
          </w:p>
        </w:tc>
      </w:tr>
      <w:tr w:rsidR="00C13EBB" w:rsidRPr="00EC7D99" w14:paraId="59BACD8D" w14:textId="77777777" w:rsidTr="0053218F">
        <w:trPr>
          <w:trHeight w:val="1038"/>
        </w:trPr>
        <w:tc>
          <w:tcPr>
            <w:tcW w:w="992" w:type="dxa"/>
            <w:hideMark/>
          </w:tcPr>
          <w:p w14:paraId="5B16463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Athukorala, Jones [44]</w:t>
            </w:r>
          </w:p>
        </w:tc>
        <w:tc>
          <w:tcPr>
            <w:tcW w:w="993" w:type="dxa"/>
            <w:hideMark/>
          </w:tcPr>
          <w:p w14:paraId="008FF05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hideMark/>
          </w:tcPr>
          <w:p w14:paraId="2D03FCF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w:t>
            </w:r>
          </w:p>
        </w:tc>
        <w:tc>
          <w:tcPr>
            <w:tcW w:w="851" w:type="dxa"/>
            <w:hideMark/>
          </w:tcPr>
          <w:p w14:paraId="0D0C74E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7/3</w:t>
            </w:r>
          </w:p>
        </w:tc>
        <w:tc>
          <w:tcPr>
            <w:tcW w:w="1134" w:type="dxa"/>
            <w:hideMark/>
          </w:tcPr>
          <w:p w14:paraId="31ECEFA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67.4 ± 8.6</w:t>
            </w:r>
          </w:p>
        </w:tc>
        <w:tc>
          <w:tcPr>
            <w:tcW w:w="992" w:type="dxa"/>
            <w:hideMark/>
          </w:tcPr>
          <w:p w14:paraId="69B3EC2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6.6 ± 4.0</w:t>
            </w:r>
          </w:p>
        </w:tc>
        <w:tc>
          <w:tcPr>
            <w:tcW w:w="1418" w:type="dxa"/>
            <w:hideMark/>
          </w:tcPr>
          <w:p w14:paraId="3677284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2.7 ± 0.4</w:t>
            </w:r>
          </w:p>
        </w:tc>
        <w:tc>
          <w:tcPr>
            <w:tcW w:w="850" w:type="dxa"/>
            <w:hideMark/>
          </w:tcPr>
          <w:p w14:paraId="14515CC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1060F31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Swallowing</w:t>
            </w:r>
          </w:p>
        </w:tc>
        <w:tc>
          <w:tcPr>
            <w:tcW w:w="1134" w:type="dxa"/>
          </w:tcPr>
          <w:p w14:paraId="725BA1E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mins, 5 days/week, 2 weeks</w:t>
            </w:r>
          </w:p>
        </w:tc>
        <w:tc>
          <w:tcPr>
            <w:tcW w:w="709" w:type="dxa"/>
          </w:tcPr>
          <w:p w14:paraId="405F439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w:t>
            </w:r>
          </w:p>
        </w:tc>
        <w:tc>
          <w:tcPr>
            <w:tcW w:w="1559" w:type="dxa"/>
            <w:gridSpan w:val="2"/>
            <w:hideMark/>
          </w:tcPr>
          <w:p w14:paraId="21B0802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Myopace surface electromyography, submental muscles</w:t>
            </w:r>
          </w:p>
          <w:p w14:paraId="0B31F80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Dry swallows</w:t>
            </w:r>
          </w:p>
        </w:tc>
        <w:tc>
          <w:tcPr>
            <w:tcW w:w="1134" w:type="dxa"/>
            <w:hideMark/>
          </w:tcPr>
          <w:p w14:paraId="1705929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Visual </w:t>
            </w:r>
          </w:p>
        </w:tc>
        <w:tc>
          <w:tcPr>
            <w:tcW w:w="1701" w:type="dxa"/>
            <w:hideMark/>
          </w:tcPr>
          <w:p w14:paraId="4BD5877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Not gamified; signal showing amplitude + timing; KR/KP; real-time on 100% of trials</w:t>
            </w:r>
          </w:p>
        </w:tc>
      </w:tr>
      <w:tr w:rsidR="00C13EBB" w:rsidRPr="00EC7D99" w14:paraId="3DD9B4C3" w14:textId="77777777" w:rsidTr="0053218F">
        <w:trPr>
          <w:trHeight w:val="414"/>
        </w:trPr>
        <w:tc>
          <w:tcPr>
            <w:tcW w:w="992" w:type="dxa"/>
            <w:hideMark/>
          </w:tcPr>
          <w:p w14:paraId="6E6C749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Gonçalves, Leite [48]</w:t>
            </w:r>
          </w:p>
        </w:tc>
        <w:tc>
          <w:tcPr>
            <w:tcW w:w="993" w:type="dxa"/>
            <w:hideMark/>
          </w:tcPr>
          <w:p w14:paraId="51C17A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hideMark/>
          </w:tcPr>
          <w:p w14:paraId="068862C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15</w:t>
            </w:r>
          </w:p>
        </w:tc>
        <w:tc>
          <w:tcPr>
            <w:tcW w:w="851" w:type="dxa"/>
            <w:hideMark/>
          </w:tcPr>
          <w:p w14:paraId="3941113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8/7</w:t>
            </w:r>
          </w:p>
        </w:tc>
        <w:tc>
          <w:tcPr>
            <w:tcW w:w="1134" w:type="dxa"/>
            <w:hideMark/>
          </w:tcPr>
          <w:p w14:paraId="103DCD3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68.70 ± 10.20</w:t>
            </w:r>
          </w:p>
        </w:tc>
        <w:tc>
          <w:tcPr>
            <w:tcW w:w="992" w:type="dxa"/>
            <w:hideMark/>
          </w:tcPr>
          <w:p w14:paraId="2DF74C5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7.30 ± 3.70</w:t>
            </w:r>
          </w:p>
        </w:tc>
        <w:tc>
          <w:tcPr>
            <w:tcW w:w="1418" w:type="dxa"/>
            <w:hideMark/>
          </w:tcPr>
          <w:p w14:paraId="0339764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2.10 ± 0.30</w:t>
            </w:r>
            <w:r w:rsidRPr="00EC7D99">
              <w:rPr>
                <w:rFonts w:ascii="Arial" w:eastAsia="Times New Roman" w:hAnsi="Arial" w:cs="Arial"/>
                <w:color w:val="000000"/>
                <w:sz w:val="16"/>
                <w:szCs w:val="16"/>
              </w:rPr>
              <w:br/>
              <w:t>UPDRS (Motor III): 28.5 ± 9.91</w:t>
            </w:r>
          </w:p>
        </w:tc>
        <w:tc>
          <w:tcPr>
            <w:tcW w:w="850" w:type="dxa"/>
            <w:hideMark/>
          </w:tcPr>
          <w:p w14:paraId="4E7AA01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515C4B3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Gait </w:t>
            </w:r>
          </w:p>
        </w:tc>
        <w:tc>
          <w:tcPr>
            <w:tcW w:w="1134" w:type="dxa"/>
          </w:tcPr>
          <w:p w14:paraId="5CBEDBB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40 mins, 2 days/week, 7 weeks</w:t>
            </w:r>
          </w:p>
        </w:tc>
        <w:tc>
          <w:tcPr>
            <w:tcW w:w="709" w:type="dxa"/>
          </w:tcPr>
          <w:p w14:paraId="2100E28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hideMark/>
          </w:tcPr>
          <w:p w14:paraId="39FF8BC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Fit balance board + exercise</w:t>
            </w:r>
          </w:p>
          <w:p w14:paraId="1BA2C5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 + aerobics</w:t>
            </w:r>
            <w:r w:rsidRPr="00EC7D99">
              <w:rPr>
                <w:rFonts w:ascii="Arial" w:eastAsia="Times New Roman" w:hAnsi="Arial" w:cs="Arial"/>
                <w:color w:val="000000"/>
                <w:sz w:val="16"/>
                <w:szCs w:val="16"/>
              </w:rPr>
              <w:br/>
            </w:r>
          </w:p>
        </w:tc>
        <w:tc>
          <w:tcPr>
            <w:tcW w:w="1134" w:type="dxa"/>
            <w:hideMark/>
          </w:tcPr>
          <w:p w14:paraId="4E7C1EB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w:t>
            </w:r>
          </w:p>
        </w:tc>
        <w:tc>
          <w:tcPr>
            <w:tcW w:w="1701" w:type="dxa"/>
            <w:hideMark/>
          </w:tcPr>
          <w:p w14:paraId="0AB4317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Free Step, Rhythm Step, Slalom Skiing, Jump Skiing, Advanced Skiing, Header, Jump Rope, Segway Circuit, Advanced Circuit, Cycling, Advanced Cycling; KR/KP; real-time on 100% of trials</w:t>
            </w:r>
          </w:p>
        </w:tc>
      </w:tr>
      <w:tr w:rsidR="00C13EBB" w:rsidRPr="00EC7D99" w14:paraId="4BC2FBD8" w14:textId="77777777" w:rsidTr="00C07BB8">
        <w:trPr>
          <w:trHeight w:val="125"/>
        </w:trPr>
        <w:tc>
          <w:tcPr>
            <w:tcW w:w="15451" w:type="dxa"/>
            <w:gridSpan w:val="15"/>
            <w:shd w:val="clear" w:color="auto" w:fill="FFFFFF" w:themeFill="background1"/>
          </w:tcPr>
          <w:p w14:paraId="63F8683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RCT Group Designs</w:t>
            </w:r>
          </w:p>
        </w:tc>
      </w:tr>
      <w:tr w:rsidR="00C13EBB" w:rsidRPr="00EC7D99" w14:paraId="6317831C" w14:textId="77777777" w:rsidTr="0053218F">
        <w:trPr>
          <w:trHeight w:val="144"/>
        </w:trPr>
        <w:tc>
          <w:tcPr>
            <w:tcW w:w="992" w:type="dxa"/>
          </w:tcPr>
          <w:p w14:paraId="12445C9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Stern [57]</w:t>
            </w:r>
          </w:p>
        </w:tc>
        <w:tc>
          <w:tcPr>
            <w:tcW w:w="993" w:type="dxa"/>
          </w:tcPr>
          <w:p w14:paraId="63A105D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336AD68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24B52B26"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10</w:t>
            </w:r>
          </w:p>
        </w:tc>
        <w:tc>
          <w:tcPr>
            <w:tcW w:w="851" w:type="dxa"/>
          </w:tcPr>
          <w:p w14:paraId="5545216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58203D8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4/6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7/3</w:t>
            </w:r>
          </w:p>
        </w:tc>
        <w:tc>
          <w:tcPr>
            <w:tcW w:w="1134" w:type="dxa"/>
          </w:tcPr>
          <w:p w14:paraId="67E4F8D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562C6FE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66.1 ± 6.1</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64.8 ± 7.3</w:t>
            </w:r>
          </w:p>
        </w:tc>
        <w:tc>
          <w:tcPr>
            <w:tcW w:w="992" w:type="dxa"/>
          </w:tcPr>
          <w:p w14:paraId="01CD080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1B9764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2.85 ± 1.55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32FAEF5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4.0 ± 3.32</w:t>
            </w:r>
          </w:p>
        </w:tc>
        <w:tc>
          <w:tcPr>
            <w:tcW w:w="1418" w:type="dxa"/>
          </w:tcPr>
          <w:p w14:paraId="5FBD996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1.50 ± 0.33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1.45 ± 0.37</w:t>
            </w:r>
          </w:p>
        </w:tc>
        <w:tc>
          <w:tcPr>
            <w:tcW w:w="850" w:type="dxa"/>
          </w:tcPr>
          <w:p w14:paraId="07B2DD5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73E2DD3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614CD20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36 mins, 5 days/week, 2 weeks</w:t>
            </w:r>
          </w:p>
        </w:tc>
        <w:tc>
          <w:tcPr>
            <w:tcW w:w="709" w:type="dxa"/>
          </w:tcPr>
          <w:p w14:paraId="5B21608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tcPr>
          <w:p w14:paraId="2A811806"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Limits of stability + sit-to-stand training with feedback via Smart Balance Master System</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rehabilitation (stretching, sitting + standing balance, gait + transfers)</w:t>
            </w:r>
          </w:p>
        </w:tc>
        <w:tc>
          <w:tcPr>
            <w:tcW w:w="1134" w:type="dxa"/>
          </w:tcPr>
          <w:p w14:paraId="3583771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 xml:space="preserve">NR </w:t>
            </w:r>
          </w:p>
        </w:tc>
        <w:tc>
          <w:tcPr>
            <w:tcW w:w="1701" w:type="dxa"/>
          </w:tcPr>
          <w:p w14:paraId="0F7DAB0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NR; related to weight-shifting on force plates; NR: real-time/ terminally, </w:t>
            </w:r>
            <w:r w:rsidRPr="00EC7D99">
              <w:rPr>
                <w:rFonts w:ascii="Arial" w:eastAsia="Times New Roman" w:hAnsi="Arial" w:cs="Arial"/>
                <w:color w:val="000000"/>
                <w:sz w:val="16"/>
                <w:szCs w:val="16"/>
              </w:rPr>
              <w:br/>
              <w:t>frequency NR</w:t>
            </w:r>
          </w:p>
        </w:tc>
      </w:tr>
      <w:tr w:rsidR="00C13EBB" w:rsidRPr="00EC7D99" w14:paraId="17F9A380" w14:textId="77777777" w:rsidTr="0053218F">
        <w:trPr>
          <w:trHeight w:val="144"/>
        </w:trPr>
        <w:tc>
          <w:tcPr>
            <w:tcW w:w="992" w:type="dxa"/>
          </w:tcPr>
          <w:p w14:paraId="180DB94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Yen, Lin [56]</w:t>
            </w:r>
          </w:p>
        </w:tc>
        <w:tc>
          <w:tcPr>
            <w:tcW w:w="993" w:type="dxa"/>
          </w:tcPr>
          <w:p w14:paraId="6189355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67D09AC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8CDCEE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14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14</w:t>
            </w:r>
          </w:p>
        </w:tc>
        <w:tc>
          <w:tcPr>
            <w:tcW w:w="851" w:type="dxa"/>
          </w:tcPr>
          <w:p w14:paraId="1A8675B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35FB1F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12/2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12/2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9/5</w:t>
            </w:r>
          </w:p>
        </w:tc>
        <w:tc>
          <w:tcPr>
            <w:tcW w:w="1134" w:type="dxa"/>
          </w:tcPr>
          <w:p w14:paraId="793C51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1A0C17D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70.4 ± 6.5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70.1 ± 6.9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71.6 ± 5.8</w:t>
            </w:r>
          </w:p>
        </w:tc>
        <w:tc>
          <w:tcPr>
            <w:tcW w:w="992" w:type="dxa"/>
          </w:tcPr>
          <w:p w14:paraId="5CFA6B5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DF4CE3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 2.9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p>
          <w:p w14:paraId="0397ACC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6.1 ± 3.3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p>
          <w:p w14:paraId="6CCC533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7.8 ± 4.2</w:t>
            </w:r>
          </w:p>
        </w:tc>
        <w:tc>
          <w:tcPr>
            <w:tcW w:w="1418" w:type="dxa"/>
          </w:tcPr>
          <w:p w14:paraId="75A147A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 xml:space="preserve">HY: 2.6 ± .5 </w:t>
            </w:r>
            <w:r w:rsidRPr="00EC7D99">
              <w:rPr>
                <w:rFonts w:ascii="Arial" w:eastAsia="Times New Roman" w:hAnsi="Arial" w:cs="Arial"/>
                <w:color w:val="000000"/>
                <w:sz w:val="16"/>
                <w:szCs w:val="16"/>
              </w:rPr>
              <w:br/>
              <w:t xml:space="preserve">UPDRS (Motor III): 15.1 ± 3.2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2.4 ± 0.5</w:t>
            </w:r>
            <w:r w:rsidRPr="00EC7D99">
              <w:rPr>
                <w:rFonts w:ascii="Arial" w:eastAsia="Times New Roman" w:hAnsi="Arial" w:cs="Arial"/>
                <w:color w:val="000000"/>
                <w:sz w:val="16"/>
                <w:szCs w:val="16"/>
              </w:rPr>
              <w:br/>
              <w:t>UPDRS (Motor III): 15.9 ± 2.4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2.6 ± 0.4</w:t>
            </w:r>
            <w:r w:rsidRPr="00EC7D99">
              <w:rPr>
                <w:rFonts w:ascii="Arial" w:eastAsia="Times New Roman" w:hAnsi="Arial" w:cs="Arial"/>
                <w:color w:val="000000"/>
                <w:sz w:val="16"/>
                <w:szCs w:val="16"/>
              </w:rPr>
              <w:br/>
              <w:t xml:space="preserve">UPDRS (Motor III): 16.8  ± 5.5 </w:t>
            </w:r>
          </w:p>
        </w:tc>
        <w:tc>
          <w:tcPr>
            <w:tcW w:w="850" w:type="dxa"/>
          </w:tcPr>
          <w:p w14:paraId="474700C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09F598C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2DF3C76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 mins (warm-up) + 20 mins (training), 2 days/week, 6 weeks</w:t>
            </w:r>
          </w:p>
        </w:tc>
        <w:tc>
          <w:tcPr>
            <w:tcW w:w="709" w:type="dxa"/>
          </w:tcPr>
          <w:p w14:paraId="7C3515C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tcPr>
          <w:p w14:paraId="1B9153F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Warm-up exercises + dynamic balance training with virtual reality balance training system (Cycling + Health Center of Taichung, Taiwan)</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Conventional balance training (static stance, dynamic weight shifting, external perturbations)</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No training</w:t>
            </w:r>
          </w:p>
        </w:tc>
        <w:tc>
          <w:tcPr>
            <w:tcW w:w="1134" w:type="dxa"/>
          </w:tcPr>
          <w:p w14:paraId="314E776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br/>
              <w:t>NR</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br/>
              <w:t>None</w:t>
            </w:r>
          </w:p>
        </w:tc>
        <w:tc>
          <w:tcPr>
            <w:tcW w:w="1701" w:type="dxa"/>
          </w:tcPr>
          <w:p w14:paraId="2A479A5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3D Ball-Rolling Game, Indoor-outdoor Virtual Activities; KR/KP; real-time on 100% of trials</w:t>
            </w:r>
          </w:p>
        </w:tc>
      </w:tr>
      <w:tr w:rsidR="00C13EBB" w:rsidRPr="00EC7D99" w14:paraId="0EF72498" w14:textId="77777777" w:rsidTr="0053218F">
        <w:trPr>
          <w:trHeight w:val="144"/>
        </w:trPr>
        <w:tc>
          <w:tcPr>
            <w:tcW w:w="992" w:type="dxa"/>
          </w:tcPr>
          <w:p w14:paraId="5F02247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Pompeu, dos Santos Mendes [42]</w:t>
            </w:r>
          </w:p>
        </w:tc>
        <w:tc>
          <w:tcPr>
            <w:tcW w:w="993" w:type="dxa"/>
          </w:tcPr>
          <w:p w14:paraId="703CCCB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6786046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1B64F7A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16</w:t>
            </w:r>
          </w:p>
        </w:tc>
        <w:tc>
          <w:tcPr>
            <w:tcW w:w="851" w:type="dxa"/>
          </w:tcPr>
          <w:p w14:paraId="0B7DC00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17/15 (NR by group)</w:t>
            </w:r>
          </w:p>
        </w:tc>
        <w:tc>
          <w:tcPr>
            <w:tcW w:w="1134" w:type="dxa"/>
          </w:tcPr>
          <w:p w14:paraId="723B7CE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F3410B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66.2 ± 8.3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68.6 ± 8.0</w:t>
            </w:r>
          </w:p>
        </w:tc>
        <w:tc>
          <w:tcPr>
            <w:tcW w:w="992" w:type="dxa"/>
          </w:tcPr>
          <w:p w14:paraId="3B7167E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8AB469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5.2 ± 3.4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2DC08BA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4.7 ± 5.4</w:t>
            </w:r>
          </w:p>
        </w:tc>
        <w:tc>
          <w:tcPr>
            <w:tcW w:w="1418" w:type="dxa"/>
          </w:tcPr>
          <w:p w14:paraId="4EBACD0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HY 1.7 ± 0.5 (NR by group)</w:t>
            </w:r>
          </w:p>
        </w:tc>
        <w:tc>
          <w:tcPr>
            <w:tcW w:w="850" w:type="dxa"/>
          </w:tcPr>
          <w:p w14:paraId="6F5952D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50CB401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2066B1A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30 mins (balance) + 30 mins (exercise), 2 days/week, 7 weeks</w:t>
            </w:r>
          </w:p>
        </w:tc>
        <w:tc>
          <w:tcPr>
            <w:tcW w:w="709" w:type="dxa"/>
          </w:tcPr>
          <w:p w14:paraId="1EBA6B2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w:t>
            </w:r>
          </w:p>
        </w:tc>
        <w:tc>
          <w:tcPr>
            <w:tcW w:w="1559" w:type="dxa"/>
            <w:gridSpan w:val="2"/>
          </w:tcPr>
          <w:p w14:paraId="70AE5B76"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Static balance, dynamic balance + stationary gait training with Wii Fit balance board + global exercise</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training (static balance, dynamic balance + stationary gait) + global exercise</w:t>
            </w:r>
          </w:p>
        </w:tc>
        <w:tc>
          <w:tcPr>
            <w:tcW w:w="1134" w:type="dxa"/>
          </w:tcPr>
          <w:p w14:paraId="6BF7ADF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 auditory</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None</w:t>
            </w:r>
          </w:p>
        </w:tc>
        <w:tc>
          <w:tcPr>
            <w:tcW w:w="1701" w:type="dxa"/>
          </w:tcPr>
          <w:p w14:paraId="17D9860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Torso Twist, Single Leg Extension, Rhythm Parade, Table Tilt, Tilt City, Basic Step, Penguin Slide, Obstacle Course, Soccer Heading, Basic Run Plus; KR/KP; real-time on 100% of trials</w:t>
            </w:r>
          </w:p>
        </w:tc>
      </w:tr>
      <w:tr w:rsidR="00C13EBB" w:rsidRPr="00EC7D99" w14:paraId="5D20296C" w14:textId="77777777" w:rsidTr="0053218F">
        <w:trPr>
          <w:trHeight w:val="144"/>
        </w:trPr>
        <w:tc>
          <w:tcPr>
            <w:tcW w:w="992" w:type="dxa"/>
          </w:tcPr>
          <w:p w14:paraId="3A43863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Pedreira, Prazeres [54]</w:t>
            </w:r>
          </w:p>
        </w:tc>
        <w:tc>
          <w:tcPr>
            <w:tcW w:w="993" w:type="dxa"/>
          </w:tcPr>
          <w:p w14:paraId="4B8142F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38F242F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4100AE2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15</w:t>
            </w:r>
          </w:p>
        </w:tc>
        <w:tc>
          <w:tcPr>
            <w:tcW w:w="851" w:type="dxa"/>
          </w:tcPr>
          <w:p w14:paraId="52265B5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248A3F5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11/5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11/4</w:t>
            </w:r>
          </w:p>
        </w:tc>
        <w:tc>
          <w:tcPr>
            <w:tcW w:w="1134" w:type="dxa"/>
          </w:tcPr>
          <w:p w14:paraId="66ADC62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33987BB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61.1 ± 8.2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66.2 ± 8.5</w:t>
            </w:r>
          </w:p>
        </w:tc>
        <w:tc>
          <w:tcPr>
            <w:tcW w:w="992" w:type="dxa"/>
          </w:tcPr>
          <w:p w14:paraId="7BCE433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2F56FD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8.6 ± 4.6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0CD17E3B"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7.3 ± 6.6</w:t>
            </w:r>
          </w:p>
        </w:tc>
        <w:tc>
          <w:tcPr>
            <w:tcW w:w="1418" w:type="dxa"/>
          </w:tcPr>
          <w:p w14:paraId="5BE4441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HY: 2.5 ± 0.6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2.4 ± 0.7</w:t>
            </w:r>
          </w:p>
        </w:tc>
        <w:tc>
          <w:tcPr>
            <w:tcW w:w="850" w:type="dxa"/>
          </w:tcPr>
          <w:p w14:paraId="5F15426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4DA25D8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Motor (unspecified)</w:t>
            </w:r>
          </w:p>
        </w:tc>
        <w:tc>
          <w:tcPr>
            <w:tcW w:w="1134" w:type="dxa"/>
          </w:tcPr>
          <w:p w14:paraId="68EA45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 mins (warm-up) + 40 mins (exercise), 3 days/week, 4 weeks</w:t>
            </w:r>
          </w:p>
        </w:tc>
        <w:tc>
          <w:tcPr>
            <w:tcW w:w="709" w:type="dxa"/>
          </w:tcPr>
          <w:p w14:paraId="7E783FD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663547B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Warm-up exercise + exercise training with Wii (unspecified)</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Warm-up exercise + traditional physical therapy</w:t>
            </w:r>
          </w:p>
        </w:tc>
        <w:tc>
          <w:tcPr>
            <w:tcW w:w="1134" w:type="dxa"/>
          </w:tcPr>
          <w:p w14:paraId="250CE4A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 auditory</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NR</w:t>
            </w:r>
          </w:p>
        </w:tc>
        <w:tc>
          <w:tcPr>
            <w:tcW w:w="1701" w:type="dxa"/>
          </w:tcPr>
          <w:p w14:paraId="7AAD158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Games NR; KR/KP; real-time on 100% of trials</w:t>
            </w:r>
          </w:p>
        </w:tc>
      </w:tr>
      <w:tr w:rsidR="00C13EBB" w:rsidRPr="00EC7D99" w14:paraId="73A23EF9" w14:textId="77777777" w:rsidTr="0053218F">
        <w:trPr>
          <w:trHeight w:val="144"/>
        </w:trPr>
        <w:tc>
          <w:tcPr>
            <w:tcW w:w="992" w:type="dxa"/>
          </w:tcPr>
          <w:p w14:paraId="35E1E96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Shen and Mak [59]</w:t>
            </w:r>
          </w:p>
        </w:tc>
        <w:tc>
          <w:tcPr>
            <w:tcW w:w="993" w:type="dxa"/>
          </w:tcPr>
          <w:p w14:paraId="36C4E89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3B1BDB9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6C34D6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26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25</w:t>
            </w:r>
          </w:p>
        </w:tc>
        <w:tc>
          <w:tcPr>
            <w:tcW w:w="851" w:type="dxa"/>
          </w:tcPr>
          <w:p w14:paraId="7D7D285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5811C6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3/9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12/11</w:t>
            </w:r>
          </w:p>
        </w:tc>
        <w:tc>
          <w:tcPr>
            <w:tcW w:w="1134" w:type="dxa"/>
          </w:tcPr>
          <w:p w14:paraId="052B2E8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4A4B0BB"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63.3 ± 8.0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65.3 ± 8.5</w:t>
            </w:r>
          </w:p>
        </w:tc>
        <w:tc>
          <w:tcPr>
            <w:tcW w:w="992" w:type="dxa"/>
          </w:tcPr>
          <w:p w14:paraId="1D1CDEE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77A056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8.1 ± 4.3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5D226B3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6.6 ± 4.0</w:t>
            </w:r>
          </w:p>
        </w:tc>
        <w:tc>
          <w:tcPr>
            <w:tcW w:w="1418" w:type="dxa"/>
          </w:tcPr>
          <w:p w14:paraId="0C79438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2.4 ± 0.5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HY:2.5 ± 0.5</w:t>
            </w:r>
          </w:p>
        </w:tc>
        <w:tc>
          <w:tcPr>
            <w:tcW w:w="850" w:type="dxa"/>
          </w:tcPr>
          <w:p w14:paraId="231F69C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Lab-oratory / home </w:t>
            </w:r>
          </w:p>
        </w:tc>
        <w:tc>
          <w:tcPr>
            <w:tcW w:w="992" w:type="dxa"/>
          </w:tcPr>
          <w:p w14:paraId="0728EC4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 gait</w:t>
            </w:r>
          </w:p>
        </w:tc>
        <w:tc>
          <w:tcPr>
            <w:tcW w:w="1134" w:type="dxa"/>
          </w:tcPr>
          <w:p w14:paraId="47FE21F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Lab: 60 mins, 3 days/week, 8 weeks</w:t>
            </w:r>
          </w:p>
          <w:p w14:paraId="7B6A9C7B" w14:textId="77777777" w:rsidR="00C13EBB" w:rsidRPr="00EC7D99" w:rsidRDefault="00C13EBB" w:rsidP="00D12A33">
            <w:pPr>
              <w:rPr>
                <w:rFonts w:ascii="Arial" w:eastAsia="Times New Roman" w:hAnsi="Arial" w:cs="Arial"/>
                <w:color w:val="000000"/>
                <w:sz w:val="16"/>
                <w:szCs w:val="16"/>
              </w:rPr>
            </w:pPr>
          </w:p>
          <w:p w14:paraId="4402160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 20 mins, 5 days/week, 4 weeks</w:t>
            </w:r>
          </w:p>
        </w:tc>
        <w:tc>
          <w:tcPr>
            <w:tcW w:w="709" w:type="dxa"/>
          </w:tcPr>
          <w:p w14:paraId="1F1370B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12; 52</w:t>
            </w:r>
          </w:p>
        </w:tc>
        <w:tc>
          <w:tcPr>
            <w:tcW w:w="1559" w:type="dxa"/>
            <w:gridSpan w:val="2"/>
          </w:tcPr>
          <w:p w14:paraId="47D71CF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1) Stepping + reaching exercise with computerized dancing system + Smart-Equitest Balance Master</w:t>
            </w:r>
            <w:r w:rsidRPr="00EC7D99">
              <w:rPr>
                <w:rFonts w:ascii="Arial" w:eastAsia="Times New Roman" w:hAnsi="Arial" w:cs="Arial"/>
                <w:color w:val="000000"/>
                <w:sz w:val="16"/>
                <w:szCs w:val="16"/>
              </w:rPr>
              <w:br/>
              <w:t>2) Training for response to perturbation on treadmill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Lower limb strength training</w:t>
            </w:r>
            <w:r w:rsidRPr="00EC7D99">
              <w:rPr>
                <w:rFonts w:ascii="Arial" w:eastAsia="Times New Roman" w:hAnsi="Arial" w:cs="Arial"/>
                <w:color w:val="000000"/>
                <w:sz w:val="16"/>
                <w:szCs w:val="16"/>
              </w:rPr>
              <w:br/>
              <w:t>Session length: 60 mins (lab); 20 mins (home)</w:t>
            </w:r>
          </w:p>
        </w:tc>
        <w:tc>
          <w:tcPr>
            <w:tcW w:w="1134" w:type="dxa"/>
          </w:tcPr>
          <w:p w14:paraId="227E90A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 verbal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NR</w:t>
            </w:r>
          </w:p>
        </w:tc>
        <w:tc>
          <w:tcPr>
            <w:tcW w:w="1701" w:type="dxa"/>
          </w:tcPr>
          <w:p w14:paraId="6C7F887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Not gamified; accuracy of timing + amplitude of step + reaching; KR; terminally on 100% of trials</w:t>
            </w:r>
          </w:p>
        </w:tc>
      </w:tr>
      <w:tr w:rsidR="00C13EBB" w:rsidRPr="00EC7D99" w14:paraId="745BD2E7" w14:textId="77777777" w:rsidTr="0053218F">
        <w:trPr>
          <w:trHeight w:val="144"/>
        </w:trPr>
        <w:tc>
          <w:tcPr>
            <w:tcW w:w="992" w:type="dxa"/>
          </w:tcPr>
          <w:p w14:paraId="3256D44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van den Heuvel, Kwakkel [58]</w:t>
            </w:r>
          </w:p>
        </w:tc>
        <w:tc>
          <w:tcPr>
            <w:tcW w:w="993" w:type="dxa"/>
          </w:tcPr>
          <w:p w14:paraId="4819E74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24CA7FF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079AD84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17</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16</w:t>
            </w:r>
          </w:p>
        </w:tc>
        <w:tc>
          <w:tcPr>
            <w:tcW w:w="851" w:type="dxa"/>
          </w:tcPr>
          <w:p w14:paraId="5A68F21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71B45D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12/5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8/8</w:t>
            </w:r>
          </w:p>
        </w:tc>
        <w:tc>
          <w:tcPr>
            <w:tcW w:w="1134" w:type="dxa"/>
          </w:tcPr>
          <w:p w14:paraId="3C528CB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5ED12E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66.3 ± 6.39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68.8  ± 9.6</w:t>
            </w:r>
          </w:p>
        </w:tc>
        <w:tc>
          <w:tcPr>
            <w:tcW w:w="992" w:type="dxa"/>
          </w:tcPr>
          <w:p w14:paraId="32FA501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7DFD3C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Median: 9, IQR: 9.25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Median: 8.8, IQR: 9</w:t>
            </w:r>
          </w:p>
        </w:tc>
        <w:tc>
          <w:tcPr>
            <w:tcW w:w="1418" w:type="dxa"/>
          </w:tcPr>
          <w:p w14:paraId="70CC6D6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HY: Median: 2.5, IQR: 1.5</w:t>
            </w:r>
            <w:r w:rsidRPr="00EC7D99">
              <w:rPr>
                <w:rFonts w:ascii="Arial" w:eastAsia="Times New Roman" w:hAnsi="Arial" w:cs="Arial"/>
                <w:color w:val="000000"/>
                <w:sz w:val="16"/>
                <w:szCs w:val="16"/>
              </w:rPr>
              <w:br/>
              <w:t>UPDRS (Motor III): Median: 30.8, IQR: 21.5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Median: 2.5, IQR: 1.0</w:t>
            </w:r>
            <w:r w:rsidRPr="00EC7D99">
              <w:rPr>
                <w:rFonts w:ascii="Arial" w:eastAsia="Times New Roman" w:hAnsi="Arial" w:cs="Arial"/>
                <w:color w:val="000000"/>
                <w:sz w:val="16"/>
                <w:szCs w:val="16"/>
              </w:rPr>
              <w:br/>
              <w:t>UPDRS (Motor III): Median: 28.0, IQR: 17.88</w:t>
            </w:r>
          </w:p>
        </w:tc>
        <w:tc>
          <w:tcPr>
            <w:tcW w:w="850" w:type="dxa"/>
          </w:tcPr>
          <w:p w14:paraId="6D8F03A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228B1C4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4DC842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mins, 2 days/week, 5 weeks</w:t>
            </w:r>
          </w:p>
        </w:tc>
        <w:tc>
          <w:tcPr>
            <w:tcW w:w="709" w:type="dxa"/>
          </w:tcPr>
          <w:p w14:paraId="16A76FB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w:t>
            </w:r>
          </w:p>
        </w:tc>
        <w:tc>
          <w:tcPr>
            <w:tcW w:w="1559" w:type="dxa"/>
            <w:gridSpan w:val="2"/>
          </w:tcPr>
          <w:p w14:paraId="307659B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Standing + dynamic training with feedback via forceplate + inertial sensors in custom software</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Sitting + dynamic training</w:t>
            </w:r>
            <w:r w:rsidRPr="00EC7D99">
              <w:rPr>
                <w:rFonts w:ascii="Arial" w:eastAsia="Times New Roman" w:hAnsi="Arial" w:cs="Arial"/>
                <w:color w:val="000000"/>
                <w:sz w:val="16"/>
                <w:szCs w:val="16"/>
              </w:rPr>
              <w:br/>
            </w:r>
          </w:p>
        </w:tc>
        <w:tc>
          <w:tcPr>
            <w:tcW w:w="1134" w:type="dxa"/>
          </w:tcPr>
          <w:p w14:paraId="475D645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 xml:space="preserve">NR </w:t>
            </w:r>
          </w:p>
        </w:tc>
        <w:tc>
          <w:tcPr>
            <w:tcW w:w="1701" w:type="dxa"/>
          </w:tcPr>
          <w:p w14:paraId="64DFAF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game corresponded to user's foot placement + upper leg orientation during body lean, stepping + sit-to-stand movement; KR/KP; real -time on 100% of trials</w:t>
            </w:r>
          </w:p>
        </w:tc>
      </w:tr>
      <w:tr w:rsidR="00C13EBB" w:rsidRPr="00EC7D99" w14:paraId="7C3AA461" w14:textId="77777777" w:rsidTr="0053218F">
        <w:trPr>
          <w:trHeight w:val="144"/>
        </w:trPr>
        <w:tc>
          <w:tcPr>
            <w:tcW w:w="992" w:type="dxa"/>
            <w:hideMark/>
          </w:tcPr>
          <w:p w14:paraId="01B6E43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Byl, Zhang [51]</w:t>
            </w:r>
          </w:p>
        </w:tc>
        <w:tc>
          <w:tcPr>
            <w:tcW w:w="993" w:type="dxa"/>
            <w:hideMark/>
          </w:tcPr>
          <w:p w14:paraId="605E45B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1BA60DC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7</w:t>
            </w:r>
            <w:r w:rsidRPr="00EC7D99">
              <w:rPr>
                <w:rFonts w:ascii="Arial" w:eastAsia="Times New Roman" w:hAnsi="Arial" w:cs="Arial"/>
                <w:color w:val="000000"/>
                <w:sz w:val="16"/>
                <w:szCs w:val="16"/>
              </w:rPr>
              <w:br/>
              <w:t>Stroke: 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5</w:t>
            </w:r>
            <w:r w:rsidRPr="00EC7D99">
              <w:rPr>
                <w:rFonts w:ascii="Arial" w:eastAsia="Times New Roman" w:hAnsi="Arial" w:cs="Arial"/>
                <w:color w:val="000000"/>
                <w:sz w:val="16"/>
                <w:szCs w:val="16"/>
              </w:rPr>
              <w:br/>
              <w:t>Stroke: 7</w:t>
            </w:r>
          </w:p>
        </w:tc>
        <w:tc>
          <w:tcPr>
            <w:tcW w:w="851" w:type="dxa"/>
            <w:hideMark/>
          </w:tcPr>
          <w:p w14:paraId="4C6B328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3/4</w:t>
            </w:r>
            <w:r w:rsidRPr="00EC7D99">
              <w:rPr>
                <w:rFonts w:ascii="Arial" w:eastAsia="Times New Roman" w:hAnsi="Arial" w:cs="Arial"/>
                <w:color w:val="000000"/>
                <w:sz w:val="16"/>
                <w:szCs w:val="16"/>
              </w:rPr>
              <w:br/>
              <w:t>Stroke: 3/2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4/1</w:t>
            </w:r>
            <w:r w:rsidRPr="00EC7D99">
              <w:rPr>
                <w:rFonts w:ascii="Arial" w:eastAsia="Times New Roman" w:hAnsi="Arial" w:cs="Arial"/>
                <w:color w:val="000000"/>
                <w:sz w:val="16"/>
                <w:szCs w:val="16"/>
              </w:rPr>
              <w:br/>
              <w:t>Stroke: 2/5</w:t>
            </w:r>
          </w:p>
        </w:tc>
        <w:tc>
          <w:tcPr>
            <w:tcW w:w="1134" w:type="dxa"/>
            <w:hideMark/>
          </w:tcPr>
          <w:p w14:paraId="477F525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68.5 ± 3.6</w:t>
            </w:r>
            <w:r w:rsidRPr="00EC7D99">
              <w:rPr>
                <w:rFonts w:ascii="Arial" w:eastAsia="Times New Roman" w:hAnsi="Arial" w:cs="Arial"/>
                <w:color w:val="000000"/>
                <w:sz w:val="16"/>
                <w:szCs w:val="16"/>
              </w:rPr>
              <w:br/>
              <w:t>Stroke: 66.2 ± 5.0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70  ± 2.9</w:t>
            </w:r>
            <w:r w:rsidRPr="00EC7D99">
              <w:rPr>
                <w:rFonts w:ascii="Arial" w:eastAsia="Times New Roman" w:hAnsi="Arial" w:cs="Arial"/>
                <w:color w:val="000000"/>
                <w:sz w:val="16"/>
                <w:szCs w:val="16"/>
              </w:rPr>
              <w:br/>
              <w:t>Stroke: 60.8 ± 5.4</w:t>
            </w:r>
          </w:p>
        </w:tc>
        <w:tc>
          <w:tcPr>
            <w:tcW w:w="992" w:type="dxa"/>
            <w:hideMark/>
          </w:tcPr>
          <w:p w14:paraId="7A85DA5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8.7 ± 4.4</w:t>
            </w:r>
            <w:r w:rsidRPr="00EC7D99">
              <w:rPr>
                <w:rFonts w:ascii="Arial" w:eastAsia="Times New Roman" w:hAnsi="Arial" w:cs="Arial"/>
                <w:color w:val="000000"/>
                <w:sz w:val="16"/>
                <w:szCs w:val="16"/>
              </w:rPr>
              <w:br/>
              <w:t>Stroke: 10.4 ± 7.8</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11.6 ± 5.9</w:t>
            </w:r>
            <w:r w:rsidRPr="00EC7D99">
              <w:rPr>
                <w:rFonts w:ascii="Arial" w:eastAsia="Times New Roman" w:hAnsi="Arial" w:cs="Arial"/>
                <w:color w:val="000000"/>
                <w:sz w:val="16"/>
                <w:szCs w:val="16"/>
              </w:rPr>
              <w:br/>
              <w:t>Stroke: 6.6 ± 3.6</w:t>
            </w:r>
          </w:p>
        </w:tc>
        <w:tc>
          <w:tcPr>
            <w:tcW w:w="1418" w:type="dxa"/>
            <w:hideMark/>
          </w:tcPr>
          <w:p w14:paraId="7C174C6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HY: Range: 1-3</w:t>
            </w:r>
            <w:r w:rsidRPr="00EC7D99">
              <w:rPr>
                <w:rFonts w:ascii="Arial" w:eastAsia="Times New Roman" w:hAnsi="Arial" w:cs="Arial"/>
                <w:color w:val="000000"/>
                <w:sz w:val="16"/>
                <w:szCs w:val="16"/>
              </w:rPr>
              <w:br/>
              <w:t>Stroke: Fugl-Meyer: 14.5 ± 5.6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HY: Range: 1-3</w:t>
            </w:r>
            <w:r w:rsidRPr="00EC7D99">
              <w:rPr>
                <w:rFonts w:ascii="Arial" w:eastAsia="Times New Roman" w:hAnsi="Arial" w:cs="Arial"/>
                <w:color w:val="000000"/>
                <w:sz w:val="16"/>
                <w:szCs w:val="16"/>
              </w:rPr>
              <w:br/>
              <w:t>Stroke: 14.9 ± 5.3</w:t>
            </w:r>
          </w:p>
        </w:tc>
        <w:tc>
          <w:tcPr>
            <w:tcW w:w="850" w:type="dxa"/>
            <w:hideMark/>
          </w:tcPr>
          <w:p w14:paraId="24DAAF7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748A03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Gait </w:t>
            </w:r>
          </w:p>
        </w:tc>
        <w:tc>
          <w:tcPr>
            <w:tcW w:w="1134" w:type="dxa"/>
          </w:tcPr>
          <w:p w14:paraId="6DB82A1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90 mins, 12 session, 6-8 weeks</w:t>
            </w:r>
          </w:p>
        </w:tc>
        <w:tc>
          <w:tcPr>
            <w:tcW w:w="709" w:type="dxa"/>
          </w:tcPr>
          <w:p w14:paraId="4D32BE3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hideMark/>
          </w:tcPr>
          <w:p w14:paraId="2EB74CE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Smart shoes with pressure sensors + smart pants with joint angle sensors</w:t>
            </w:r>
          </w:p>
          <w:p w14:paraId="490EBB8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Gait</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Gait training</w:t>
            </w:r>
            <w:r w:rsidRPr="00EC7D99">
              <w:rPr>
                <w:rFonts w:ascii="Arial" w:eastAsia="Times New Roman" w:hAnsi="Arial" w:cs="Arial"/>
                <w:color w:val="000000"/>
                <w:sz w:val="16"/>
                <w:szCs w:val="16"/>
              </w:rPr>
              <w:br/>
            </w:r>
          </w:p>
        </w:tc>
        <w:tc>
          <w:tcPr>
            <w:tcW w:w="1134" w:type="dxa"/>
            <w:hideMark/>
          </w:tcPr>
          <w:p w14:paraId="553CC99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 xml:space="preserve">NR </w:t>
            </w:r>
          </w:p>
        </w:tc>
        <w:tc>
          <w:tcPr>
            <w:tcW w:w="1701" w:type="dxa"/>
            <w:hideMark/>
          </w:tcPr>
          <w:p w14:paraId="180E6B6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Not gamified; signal showing timing, location + amplitude of ground reaction forces; KP; delayed schedule "after a few walking trials" for 1/3 of training session</w:t>
            </w:r>
          </w:p>
        </w:tc>
      </w:tr>
      <w:tr w:rsidR="00C13EBB" w:rsidRPr="00EC7D99" w14:paraId="30EF3245" w14:textId="77777777" w:rsidTr="0053218F">
        <w:trPr>
          <w:trHeight w:val="1876"/>
        </w:trPr>
        <w:tc>
          <w:tcPr>
            <w:tcW w:w="992" w:type="dxa"/>
            <w:hideMark/>
          </w:tcPr>
          <w:p w14:paraId="70C1214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Lee, Lee [52]</w:t>
            </w:r>
          </w:p>
        </w:tc>
        <w:tc>
          <w:tcPr>
            <w:tcW w:w="993" w:type="dxa"/>
            <w:hideMark/>
          </w:tcPr>
          <w:p w14:paraId="3C25E34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148CEFD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7DD9C4C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10</w:t>
            </w:r>
          </w:p>
        </w:tc>
        <w:tc>
          <w:tcPr>
            <w:tcW w:w="851" w:type="dxa"/>
            <w:hideMark/>
          </w:tcPr>
          <w:p w14:paraId="265FC11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27E85D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5/5</w:t>
            </w:r>
          </w:p>
        </w:tc>
        <w:tc>
          <w:tcPr>
            <w:tcW w:w="1134" w:type="dxa"/>
            <w:hideMark/>
          </w:tcPr>
          <w:p w14:paraId="0AE23D3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245316D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68.4 ± 2.9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70.1±3.3</w:t>
            </w:r>
          </w:p>
        </w:tc>
        <w:tc>
          <w:tcPr>
            <w:tcW w:w="992" w:type="dxa"/>
            <w:hideMark/>
          </w:tcPr>
          <w:p w14:paraId="22A0D26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418" w:type="dxa"/>
            <w:hideMark/>
          </w:tcPr>
          <w:p w14:paraId="0EB3D8F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850" w:type="dxa"/>
            <w:hideMark/>
          </w:tcPr>
          <w:p w14:paraId="24981E2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7AC9998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2312D3D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 30 mins + (2) 30 mins + (3) 15 mins (FES), 5 days/week, 6 weeks</w:t>
            </w:r>
          </w:p>
        </w:tc>
        <w:tc>
          <w:tcPr>
            <w:tcW w:w="709" w:type="dxa"/>
          </w:tcPr>
          <w:p w14:paraId="2454A6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hideMark/>
          </w:tcPr>
          <w:p w14:paraId="5E80C76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(1) Wii, Dance (2) neurodevelopment treatment (3) functional electrical stimulation (FES)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Neurodevelopment treatment, FES</w:t>
            </w:r>
            <w:r w:rsidRPr="00EC7D99">
              <w:rPr>
                <w:rFonts w:ascii="Arial" w:eastAsia="Times New Roman" w:hAnsi="Arial" w:cs="Arial"/>
                <w:color w:val="000000"/>
                <w:sz w:val="16"/>
                <w:szCs w:val="16"/>
              </w:rPr>
              <w:br/>
            </w:r>
          </w:p>
        </w:tc>
        <w:tc>
          <w:tcPr>
            <w:tcW w:w="1134" w:type="dxa"/>
            <w:hideMark/>
          </w:tcPr>
          <w:p w14:paraId="0D6FDD7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 auditory, vibro-tactile</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None</w:t>
            </w:r>
          </w:p>
        </w:tc>
        <w:tc>
          <w:tcPr>
            <w:tcW w:w="1701" w:type="dxa"/>
            <w:hideMark/>
          </w:tcPr>
          <w:p w14:paraId="1791016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K-pop Dance Festival; KR/KP; real-time on 100% of trials</w:t>
            </w:r>
          </w:p>
        </w:tc>
      </w:tr>
      <w:tr w:rsidR="00C13EBB" w:rsidRPr="00EC7D99" w14:paraId="19853FD0" w14:textId="77777777" w:rsidTr="0053218F">
        <w:trPr>
          <w:trHeight w:val="2966"/>
        </w:trPr>
        <w:tc>
          <w:tcPr>
            <w:tcW w:w="992" w:type="dxa"/>
            <w:hideMark/>
          </w:tcPr>
          <w:p w14:paraId="63684BD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Liao, Yang [53]</w:t>
            </w:r>
          </w:p>
        </w:tc>
        <w:tc>
          <w:tcPr>
            <w:tcW w:w="993" w:type="dxa"/>
            <w:hideMark/>
          </w:tcPr>
          <w:p w14:paraId="333281F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33B0110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48949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12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12</w:t>
            </w:r>
          </w:p>
        </w:tc>
        <w:tc>
          <w:tcPr>
            <w:tcW w:w="851" w:type="dxa"/>
            <w:hideMark/>
          </w:tcPr>
          <w:p w14:paraId="21D0C4F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11FF59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5/7</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6/6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6/6</w:t>
            </w:r>
          </w:p>
        </w:tc>
        <w:tc>
          <w:tcPr>
            <w:tcW w:w="1134" w:type="dxa"/>
            <w:hideMark/>
          </w:tcPr>
          <w:p w14:paraId="221D89D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23E74E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64.6 ± 8.6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65.1 ± 6.7</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67.3 ± 7.1</w:t>
            </w:r>
          </w:p>
        </w:tc>
        <w:tc>
          <w:tcPr>
            <w:tcW w:w="992" w:type="dxa"/>
            <w:hideMark/>
          </w:tcPr>
          <w:p w14:paraId="111742F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470EC6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6.4 ± 3.0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p>
          <w:p w14:paraId="3B29E9C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6.9 ± 2.8</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p>
          <w:p w14:paraId="51F9961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7.9 ± 2.7</w:t>
            </w:r>
          </w:p>
        </w:tc>
        <w:tc>
          <w:tcPr>
            <w:tcW w:w="1418" w:type="dxa"/>
            <w:hideMark/>
          </w:tcPr>
          <w:p w14:paraId="6F0099D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 xml:space="preserve">HY: 1.9 ± 0.8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br/>
              <w:t>HY: 2.0 ± 0.8</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br/>
              <w:t>HY: 2.0 ± 0.7</w:t>
            </w:r>
          </w:p>
        </w:tc>
        <w:tc>
          <w:tcPr>
            <w:tcW w:w="850" w:type="dxa"/>
            <w:hideMark/>
          </w:tcPr>
          <w:p w14:paraId="0519EB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4E6B673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Muscle strength, sensory integration, gait</w:t>
            </w:r>
          </w:p>
        </w:tc>
        <w:tc>
          <w:tcPr>
            <w:tcW w:w="1134" w:type="dxa"/>
          </w:tcPr>
          <w:p w14:paraId="0964405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45 mins (exercise) + 15 mins (treadmill training), 2 days/week, 6 weeks</w:t>
            </w:r>
          </w:p>
        </w:tc>
        <w:tc>
          <w:tcPr>
            <w:tcW w:w="709" w:type="dxa"/>
          </w:tcPr>
          <w:p w14:paraId="66041CE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hideMark/>
          </w:tcPr>
          <w:p w14:paraId="46D5633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Yoga, strengthening + balance exercise with Wii Fit balance board + Wii Sport + treadmill training</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rehabilitation (stretching, strengthening + balance exercise) + treadmill training</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No exercise + fall prevention education</w:t>
            </w:r>
          </w:p>
        </w:tc>
        <w:tc>
          <w:tcPr>
            <w:tcW w:w="1134" w:type="dxa"/>
            <w:hideMark/>
          </w:tcPr>
          <w:p w14:paraId="034D2A8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 xml:space="preserve">Visual, auditory, vibro-tactile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br/>
              <w:t>NR</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br/>
              <w:t>n/a</w:t>
            </w:r>
          </w:p>
        </w:tc>
        <w:tc>
          <w:tcPr>
            <w:tcW w:w="1701" w:type="dxa"/>
            <w:hideMark/>
          </w:tcPr>
          <w:p w14:paraId="4264365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Yoga (sun-salutation, modified lunges, chair pose, tree pose, table top in standing position), strengthening exercises, Football Game, Marble Balance, Ski Slalom, Bubble Balance; KR/KP; real-time on 100% of trials</w:t>
            </w:r>
          </w:p>
        </w:tc>
      </w:tr>
      <w:tr w:rsidR="00C13EBB" w:rsidRPr="00EC7D99" w14:paraId="6A07E90B" w14:textId="77777777" w:rsidTr="0053218F">
        <w:trPr>
          <w:trHeight w:val="130"/>
        </w:trPr>
        <w:tc>
          <w:tcPr>
            <w:tcW w:w="992" w:type="dxa"/>
            <w:hideMark/>
          </w:tcPr>
          <w:p w14:paraId="27EDCC6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Yang, Wang [55]</w:t>
            </w:r>
          </w:p>
        </w:tc>
        <w:tc>
          <w:tcPr>
            <w:tcW w:w="993" w:type="dxa"/>
            <w:hideMark/>
          </w:tcPr>
          <w:p w14:paraId="68C6797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212E5DA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ACB11C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11</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12</w:t>
            </w:r>
          </w:p>
        </w:tc>
        <w:tc>
          <w:tcPr>
            <w:tcW w:w="851" w:type="dxa"/>
            <w:hideMark/>
          </w:tcPr>
          <w:p w14:paraId="2B75D7C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2E4015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7/5</w:t>
            </w:r>
          </w:p>
        </w:tc>
        <w:tc>
          <w:tcPr>
            <w:tcW w:w="1134" w:type="dxa"/>
            <w:hideMark/>
          </w:tcPr>
          <w:p w14:paraId="6014B08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14C5659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72.5 ± 8.4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75.4 ± 6.3</w:t>
            </w:r>
          </w:p>
        </w:tc>
        <w:tc>
          <w:tcPr>
            <w:tcW w:w="992" w:type="dxa"/>
            <w:hideMark/>
          </w:tcPr>
          <w:p w14:paraId="73D81CD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4D63D2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9.4 ± 3.6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69F559C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8.3 ± 4.1</w:t>
            </w:r>
          </w:p>
        </w:tc>
        <w:tc>
          <w:tcPr>
            <w:tcW w:w="1418" w:type="dxa"/>
            <w:hideMark/>
          </w:tcPr>
          <w:p w14:paraId="0482529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Median: 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Median: 3</w:t>
            </w:r>
          </w:p>
        </w:tc>
        <w:tc>
          <w:tcPr>
            <w:tcW w:w="850" w:type="dxa"/>
            <w:hideMark/>
          </w:tcPr>
          <w:p w14:paraId="16A6DA7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1A1729B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05A85DA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50 mins, 2 days/week, 6 weeks</w:t>
            </w:r>
          </w:p>
        </w:tc>
        <w:tc>
          <w:tcPr>
            <w:tcW w:w="709" w:type="dxa"/>
          </w:tcPr>
          <w:p w14:paraId="271E638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w:t>
            </w:r>
          </w:p>
        </w:tc>
        <w:tc>
          <w:tcPr>
            <w:tcW w:w="1559" w:type="dxa"/>
            <w:gridSpan w:val="2"/>
            <w:hideMark/>
          </w:tcPr>
          <w:p w14:paraId="53DE10C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Static posture + dynamic weight shifting with virtual reality balance training system (Cycling + Health Center of Taichung, Taiwan)</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Rehabilitation (Static posture + dynamic weight shifting)</w:t>
            </w:r>
          </w:p>
        </w:tc>
        <w:tc>
          <w:tcPr>
            <w:tcW w:w="1134" w:type="dxa"/>
            <w:hideMark/>
          </w:tcPr>
          <w:p w14:paraId="0936AC7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Verbal</w:t>
            </w:r>
          </w:p>
        </w:tc>
        <w:tc>
          <w:tcPr>
            <w:tcW w:w="1701" w:type="dxa"/>
            <w:hideMark/>
          </w:tcPr>
          <w:p w14:paraId="1183029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Star Excursion, Ball Maze, Table Tilt, Home Yoga, Cooking, Cloth Washing, Car Racing, Park Walking, Apple Catching; KR/KP; real-time on 100% of trials</w:t>
            </w:r>
          </w:p>
        </w:tc>
      </w:tr>
      <w:tr w:rsidR="00C13EBB" w:rsidRPr="00EC7D99" w14:paraId="0A3FF576" w14:textId="77777777" w:rsidTr="00C07BB8">
        <w:trPr>
          <w:trHeight w:val="300"/>
        </w:trPr>
        <w:tc>
          <w:tcPr>
            <w:tcW w:w="15451" w:type="dxa"/>
            <w:gridSpan w:val="15"/>
          </w:tcPr>
          <w:p w14:paraId="4C844B0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lang w:eastAsia="en-CA"/>
              </w:rPr>
              <w:t>Note: M/F = Male/Female; Exp = Experimental Group; Control = Control Group; HY = Hoehn and Yahr Scale; NR = Not reported; PD = Parkinson’s disease; RCT = Randomized Control trial; UPDRS = Unified Parkinson’s Disease Rating Scale.</w:t>
            </w:r>
          </w:p>
        </w:tc>
      </w:tr>
    </w:tbl>
    <w:p w14:paraId="52B86B22" w14:textId="77777777" w:rsidR="00C13EBB" w:rsidRPr="00EC7D99" w:rsidRDefault="00C13EBB" w:rsidP="00DE73FB">
      <w:pPr>
        <w:spacing w:line="480" w:lineRule="auto"/>
        <w:rPr>
          <w:rFonts w:cs="Times New Roman"/>
        </w:rPr>
      </w:pPr>
      <w:r w:rsidRPr="00EC7D99">
        <w:rPr>
          <w:rFonts w:cs="Times New Roman"/>
          <w:b/>
        </w:rPr>
        <w:br w:type="page"/>
      </w:r>
    </w:p>
    <w:tbl>
      <w:tblPr>
        <w:tblStyle w:val="LightGrid"/>
        <w:tblW w:w="14617" w:type="dxa"/>
        <w:tblInd w:w="-1026" w:type="dxa"/>
        <w:shd w:val="clear" w:color="auto" w:fill="FFFFFF" w:themeFill="background1"/>
        <w:tblLayout w:type="fixed"/>
        <w:tblLook w:val="04A0" w:firstRow="1" w:lastRow="0" w:firstColumn="1" w:lastColumn="0" w:noHBand="0" w:noVBand="1"/>
      </w:tblPr>
      <w:tblGrid>
        <w:gridCol w:w="1701"/>
        <w:gridCol w:w="993"/>
        <w:gridCol w:w="1034"/>
        <w:gridCol w:w="1234"/>
        <w:gridCol w:w="1008"/>
        <w:gridCol w:w="976"/>
        <w:gridCol w:w="1134"/>
        <w:gridCol w:w="992"/>
        <w:gridCol w:w="1001"/>
        <w:gridCol w:w="1132"/>
        <w:gridCol w:w="986"/>
        <w:gridCol w:w="1134"/>
        <w:gridCol w:w="1292"/>
      </w:tblGrid>
      <w:tr w:rsidR="00C13EBB" w:rsidRPr="00EC7D99" w14:paraId="0D35899A" w14:textId="77777777" w:rsidTr="00C07BB8">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4617" w:type="dxa"/>
            <w:gridSpan w:val="13"/>
            <w:tcBorders>
              <w:top w:val="nil"/>
              <w:left w:val="nil"/>
              <w:right w:val="nil"/>
            </w:tcBorders>
            <w:shd w:val="clear" w:color="auto" w:fill="FFFFFF" w:themeFill="background1"/>
          </w:tcPr>
          <w:p w14:paraId="07F2EB32" w14:textId="77777777" w:rsidR="00C13EBB" w:rsidRPr="00EC7D99" w:rsidRDefault="00C13EBB" w:rsidP="0053218F">
            <w:pPr>
              <w:rPr>
                <w:rFonts w:ascii="Arial" w:eastAsia="Times New Roman" w:hAnsi="Arial" w:cs="Arial"/>
                <w:b w:val="0"/>
                <w:i/>
                <w:color w:val="000000"/>
                <w:sz w:val="16"/>
                <w:szCs w:val="16"/>
                <w:lang w:eastAsia="en-CA"/>
              </w:rPr>
            </w:pPr>
            <w:r w:rsidRPr="00EC7D99">
              <w:rPr>
                <w:rFonts w:ascii="Arial" w:eastAsia="Times New Roman" w:hAnsi="Arial" w:cs="Arial"/>
                <w:b w:val="0"/>
                <w:i/>
                <w:color w:val="000000"/>
                <w:sz w:val="16"/>
                <w:szCs w:val="16"/>
                <w:lang w:eastAsia="en-CA"/>
              </w:rPr>
              <w:t>Table 2. Critical appraisal of risk of bias.</w:t>
            </w:r>
          </w:p>
        </w:tc>
      </w:tr>
      <w:tr w:rsidR="00C13EBB" w:rsidRPr="00EC7D99" w14:paraId="41BCBFF6" w14:textId="77777777" w:rsidTr="00C07BB8">
        <w:trPr>
          <w:cnfStyle w:val="000000100000" w:firstRow="0" w:lastRow="0" w:firstColumn="0" w:lastColumn="0" w:oddVBand="0" w:evenVBand="0" w:oddHBand="1" w:evenHBand="0" w:firstRowFirstColumn="0" w:firstRowLastColumn="0" w:lastRowFirstColumn="0" w:lastRowLastColumn="0"/>
          <w:trHeight w:val="1336"/>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hideMark/>
          </w:tcPr>
          <w:p w14:paraId="59EC816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Study</w:t>
            </w:r>
          </w:p>
        </w:tc>
        <w:tc>
          <w:tcPr>
            <w:tcW w:w="993" w:type="dxa"/>
            <w:tcBorders>
              <w:left w:val="nil"/>
              <w:right w:val="nil"/>
            </w:tcBorders>
            <w:shd w:val="clear" w:color="auto" w:fill="FFFFFF" w:themeFill="background1"/>
          </w:tcPr>
          <w:p w14:paraId="612D4FE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Clinical history specified (age, sex, aetiology, severity)</w:t>
            </w:r>
          </w:p>
        </w:tc>
        <w:tc>
          <w:tcPr>
            <w:tcW w:w="1034" w:type="dxa"/>
            <w:tcBorders>
              <w:left w:val="nil"/>
              <w:right w:val="nil"/>
            </w:tcBorders>
            <w:shd w:val="clear" w:color="auto" w:fill="FFFFFF" w:themeFill="background1"/>
            <w:hideMark/>
          </w:tcPr>
          <w:p w14:paraId="225FBB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Sequence generation</w:t>
            </w:r>
          </w:p>
        </w:tc>
        <w:tc>
          <w:tcPr>
            <w:tcW w:w="1234" w:type="dxa"/>
            <w:tcBorders>
              <w:left w:val="nil"/>
              <w:right w:val="nil"/>
            </w:tcBorders>
            <w:shd w:val="clear" w:color="auto" w:fill="FFFFFF" w:themeFill="background1"/>
            <w:hideMark/>
          </w:tcPr>
          <w:p w14:paraId="4DB24B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Allocation concealment</w:t>
            </w:r>
          </w:p>
        </w:tc>
        <w:tc>
          <w:tcPr>
            <w:tcW w:w="1008" w:type="dxa"/>
            <w:tcBorders>
              <w:left w:val="nil"/>
              <w:right w:val="nil"/>
            </w:tcBorders>
            <w:shd w:val="clear" w:color="auto" w:fill="FFFFFF" w:themeFill="background1"/>
            <w:hideMark/>
          </w:tcPr>
          <w:p w14:paraId="4C16BBA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Groups equivalent at baseline</w:t>
            </w:r>
          </w:p>
        </w:tc>
        <w:tc>
          <w:tcPr>
            <w:tcW w:w="976" w:type="dxa"/>
            <w:tcBorders>
              <w:left w:val="nil"/>
              <w:right w:val="nil"/>
            </w:tcBorders>
            <w:shd w:val="clear" w:color="auto" w:fill="FFFFFF" w:themeFill="background1"/>
            <w:hideMark/>
          </w:tcPr>
          <w:p w14:paraId="1F28D9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Blinding of outcome assessor </w:t>
            </w:r>
          </w:p>
        </w:tc>
        <w:tc>
          <w:tcPr>
            <w:tcW w:w="1134" w:type="dxa"/>
            <w:tcBorders>
              <w:left w:val="nil"/>
              <w:right w:val="nil"/>
            </w:tcBorders>
            <w:shd w:val="clear" w:color="auto" w:fill="FFFFFF" w:themeFill="background1"/>
            <w:hideMark/>
          </w:tcPr>
          <w:p w14:paraId="7D36281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Incomplete outcome data addressed</w:t>
            </w:r>
          </w:p>
        </w:tc>
        <w:tc>
          <w:tcPr>
            <w:tcW w:w="992" w:type="dxa"/>
            <w:tcBorders>
              <w:left w:val="nil"/>
              <w:right w:val="nil"/>
            </w:tcBorders>
            <w:shd w:val="clear" w:color="auto" w:fill="FFFFFF" w:themeFill="background1"/>
            <w:hideMark/>
          </w:tcPr>
          <w:p w14:paraId="21ACBA9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Selective outcome reporting</w:t>
            </w:r>
          </w:p>
        </w:tc>
        <w:tc>
          <w:tcPr>
            <w:tcW w:w="1001" w:type="dxa"/>
            <w:tcBorders>
              <w:left w:val="nil"/>
              <w:right w:val="nil"/>
            </w:tcBorders>
            <w:shd w:val="clear" w:color="auto" w:fill="FFFFFF" w:themeFill="background1"/>
            <w:hideMark/>
          </w:tcPr>
          <w:p w14:paraId="7A7E402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Intention-</w:t>
            </w:r>
          </w:p>
          <w:p w14:paraId="586F7B6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to-treat analysis</w:t>
            </w:r>
          </w:p>
        </w:tc>
        <w:tc>
          <w:tcPr>
            <w:tcW w:w="1132" w:type="dxa"/>
            <w:tcBorders>
              <w:left w:val="nil"/>
              <w:right w:val="nil"/>
            </w:tcBorders>
            <w:shd w:val="clear" w:color="auto" w:fill="FFFFFF" w:themeFill="background1"/>
            <w:hideMark/>
          </w:tcPr>
          <w:p w14:paraId="47DDB51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Results between intervention groups reported</w:t>
            </w:r>
          </w:p>
        </w:tc>
        <w:tc>
          <w:tcPr>
            <w:tcW w:w="986" w:type="dxa"/>
            <w:tcBorders>
              <w:left w:val="nil"/>
              <w:right w:val="nil"/>
            </w:tcBorders>
            <w:shd w:val="clear" w:color="auto" w:fill="FFFFFF" w:themeFill="background1"/>
            <w:hideMark/>
          </w:tcPr>
          <w:p w14:paraId="1F7A418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Point and variability measures reported for at least one outcome</w:t>
            </w:r>
          </w:p>
        </w:tc>
        <w:tc>
          <w:tcPr>
            <w:tcW w:w="1134" w:type="dxa"/>
            <w:tcBorders>
              <w:left w:val="nil"/>
              <w:right w:val="nil"/>
            </w:tcBorders>
            <w:shd w:val="clear" w:color="auto" w:fill="FFFFFF" w:themeFill="background1"/>
            <w:hideMark/>
          </w:tcPr>
          <w:p w14:paraId="303094A9"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Appropriate statistical analysis</w:t>
            </w:r>
          </w:p>
        </w:tc>
        <w:tc>
          <w:tcPr>
            <w:tcW w:w="1292" w:type="dxa"/>
            <w:tcBorders>
              <w:left w:val="nil"/>
              <w:right w:val="nil"/>
            </w:tcBorders>
            <w:shd w:val="clear" w:color="auto" w:fill="FFFFFF" w:themeFill="background1"/>
          </w:tcPr>
          <w:p w14:paraId="52C3EF3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Evidence for generalization</w:t>
            </w:r>
          </w:p>
        </w:tc>
      </w:tr>
      <w:tr w:rsidR="00C13EBB" w:rsidRPr="00EC7D99" w14:paraId="53DF5C4C" w14:textId="77777777" w:rsidTr="00C07BB8">
        <w:trPr>
          <w:cnfStyle w:val="000000010000" w:firstRow="0" w:lastRow="0" w:firstColumn="0" w:lastColumn="0" w:oddVBand="0" w:evenVBand="0" w:oddHBand="0" w:evenHBand="1"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617" w:type="dxa"/>
            <w:gridSpan w:val="13"/>
            <w:tcBorders>
              <w:left w:val="nil"/>
              <w:right w:val="nil"/>
            </w:tcBorders>
            <w:shd w:val="clear" w:color="auto" w:fill="FFFFFF" w:themeFill="background1"/>
          </w:tcPr>
          <w:p w14:paraId="011D15F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Single Group Designs</w:t>
            </w:r>
          </w:p>
        </w:tc>
      </w:tr>
      <w:tr w:rsidR="00C13EBB" w:rsidRPr="00EC7D99" w14:paraId="777A6EF2"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AE4ADB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lang w:eastAsia="en-CA"/>
              </w:rPr>
              <w:t>dos Santos Mendes, Pompeu [43]</w:t>
            </w:r>
          </w:p>
        </w:tc>
        <w:tc>
          <w:tcPr>
            <w:tcW w:w="993" w:type="dxa"/>
            <w:tcBorders>
              <w:left w:val="nil"/>
              <w:right w:val="nil"/>
            </w:tcBorders>
            <w:shd w:val="clear" w:color="auto" w:fill="FFFFFF" w:themeFill="background1"/>
          </w:tcPr>
          <w:p w14:paraId="71E9568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1FA9DF2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52E287C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577EAD8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1D34F7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129D1A2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3001C07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4E41245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341CF82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5668A704"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7DC1CC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color w:val="000000"/>
                <w:sz w:val="16"/>
                <w:szCs w:val="16"/>
                <w:lang w:eastAsia="en-CA"/>
              </w:rPr>
              <w:t>-</w:t>
            </w:r>
          </w:p>
        </w:tc>
        <w:tc>
          <w:tcPr>
            <w:tcW w:w="1292" w:type="dxa"/>
            <w:tcBorders>
              <w:left w:val="nil"/>
              <w:right w:val="nil"/>
            </w:tcBorders>
            <w:shd w:val="clear" w:color="auto" w:fill="FFFFFF" w:themeFill="background1"/>
          </w:tcPr>
          <w:p w14:paraId="2249778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rPr>
              <w:t>✘</w:t>
            </w:r>
          </w:p>
        </w:tc>
      </w:tr>
      <w:tr w:rsidR="00C13EBB" w:rsidRPr="00EC7D99" w14:paraId="31F20E17"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2EFF270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Esculier, Vaudrin [50]</w:t>
            </w:r>
          </w:p>
        </w:tc>
        <w:tc>
          <w:tcPr>
            <w:tcW w:w="993" w:type="dxa"/>
            <w:tcBorders>
              <w:left w:val="nil"/>
              <w:right w:val="nil"/>
            </w:tcBorders>
            <w:shd w:val="clear" w:color="auto" w:fill="FFFFFF" w:themeFill="background1"/>
          </w:tcPr>
          <w:p w14:paraId="0D88638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445FDA4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2C46EA7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379E4C1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4EDA25A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21E2ADC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1031F47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677CBAD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3718D81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4F26F29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434D3C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rPr>
              <w:t>✘</w:t>
            </w:r>
          </w:p>
        </w:tc>
        <w:tc>
          <w:tcPr>
            <w:tcW w:w="1292" w:type="dxa"/>
            <w:tcBorders>
              <w:left w:val="nil"/>
              <w:right w:val="nil"/>
            </w:tcBorders>
            <w:shd w:val="clear" w:color="auto" w:fill="FFFFFF" w:themeFill="background1"/>
          </w:tcPr>
          <w:p w14:paraId="19AD8C7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13AEBA8E"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2E135AE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Herz, Mehta [45]</w:t>
            </w:r>
          </w:p>
        </w:tc>
        <w:tc>
          <w:tcPr>
            <w:tcW w:w="993" w:type="dxa"/>
            <w:tcBorders>
              <w:left w:val="nil"/>
              <w:right w:val="nil"/>
            </w:tcBorders>
            <w:shd w:val="clear" w:color="auto" w:fill="FFFFFF" w:themeFill="background1"/>
          </w:tcPr>
          <w:p w14:paraId="3794166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472B70B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6890D2E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16F7FCB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42A73B5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249D702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46E423F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3944A37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19407CF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5A074D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653E8AC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2B5FC25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750634BC"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137893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Holmes, Gu [49]</w:t>
            </w:r>
          </w:p>
        </w:tc>
        <w:tc>
          <w:tcPr>
            <w:tcW w:w="993" w:type="dxa"/>
            <w:tcBorders>
              <w:left w:val="nil"/>
              <w:right w:val="nil"/>
            </w:tcBorders>
            <w:shd w:val="clear" w:color="auto" w:fill="FFFFFF" w:themeFill="background1"/>
          </w:tcPr>
          <w:p w14:paraId="3A98D71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1480060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0E73829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006500F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DE1F89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w:t>
            </w:r>
          </w:p>
        </w:tc>
        <w:tc>
          <w:tcPr>
            <w:tcW w:w="1134" w:type="dxa"/>
            <w:tcBorders>
              <w:left w:val="nil"/>
              <w:right w:val="nil"/>
            </w:tcBorders>
            <w:shd w:val="clear" w:color="auto" w:fill="FFFFFF" w:themeFill="background1"/>
          </w:tcPr>
          <w:p w14:paraId="210A86E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992" w:type="dxa"/>
            <w:tcBorders>
              <w:left w:val="nil"/>
              <w:right w:val="nil"/>
            </w:tcBorders>
            <w:shd w:val="clear" w:color="auto" w:fill="FFFFFF" w:themeFill="background1"/>
          </w:tcPr>
          <w:p w14:paraId="2BE74B0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1001" w:type="dxa"/>
            <w:tcBorders>
              <w:left w:val="nil"/>
              <w:right w:val="nil"/>
            </w:tcBorders>
            <w:shd w:val="clear" w:color="auto" w:fill="FFFFFF" w:themeFill="background1"/>
          </w:tcPr>
          <w:p w14:paraId="63361AF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1132" w:type="dxa"/>
            <w:tcBorders>
              <w:left w:val="nil"/>
              <w:right w:val="nil"/>
            </w:tcBorders>
            <w:shd w:val="clear" w:color="auto" w:fill="FFFFFF" w:themeFill="background1"/>
          </w:tcPr>
          <w:p w14:paraId="2DB5644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986" w:type="dxa"/>
            <w:tcBorders>
              <w:left w:val="nil"/>
              <w:right w:val="nil"/>
            </w:tcBorders>
            <w:shd w:val="clear" w:color="auto" w:fill="FFFFFF" w:themeFill="background1"/>
          </w:tcPr>
          <w:p w14:paraId="22D3C20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1134" w:type="dxa"/>
            <w:tcBorders>
              <w:left w:val="nil"/>
              <w:right w:val="nil"/>
            </w:tcBorders>
            <w:shd w:val="clear" w:color="auto" w:fill="FFFFFF" w:themeFill="background1"/>
          </w:tcPr>
          <w:p w14:paraId="30C6FA5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1292" w:type="dxa"/>
            <w:tcBorders>
              <w:left w:val="nil"/>
              <w:right w:val="nil"/>
            </w:tcBorders>
            <w:shd w:val="clear" w:color="auto" w:fill="FFFFFF" w:themeFill="background1"/>
          </w:tcPr>
          <w:p w14:paraId="5C7E516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5F5CB541"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A21F95A" w14:textId="77777777" w:rsidR="00C13EBB" w:rsidRPr="00EC7D99" w:rsidRDefault="00C13EBB" w:rsidP="0053218F">
            <w:pPr>
              <w:rPr>
                <w:rFonts w:ascii="Arial" w:eastAsia="Times New Roman" w:hAnsi="Arial" w:cs="Arial"/>
                <w:color w:val="000000"/>
                <w:sz w:val="16"/>
                <w:szCs w:val="16"/>
              </w:rPr>
            </w:pPr>
            <w:r w:rsidRPr="00EC7D99">
              <w:rPr>
                <w:rFonts w:ascii="Arial" w:eastAsia="Times New Roman" w:hAnsi="Arial" w:cs="Arial"/>
                <w:noProof/>
                <w:color w:val="000000"/>
                <w:sz w:val="16"/>
                <w:szCs w:val="16"/>
              </w:rPr>
              <w:t>Mhatre, Vilares [46]</w:t>
            </w:r>
          </w:p>
          <w:p w14:paraId="54679848" w14:textId="77777777" w:rsidR="00C13EBB" w:rsidRPr="00EC7D99" w:rsidRDefault="00C13EBB" w:rsidP="0053218F">
            <w:pPr>
              <w:rPr>
                <w:rFonts w:ascii="Arial" w:eastAsia="Times New Roman" w:hAnsi="Arial" w:cs="Arial"/>
                <w:color w:val="000000"/>
                <w:sz w:val="16"/>
                <w:szCs w:val="16"/>
                <w:lang w:eastAsia="en-CA"/>
              </w:rPr>
            </w:pPr>
          </w:p>
        </w:tc>
        <w:tc>
          <w:tcPr>
            <w:tcW w:w="993" w:type="dxa"/>
            <w:tcBorders>
              <w:left w:val="nil"/>
              <w:right w:val="nil"/>
            </w:tcBorders>
            <w:shd w:val="clear" w:color="auto" w:fill="FFFFFF" w:themeFill="background1"/>
          </w:tcPr>
          <w:p w14:paraId="2549F0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20AB933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713BF29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23D6282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69CF3A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E13AED9"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6427892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5BC4B01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23A390C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54F543B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6034544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5292A8A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53E80501"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2A26D5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Zalecki, Gorecka-Mazur [47]</w:t>
            </w:r>
          </w:p>
        </w:tc>
        <w:tc>
          <w:tcPr>
            <w:tcW w:w="993" w:type="dxa"/>
            <w:tcBorders>
              <w:left w:val="nil"/>
              <w:right w:val="nil"/>
            </w:tcBorders>
            <w:shd w:val="clear" w:color="auto" w:fill="FFFFFF" w:themeFill="background1"/>
          </w:tcPr>
          <w:p w14:paraId="2C4A27B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33E30B7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283B157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7DB261A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F58EFB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51F184E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3984F6C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3CFAF34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0252AD6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38D20E8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6D83EB9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78F1160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r>
      <w:tr w:rsidR="00C13EBB" w:rsidRPr="00EC7D99" w14:paraId="2234915C"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714E33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Athukorala, Jones [44]</w:t>
            </w:r>
          </w:p>
        </w:tc>
        <w:tc>
          <w:tcPr>
            <w:tcW w:w="993" w:type="dxa"/>
            <w:tcBorders>
              <w:left w:val="nil"/>
              <w:right w:val="nil"/>
            </w:tcBorders>
            <w:shd w:val="clear" w:color="auto" w:fill="FFFFFF" w:themeFill="background1"/>
          </w:tcPr>
          <w:p w14:paraId="475C6A8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3F6F787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326D224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1FC8EEB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7A7A8BB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A4DDB6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27E6804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50D4857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0411770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2D1136D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871BF6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0EC7CDF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r>
      <w:tr w:rsidR="00C13EBB" w:rsidRPr="00EC7D99" w14:paraId="2E22CBBB"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55B9451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Gonçalves, Leite [48]</w:t>
            </w:r>
          </w:p>
        </w:tc>
        <w:tc>
          <w:tcPr>
            <w:tcW w:w="993" w:type="dxa"/>
            <w:tcBorders>
              <w:left w:val="nil"/>
              <w:right w:val="nil"/>
            </w:tcBorders>
            <w:shd w:val="clear" w:color="auto" w:fill="FFFFFF" w:themeFill="background1"/>
          </w:tcPr>
          <w:p w14:paraId="3F9C9F4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69766C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294E76B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422C707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DE465D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hAnsi="Arial" w:cs="Arial"/>
                <w:color w:val="000000"/>
                <w:sz w:val="16"/>
                <w:szCs w:val="16"/>
              </w:rPr>
              <w:t>-</w:t>
            </w:r>
          </w:p>
        </w:tc>
        <w:tc>
          <w:tcPr>
            <w:tcW w:w="1134" w:type="dxa"/>
            <w:tcBorders>
              <w:left w:val="nil"/>
              <w:right w:val="nil"/>
            </w:tcBorders>
            <w:shd w:val="clear" w:color="auto" w:fill="FFFFFF" w:themeFill="background1"/>
          </w:tcPr>
          <w:p w14:paraId="7E23E1A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Arial" w:hAnsi="Arial" w:cs="Arial"/>
                <w:color w:val="000000"/>
                <w:sz w:val="16"/>
                <w:szCs w:val="16"/>
              </w:rPr>
              <w:t>-</w:t>
            </w:r>
          </w:p>
        </w:tc>
        <w:tc>
          <w:tcPr>
            <w:tcW w:w="992" w:type="dxa"/>
            <w:tcBorders>
              <w:left w:val="nil"/>
              <w:right w:val="nil"/>
            </w:tcBorders>
            <w:shd w:val="clear" w:color="auto" w:fill="FFFFFF" w:themeFill="background1"/>
          </w:tcPr>
          <w:p w14:paraId="41951A9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rPr>
              <w:t>✓</w:t>
            </w:r>
          </w:p>
        </w:tc>
        <w:tc>
          <w:tcPr>
            <w:tcW w:w="1001" w:type="dxa"/>
            <w:tcBorders>
              <w:left w:val="nil"/>
              <w:right w:val="nil"/>
            </w:tcBorders>
            <w:shd w:val="clear" w:color="auto" w:fill="FFFFFF" w:themeFill="background1"/>
          </w:tcPr>
          <w:p w14:paraId="1028DE0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1132" w:type="dxa"/>
            <w:tcBorders>
              <w:left w:val="nil"/>
              <w:right w:val="nil"/>
            </w:tcBorders>
            <w:shd w:val="clear" w:color="auto" w:fill="FFFFFF" w:themeFill="background1"/>
          </w:tcPr>
          <w:p w14:paraId="0ADB8D7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986" w:type="dxa"/>
            <w:tcBorders>
              <w:left w:val="nil"/>
              <w:right w:val="nil"/>
            </w:tcBorders>
            <w:shd w:val="clear" w:color="auto" w:fill="FFFFFF" w:themeFill="background1"/>
          </w:tcPr>
          <w:p w14:paraId="23CEC18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rPr>
              <w:t>✓</w:t>
            </w:r>
          </w:p>
        </w:tc>
        <w:tc>
          <w:tcPr>
            <w:tcW w:w="1134" w:type="dxa"/>
            <w:tcBorders>
              <w:left w:val="nil"/>
              <w:right w:val="nil"/>
            </w:tcBorders>
            <w:shd w:val="clear" w:color="auto" w:fill="FFFFFF" w:themeFill="background1"/>
          </w:tcPr>
          <w:p w14:paraId="4DE44EA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rPr>
              <w:t>✘</w:t>
            </w:r>
          </w:p>
        </w:tc>
        <w:tc>
          <w:tcPr>
            <w:tcW w:w="1292" w:type="dxa"/>
            <w:tcBorders>
              <w:left w:val="nil"/>
              <w:right w:val="nil"/>
            </w:tcBorders>
            <w:shd w:val="clear" w:color="auto" w:fill="FFFFFF" w:themeFill="background1"/>
          </w:tcPr>
          <w:p w14:paraId="4AAB713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r>
      <w:tr w:rsidR="00C13EBB" w:rsidRPr="00EC7D99" w14:paraId="673FAFC2" w14:textId="77777777" w:rsidTr="00C07BB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4617" w:type="dxa"/>
            <w:gridSpan w:val="13"/>
            <w:tcBorders>
              <w:left w:val="nil"/>
              <w:right w:val="nil"/>
            </w:tcBorders>
            <w:shd w:val="clear" w:color="auto" w:fill="FFFFFF" w:themeFill="background1"/>
          </w:tcPr>
          <w:p w14:paraId="07EE97B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RCT Group Designs</w:t>
            </w:r>
          </w:p>
        </w:tc>
      </w:tr>
      <w:tr w:rsidR="00C13EBB" w:rsidRPr="00EC7D99" w14:paraId="1BCF54D9"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1146829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Stern [57]</w:t>
            </w:r>
          </w:p>
        </w:tc>
        <w:tc>
          <w:tcPr>
            <w:tcW w:w="993" w:type="dxa"/>
            <w:tcBorders>
              <w:left w:val="nil"/>
              <w:right w:val="nil"/>
            </w:tcBorders>
            <w:shd w:val="clear" w:color="auto" w:fill="FFFFFF" w:themeFill="background1"/>
          </w:tcPr>
          <w:p w14:paraId="590D926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8B683A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0CE5C91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6660DB0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2CC0CEE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7BCD4DF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0E3456AC"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08EDAD7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2124BC2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1952B25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1490270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7935B0D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75C17DF0"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7BF6C9C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Yen, Lin [56]</w:t>
            </w:r>
          </w:p>
        </w:tc>
        <w:tc>
          <w:tcPr>
            <w:tcW w:w="993" w:type="dxa"/>
            <w:tcBorders>
              <w:left w:val="nil"/>
              <w:right w:val="nil"/>
            </w:tcBorders>
            <w:shd w:val="clear" w:color="auto" w:fill="FFFFFF" w:themeFill="background1"/>
          </w:tcPr>
          <w:p w14:paraId="45A85D1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67082E5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3FE7C56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398C166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4E43F9B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color w:val="000000"/>
                <w:sz w:val="16"/>
                <w:szCs w:val="16"/>
                <w:lang w:eastAsia="en-CA"/>
              </w:rPr>
              <w:t>✓</w:t>
            </w:r>
          </w:p>
        </w:tc>
        <w:tc>
          <w:tcPr>
            <w:tcW w:w="1134" w:type="dxa"/>
            <w:tcBorders>
              <w:left w:val="nil"/>
              <w:right w:val="nil"/>
            </w:tcBorders>
            <w:shd w:val="clear" w:color="auto" w:fill="FFFFFF" w:themeFill="background1"/>
          </w:tcPr>
          <w:p w14:paraId="20CF668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4F9C1CD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330BEE0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6BB74EA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7251E4F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AC8BD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122A245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3C1E498B"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1B0959F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Pompeu, dos Santos Mendes [42]</w:t>
            </w:r>
          </w:p>
        </w:tc>
        <w:tc>
          <w:tcPr>
            <w:tcW w:w="993" w:type="dxa"/>
            <w:tcBorders>
              <w:left w:val="nil"/>
              <w:right w:val="nil"/>
            </w:tcBorders>
            <w:shd w:val="clear" w:color="auto" w:fill="FFFFFF" w:themeFill="background1"/>
          </w:tcPr>
          <w:p w14:paraId="50CC793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4F525CA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25B9B60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w:t>
            </w:r>
          </w:p>
        </w:tc>
        <w:tc>
          <w:tcPr>
            <w:tcW w:w="1008" w:type="dxa"/>
            <w:tcBorders>
              <w:left w:val="nil"/>
              <w:right w:val="nil"/>
            </w:tcBorders>
            <w:shd w:val="clear" w:color="auto" w:fill="FFFFFF" w:themeFill="background1"/>
          </w:tcPr>
          <w:p w14:paraId="608832C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6411FEF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17067A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70449A6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12E33DA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32BFFA9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09FC658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32D0494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7B991DE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4CE35C5E"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70F82CB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Pedreira, Prazeres [54]</w:t>
            </w:r>
          </w:p>
        </w:tc>
        <w:tc>
          <w:tcPr>
            <w:tcW w:w="993" w:type="dxa"/>
            <w:tcBorders>
              <w:left w:val="nil"/>
              <w:right w:val="nil"/>
            </w:tcBorders>
            <w:shd w:val="clear" w:color="auto" w:fill="FFFFFF" w:themeFill="background1"/>
          </w:tcPr>
          <w:p w14:paraId="7BD9474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5990F32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28CD9A4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72A37D1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0502AE2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2DFDD1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7130B94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7540CC6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51EE961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4901926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C5A584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10F973F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2CA782D7"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495B697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Shen and Mak [59]</w:t>
            </w:r>
          </w:p>
        </w:tc>
        <w:tc>
          <w:tcPr>
            <w:tcW w:w="993" w:type="dxa"/>
            <w:tcBorders>
              <w:left w:val="nil"/>
              <w:right w:val="nil"/>
            </w:tcBorders>
            <w:shd w:val="clear" w:color="auto" w:fill="FFFFFF" w:themeFill="background1"/>
          </w:tcPr>
          <w:p w14:paraId="52EA334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DBF03D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2403140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2524A1A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095AF56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184AFC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5A57625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6563AA2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3B83484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36778DE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38C8C4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61EF193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1CA2CA85"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153317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van den Heuvel, Kwakkel [58]</w:t>
            </w:r>
          </w:p>
        </w:tc>
        <w:tc>
          <w:tcPr>
            <w:tcW w:w="993" w:type="dxa"/>
            <w:tcBorders>
              <w:left w:val="nil"/>
              <w:right w:val="nil"/>
            </w:tcBorders>
            <w:shd w:val="clear" w:color="auto" w:fill="FFFFFF" w:themeFill="background1"/>
          </w:tcPr>
          <w:p w14:paraId="5F9EA23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63C2D47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445E2FC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6C5AB40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6EB8BA1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3FC71C6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549A8459"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46D422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5345E01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3AB3938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162E5C9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0BA38E9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105404A8"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2C400D9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Byl, Zhang [51]</w:t>
            </w:r>
          </w:p>
        </w:tc>
        <w:tc>
          <w:tcPr>
            <w:tcW w:w="993" w:type="dxa"/>
            <w:tcBorders>
              <w:left w:val="nil"/>
              <w:right w:val="nil"/>
            </w:tcBorders>
            <w:shd w:val="clear" w:color="auto" w:fill="FFFFFF" w:themeFill="background1"/>
          </w:tcPr>
          <w:p w14:paraId="3056E37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106195F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234" w:type="dxa"/>
            <w:tcBorders>
              <w:left w:val="nil"/>
              <w:right w:val="nil"/>
            </w:tcBorders>
            <w:shd w:val="clear" w:color="auto" w:fill="FFFFFF" w:themeFill="background1"/>
          </w:tcPr>
          <w:p w14:paraId="0AC1F12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4D4C49C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02B6C8B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393DAB4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0DE19EF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239D1D9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5D85D15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71BE125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3D24B8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55A75AD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7D909F59"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24356C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Lee, Lee [52]</w:t>
            </w:r>
          </w:p>
        </w:tc>
        <w:tc>
          <w:tcPr>
            <w:tcW w:w="993" w:type="dxa"/>
            <w:tcBorders>
              <w:left w:val="nil"/>
              <w:right w:val="nil"/>
            </w:tcBorders>
            <w:shd w:val="clear" w:color="auto" w:fill="FFFFFF" w:themeFill="background1"/>
          </w:tcPr>
          <w:p w14:paraId="6C640D04"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555449A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234" w:type="dxa"/>
            <w:tcBorders>
              <w:left w:val="nil"/>
              <w:right w:val="nil"/>
            </w:tcBorders>
            <w:shd w:val="clear" w:color="auto" w:fill="FFFFFF" w:themeFill="background1"/>
          </w:tcPr>
          <w:p w14:paraId="1D9AEF3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5BD8503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14897CF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798C9BD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2242C40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7667C47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05E90DB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58BF91A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8427BC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3993FE54"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32EB5177"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03E1A6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Liao, Yang [53]</w:t>
            </w:r>
          </w:p>
        </w:tc>
        <w:tc>
          <w:tcPr>
            <w:tcW w:w="993" w:type="dxa"/>
            <w:tcBorders>
              <w:left w:val="nil"/>
              <w:right w:val="nil"/>
            </w:tcBorders>
            <w:shd w:val="clear" w:color="auto" w:fill="FFFFFF" w:themeFill="background1"/>
          </w:tcPr>
          <w:p w14:paraId="5988ECF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4F794F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591BEF9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1FC3AF4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31270EF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275854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3186B81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1850B57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6B4DE2F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260987BC"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6A8F4F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2ACA6E0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34A787FB"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8A11D0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Yang, Wang [55]</w:t>
            </w:r>
          </w:p>
        </w:tc>
        <w:tc>
          <w:tcPr>
            <w:tcW w:w="993" w:type="dxa"/>
            <w:tcBorders>
              <w:left w:val="nil"/>
              <w:right w:val="nil"/>
            </w:tcBorders>
            <w:shd w:val="clear" w:color="auto" w:fill="FFFFFF" w:themeFill="background1"/>
          </w:tcPr>
          <w:p w14:paraId="27E40E8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30E419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04F6EA9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MS Gothic" w:hAnsi="Arial" w:cs="Arial"/>
                <w:b/>
                <w:color w:val="000000"/>
                <w:sz w:val="16"/>
                <w:szCs w:val="16"/>
                <w:lang w:eastAsia="en-CA"/>
              </w:rPr>
              <w:t>-</w:t>
            </w:r>
          </w:p>
        </w:tc>
        <w:tc>
          <w:tcPr>
            <w:tcW w:w="1008" w:type="dxa"/>
            <w:tcBorders>
              <w:left w:val="nil"/>
              <w:right w:val="nil"/>
            </w:tcBorders>
            <w:shd w:val="clear" w:color="auto" w:fill="FFFFFF" w:themeFill="background1"/>
          </w:tcPr>
          <w:p w14:paraId="0F92674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7E906F5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60B91E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04E9212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7EA9FE5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5A8FC87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590979B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B8FDD3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392752F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6CB60B13"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325" w:type="dxa"/>
            <w:gridSpan w:val="12"/>
            <w:tcBorders>
              <w:left w:val="nil"/>
              <w:right w:val="nil"/>
            </w:tcBorders>
            <w:shd w:val="clear" w:color="auto" w:fill="FFFFFF" w:themeFill="background1"/>
          </w:tcPr>
          <w:p w14:paraId="1A187A62" w14:textId="77777777" w:rsidR="00C13EBB" w:rsidRPr="00EC7D99" w:rsidRDefault="00C13EBB" w:rsidP="0053218F">
            <w:pPr>
              <w:rPr>
                <w:rFonts w:ascii="Arial" w:eastAsia="MS Gothic" w:hAnsi="Arial" w:cs="Arial"/>
                <w:b w:val="0"/>
                <w:color w:val="000000"/>
                <w:sz w:val="16"/>
                <w:szCs w:val="16"/>
                <w:lang w:eastAsia="en-CA"/>
              </w:rPr>
            </w:pPr>
            <w:r w:rsidRPr="00EC7D99">
              <w:rPr>
                <w:rFonts w:ascii="Arial" w:eastAsia="MS Gothic" w:hAnsi="Arial" w:cs="Arial"/>
                <w:b w:val="0"/>
                <w:color w:val="000000"/>
                <w:sz w:val="16"/>
                <w:szCs w:val="16"/>
                <w:lang w:eastAsia="en-CA"/>
              </w:rPr>
              <w:t>Note:</w:t>
            </w:r>
          </w:p>
          <w:p w14:paraId="381BBF0B" w14:textId="77777777" w:rsidR="00C13EBB" w:rsidRPr="00EC7D99" w:rsidRDefault="00C13EBB" w:rsidP="0053218F">
            <w:pPr>
              <w:rPr>
                <w:rFonts w:ascii="Arial" w:eastAsia="Times New Roman" w:hAnsi="Arial" w:cs="Arial"/>
                <w:color w:val="000000"/>
                <w:sz w:val="16"/>
                <w:szCs w:val="16"/>
                <w:lang w:eastAsia="en-CA"/>
              </w:rPr>
            </w:pPr>
            <w:r w:rsidRPr="00EC7D99">
              <w:rPr>
                <w:rFonts w:ascii="MS Gothic" w:eastAsia="MS Gothic" w:hAnsi="MS Gothic" w:cs="MS Gothic" w:hint="eastAsia"/>
                <w:color w:val="000000"/>
                <w:sz w:val="16"/>
                <w:szCs w:val="16"/>
                <w:lang w:eastAsia="en-CA"/>
              </w:rPr>
              <w:t>✓</w:t>
            </w:r>
            <w:r w:rsidRPr="00EC7D99">
              <w:rPr>
                <w:rFonts w:ascii="Arial" w:eastAsia="Times New Roman" w:hAnsi="Arial" w:cs="Arial"/>
                <w:color w:val="000000"/>
                <w:sz w:val="16"/>
                <w:szCs w:val="16"/>
                <w:lang w:eastAsia="en-CA"/>
              </w:rPr>
              <w:t xml:space="preserve"> </w:t>
            </w:r>
            <w:r w:rsidRPr="00EC7D99">
              <w:rPr>
                <w:rFonts w:ascii="Arial" w:eastAsia="Times New Roman" w:hAnsi="Arial" w:cs="Arial"/>
                <w:b w:val="0"/>
                <w:color w:val="000000"/>
                <w:sz w:val="16"/>
                <w:szCs w:val="16"/>
                <w:lang w:eastAsia="en-CA"/>
              </w:rPr>
              <w:t>Low risk of bias</w:t>
            </w:r>
          </w:p>
          <w:p w14:paraId="1B7CE0BD" w14:textId="77777777" w:rsidR="00C13EBB" w:rsidRPr="00EC7D99" w:rsidRDefault="00C13EBB" w:rsidP="0053218F">
            <w:pPr>
              <w:rPr>
                <w:rFonts w:ascii="Arial" w:eastAsia="Times New Roman" w:hAnsi="Arial" w:cs="Arial"/>
                <w:color w:val="000000"/>
                <w:sz w:val="16"/>
                <w:szCs w:val="16"/>
                <w:lang w:eastAsia="en-CA"/>
              </w:rPr>
            </w:pPr>
            <w:r w:rsidRPr="00EC7D99">
              <w:rPr>
                <w:rFonts w:ascii="MS Gothic" w:eastAsia="MS Gothic" w:hAnsi="MS Gothic" w:cs="MS Gothic" w:hint="eastAsia"/>
                <w:color w:val="000000"/>
                <w:sz w:val="16"/>
                <w:szCs w:val="16"/>
                <w:lang w:eastAsia="en-CA"/>
              </w:rPr>
              <w:t>✘</w:t>
            </w:r>
            <w:r w:rsidRPr="00EC7D99">
              <w:rPr>
                <w:rFonts w:ascii="Arial" w:eastAsia="Times New Roman" w:hAnsi="Arial" w:cs="Arial"/>
                <w:color w:val="000000"/>
                <w:sz w:val="16"/>
                <w:szCs w:val="16"/>
                <w:lang w:eastAsia="en-CA"/>
              </w:rPr>
              <w:t xml:space="preserve"> </w:t>
            </w:r>
            <w:r w:rsidRPr="00EC7D99">
              <w:rPr>
                <w:rFonts w:ascii="Arial" w:eastAsia="Times New Roman" w:hAnsi="Arial" w:cs="Arial"/>
                <w:b w:val="0"/>
                <w:color w:val="000000"/>
                <w:sz w:val="16"/>
                <w:szCs w:val="16"/>
                <w:lang w:eastAsia="en-CA"/>
              </w:rPr>
              <w:t>High risk of bias</w:t>
            </w:r>
          </w:p>
          <w:p w14:paraId="20C6810A" w14:textId="77777777" w:rsidR="00C13EBB" w:rsidRPr="00EC7D99" w:rsidRDefault="00C13EBB" w:rsidP="0053218F">
            <w:pPr>
              <w:rPr>
                <w:rFonts w:ascii="Arial" w:eastAsia="Times New Roman" w:hAnsi="Arial" w:cs="Arial"/>
                <w:b w:val="0"/>
                <w:color w:val="000000"/>
                <w:sz w:val="16"/>
                <w:szCs w:val="16"/>
                <w:lang w:eastAsia="en-CA"/>
              </w:rPr>
            </w:pPr>
            <w:r w:rsidRPr="00EC7D99">
              <w:rPr>
                <w:rFonts w:ascii="Arial" w:eastAsia="Times New Roman" w:hAnsi="Arial" w:cs="Arial"/>
                <w:color w:val="000000"/>
                <w:sz w:val="16"/>
                <w:szCs w:val="16"/>
                <w:lang w:eastAsia="en-CA"/>
              </w:rPr>
              <w:t xml:space="preserve">- </w:t>
            </w:r>
            <w:r w:rsidRPr="00EC7D99">
              <w:rPr>
                <w:rFonts w:ascii="Arial" w:eastAsia="Times New Roman" w:hAnsi="Arial" w:cs="Arial"/>
                <w:b w:val="0"/>
                <w:color w:val="000000"/>
                <w:sz w:val="16"/>
                <w:szCs w:val="16"/>
                <w:lang w:eastAsia="en-CA"/>
              </w:rPr>
              <w:t>Unclear risk of bias</w:t>
            </w:r>
          </w:p>
          <w:p w14:paraId="7A510FF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b w:val="0"/>
                <w:color w:val="000000"/>
                <w:sz w:val="16"/>
                <w:szCs w:val="16"/>
                <w:lang w:eastAsia="en-CA"/>
              </w:rPr>
              <w:t>n/a Not applicable to non-randomized control trials</w:t>
            </w:r>
          </w:p>
        </w:tc>
        <w:tc>
          <w:tcPr>
            <w:tcW w:w="1292" w:type="dxa"/>
            <w:tcBorders>
              <w:left w:val="nil"/>
              <w:right w:val="nil"/>
            </w:tcBorders>
            <w:shd w:val="clear" w:color="auto" w:fill="FFFFFF" w:themeFill="background1"/>
          </w:tcPr>
          <w:p w14:paraId="12DE141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p>
        </w:tc>
      </w:tr>
    </w:tbl>
    <w:p w14:paraId="1ED3CBBE" w14:textId="77777777" w:rsidR="00C13EBB" w:rsidRPr="00EC7D99" w:rsidRDefault="00C13EBB" w:rsidP="00DE73FB">
      <w:pPr>
        <w:spacing w:line="480" w:lineRule="auto"/>
        <w:rPr>
          <w:rFonts w:cs="Times New Roman"/>
        </w:rPr>
        <w:sectPr w:rsidR="00C13EBB" w:rsidRPr="00EC7D99" w:rsidSect="00C07BB8">
          <w:pgSz w:w="15840" w:h="12240" w:orient="landscape"/>
          <w:pgMar w:top="567" w:right="1440" w:bottom="426" w:left="1440" w:header="709" w:footer="709" w:gutter="0"/>
          <w:cols w:space="708"/>
          <w:titlePg/>
          <w:docGrid w:linePitch="360"/>
        </w:sectPr>
      </w:pPr>
    </w:p>
    <w:tbl>
      <w:tblPr>
        <w:tblStyle w:val="TableGrid1"/>
        <w:tblpPr w:leftFromText="180" w:rightFromText="180" w:vertAnchor="page" w:horzAnchor="margin" w:tblpY="1374"/>
        <w:tblW w:w="1130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42"/>
        <w:gridCol w:w="1418"/>
        <w:gridCol w:w="4394"/>
        <w:gridCol w:w="1843"/>
        <w:gridCol w:w="2410"/>
      </w:tblGrid>
      <w:tr w:rsidR="00C13EBB" w:rsidRPr="00EC7D99" w14:paraId="207DA8DB" w14:textId="77777777" w:rsidTr="00C07BB8">
        <w:trPr>
          <w:trHeight w:val="134"/>
        </w:trPr>
        <w:tc>
          <w:tcPr>
            <w:tcW w:w="11307" w:type="dxa"/>
            <w:gridSpan w:val="5"/>
            <w:tcBorders>
              <w:top w:val="nil"/>
              <w:bottom w:val="single" w:sz="4" w:space="0" w:color="auto"/>
            </w:tcBorders>
          </w:tcPr>
          <w:p w14:paraId="3E3C0AF8"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Table 3. Summary of Within-Group Findings</w:t>
            </w:r>
          </w:p>
        </w:tc>
      </w:tr>
      <w:tr w:rsidR="00C13EBB" w:rsidRPr="00EC7D99" w14:paraId="583EB29C" w14:textId="77777777" w:rsidTr="00C07BB8">
        <w:trPr>
          <w:trHeight w:val="134"/>
        </w:trPr>
        <w:tc>
          <w:tcPr>
            <w:tcW w:w="1242" w:type="dxa"/>
            <w:tcBorders>
              <w:top w:val="single" w:sz="4" w:space="0" w:color="auto"/>
              <w:bottom w:val="single" w:sz="4" w:space="0" w:color="auto"/>
            </w:tcBorders>
          </w:tcPr>
          <w:p w14:paraId="0FC3AE75"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Study</w:t>
            </w:r>
          </w:p>
        </w:tc>
        <w:tc>
          <w:tcPr>
            <w:tcW w:w="1418" w:type="dxa"/>
            <w:tcBorders>
              <w:top w:val="single" w:sz="4" w:space="0" w:color="auto"/>
              <w:bottom w:val="single" w:sz="4" w:space="0" w:color="auto"/>
            </w:tcBorders>
          </w:tcPr>
          <w:p w14:paraId="61086A43"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Classification of Measures (n)</w:t>
            </w:r>
          </w:p>
        </w:tc>
        <w:tc>
          <w:tcPr>
            <w:tcW w:w="4394" w:type="dxa"/>
            <w:tcBorders>
              <w:top w:val="single" w:sz="4" w:space="0" w:color="auto"/>
              <w:bottom w:val="single" w:sz="4" w:space="0" w:color="auto"/>
            </w:tcBorders>
            <w:hideMark/>
          </w:tcPr>
          <w:p w14:paraId="1AE1692E"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Outcome Measures</w:t>
            </w:r>
          </w:p>
        </w:tc>
        <w:tc>
          <w:tcPr>
            <w:tcW w:w="1843" w:type="dxa"/>
            <w:tcBorders>
              <w:top w:val="single" w:sz="4" w:space="0" w:color="auto"/>
              <w:bottom w:val="single" w:sz="4" w:space="0" w:color="auto"/>
            </w:tcBorders>
            <w:hideMark/>
          </w:tcPr>
          <w:p w14:paraId="548CBF35"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Post Intervention</w:t>
            </w:r>
          </w:p>
        </w:tc>
        <w:tc>
          <w:tcPr>
            <w:tcW w:w="2410" w:type="dxa"/>
            <w:tcBorders>
              <w:top w:val="single" w:sz="4" w:space="0" w:color="auto"/>
              <w:bottom w:val="single" w:sz="4" w:space="0" w:color="auto"/>
            </w:tcBorders>
          </w:tcPr>
          <w:p w14:paraId="3690489E"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at Follow-Up</w:t>
            </w:r>
          </w:p>
        </w:tc>
      </w:tr>
      <w:tr w:rsidR="00C13EBB" w:rsidRPr="00EC7D99" w14:paraId="02A048F0" w14:textId="77777777" w:rsidTr="00C07BB8">
        <w:trPr>
          <w:trHeight w:val="640"/>
        </w:trPr>
        <w:tc>
          <w:tcPr>
            <w:tcW w:w="1242" w:type="dxa"/>
          </w:tcPr>
          <w:p w14:paraId="7856E302"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Herz, Mehta [45]</w:t>
            </w:r>
          </w:p>
        </w:tc>
        <w:tc>
          <w:tcPr>
            <w:tcW w:w="1418" w:type="dxa"/>
          </w:tcPr>
          <w:p w14:paraId="384FC9D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67FF691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(10)</w:t>
            </w:r>
          </w:p>
          <w:p w14:paraId="4C6E85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 (1)</w:t>
            </w:r>
          </w:p>
          <w:p w14:paraId="4711930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08431C9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11AB74B1"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Hamilton Rating Scale for Depression</w:t>
            </w:r>
          </w:p>
          <w:p w14:paraId="79A85C8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4AF18F2A"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Nottingham Extended ADL Scale</w:t>
            </w:r>
            <w:r w:rsidRPr="00EC7D99">
              <w:rPr>
                <w:rFonts w:ascii="Arial" w:eastAsia="Times New Roman" w:hAnsi="Arial" w:cs="Arial"/>
                <w:i/>
                <w:color w:val="000000"/>
                <w:sz w:val="16"/>
                <w:szCs w:val="16"/>
                <w:lang w:eastAsia="en-CA"/>
              </w:rPr>
              <w:br/>
              <w:t>9-hole peg test - right</w:t>
            </w:r>
            <w:r w:rsidRPr="00EC7D99">
              <w:rPr>
                <w:rFonts w:ascii="Arial" w:eastAsia="Times New Roman" w:hAnsi="Arial" w:cs="Arial"/>
                <w:i/>
                <w:color w:val="000000"/>
                <w:sz w:val="16"/>
                <w:szCs w:val="16"/>
                <w:lang w:eastAsia="en-CA"/>
              </w:rPr>
              <w:br/>
              <w:t xml:space="preserve">Purdue Pegboard Test – left </w:t>
            </w:r>
          </w:p>
          <w:p w14:paraId="300E110E" w14:textId="77777777" w:rsidR="00C13EBB" w:rsidRPr="00EC7D99" w:rsidRDefault="00C13EBB" w:rsidP="0053218F">
            <w:pPr>
              <w:ind w:left="227"/>
              <w:rPr>
                <w:rFonts w:ascii="Arial" w:hAnsi="Arial" w:cs="Arial"/>
                <w:i/>
                <w:sz w:val="16"/>
                <w:szCs w:val="16"/>
                <w:lang w:eastAsia="en-CA"/>
              </w:rPr>
            </w:pPr>
            <w:r w:rsidRPr="00EC7D99">
              <w:rPr>
                <w:rFonts w:ascii="Arial" w:eastAsia="Times New Roman" w:hAnsi="Arial" w:cs="Arial"/>
                <w:i/>
                <w:color w:val="000000"/>
                <w:sz w:val="16"/>
                <w:szCs w:val="16"/>
                <w:lang w:eastAsia="en-CA"/>
              </w:rPr>
              <w:t xml:space="preserve">Purdue Pegboard Test – </w:t>
            </w:r>
            <w:r w:rsidRPr="00EC7D99">
              <w:rPr>
                <w:rFonts w:ascii="Arial" w:hAnsi="Arial" w:cs="Arial"/>
                <w:i/>
                <w:sz w:val="16"/>
                <w:szCs w:val="16"/>
                <w:lang w:eastAsia="en-CA"/>
              </w:rPr>
              <w:t>both</w:t>
            </w:r>
          </w:p>
          <w:p w14:paraId="26B114EA"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hAnsi="Arial" w:cs="Arial"/>
                <w:i/>
                <w:sz w:val="16"/>
                <w:szCs w:val="16"/>
                <w:lang w:eastAsia="en-CA"/>
              </w:rPr>
              <w:t>Purdue Pegboard Test – alternating</w:t>
            </w:r>
            <w:r w:rsidRPr="00EC7D99">
              <w:rPr>
                <w:rFonts w:ascii="Arial" w:eastAsia="Times New Roman" w:hAnsi="Arial" w:cs="Arial"/>
                <w:i/>
                <w:color w:val="000000"/>
                <w:sz w:val="16"/>
                <w:szCs w:val="16"/>
                <w:lang w:eastAsia="en-CA"/>
              </w:rPr>
              <w:br/>
              <w:t xml:space="preserve">Timed tapping test – right </w:t>
            </w:r>
          </w:p>
          <w:p w14:paraId="727C0BC7"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Timed tapping test – left</w:t>
            </w:r>
            <w:r w:rsidRPr="00EC7D99">
              <w:rPr>
                <w:rFonts w:ascii="Arial" w:eastAsia="Times New Roman" w:hAnsi="Arial" w:cs="Arial"/>
                <w:i/>
                <w:color w:val="000000"/>
                <w:sz w:val="16"/>
                <w:szCs w:val="16"/>
                <w:lang w:eastAsia="en-CA"/>
              </w:rPr>
              <w:br/>
              <w:t>Timed Up and Go</w:t>
            </w:r>
          </w:p>
          <w:p w14:paraId="1BDCC908" w14:textId="77777777" w:rsidR="00C13EBB" w:rsidRPr="00EC7D99" w:rsidRDefault="00C13EBB" w:rsidP="0053218F">
            <w:pPr>
              <w:ind w:left="227" w:hanging="176"/>
              <w:rPr>
                <w:rFonts w:ascii="Arial" w:eastAsia="Times New Roman" w:hAnsi="Arial" w:cs="Arial"/>
                <w:i/>
                <w:color w:val="000000"/>
                <w:sz w:val="16"/>
                <w:szCs w:val="16"/>
                <w:lang w:eastAsia="en-CA"/>
              </w:rPr>
            </w:pPr>
            <w:r w:rsidRPr="00EC7D99">
              <w:rPr>
                <w:rFonts w:ascii="Arial" w:eastAsia="Times New Roman" w:hAnsi="Arial" w:cs="Arial"/>
                <w:color w:val="000000"/>
                <w:sz w:val="16"/>
                <w:szCs w:val="16"/>
                <w:lang w:eastAsia="en-CA"/>
              </w:rPr>
              <w:t>Participation</w:t>
            </w:r>
            <w:r w:rsidRPr="00EC7D99">
              <w:rPr>
                <w:rFonts w:ascii="Arial" w:eastAsia="Times New Roman" w:hAnsi="Arial" w:cs="Arial"/>
                <w:color w:val="000000"/>
                <w:sz w:val="16"/>
                <w:szCs w:val="16"/>
                <w:lang w:eastAsia="en-CA"/>
              </w:rPr>
              <w:br/>
            </w:r>
            <w:r w:rsidRPr="00EC7D99">
              <w:rPr>
                <w:rFonts w:ascii="Arial" w:eastAsia="Times New Roman" w:hAnsi="Arial" w:cs="Arial"/>
                <w:i/>
                <w:color w:val="000000"/>
                <w:sz w:val="16"/>
                <w:szCs w:val="16"/>
                <w:lang w:eastAsia="en-CA"/>
              </w:rPr>
              <w:t>Parkinson’s Disease Questionnaire-39</w:t>
            </w:r>
          </w:p>
          <w:p w14:paraId="0018F594"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Global Motor Function </w:t>
            </w:r>
          </w:p>
          <w:p w14:paraId="5891CEAF" w14:textId="77777777" w:rsidR="00C13EBB" w:rsidRPr="00EC7D99" w:rsidRDefault="00C13EBB" w:rsidP="0053218F">
            <w:pPr>
              <w:ind w:left="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6CB2F7F3" w14:textId="77777777" w:rsidR="00C13EBB" w:rsidRPr="00EC7D99" w:rsidRDefault="00C13EBB" w:rsidP="0053218F">
            <w:pPr>
              <w:rPr>
                <w:rFonts w:ascii="Arial" w:eastAsia="Times New Roman" w:hAnsi="Arial" w:cs="Arial"/>
                <w:color w:val="000000"/>
                <w:sz w:val="16"/>
                <w:szCs w:val="16"/>
                <w:lang w:eastAsia="en-CA"/>
              </w:rPr>
            </w:pPr>
          </w:p>
          <w:p w14:paraId="28DF0DB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+0.98</w:t>
            </w:r>
          </w:p>
          <w:p w14:paraId="101E7A81" w14:textId="77777777" w:rsidR="00C13EBB" w:rsidRPr="00EC7D99" w:rsidRDefault="00C13EBB" w:rsidP="0053218F">
            <w:pPr>
              <w:rPr>
                <w:rFonts w:ascii="Arial" w:eastAsia="Times New Roman" w:hAnsi="Arial" w:cs="Arial"/>
                <w:color w:val="000000"/>
                <w:sz w:val="16"/>
                <w:szCs w:val="16"/>
                <w:lang w:eastAsia="en-CA"/>
              </w:rPr>
            </w:pPr>
          </w:p>
          <w:p w14:paraId="7C4E69D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+0.37 </w:t>
            </w:r>
            <w:r w:rsidRPr="00EC7D99">
              <w:rPr>
                <w:rFonts w:ascii="Arial" w:eastAsia="Times New Roman" w:hAnsi="Arial" w:cs="Arial"/>
                <w:color w:val="000000"/>
                <w:sz w:val="16"/>
                <w:szCs w:val="16"/>
                <w:lang w:eastAsia="en-CA"/>
              </w:rPr>
              <w:br/>
              <w:t xml:space="preserve">+0.31 </w:t>
            </w:r>
          </w:p>
          <w:p w14:paraId="673F928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+0.51</w:t>
            </w:r>
          </w:p>
          <w:p w14:paraId="0CE455A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+0.30 </w:t>
            </w:r>
          </w:p>
          <w:p w14:paraId="2EB5B125" w14:textId="77777777" w:rsidR="00C13EBB" w:rsidRPr="00EC7D99" w:rsidRDefault="00C13EBB" w:rsidP="0053218F">
            <w:pPr>
              <w:rPr>
                <w:rFonts w:ascii="Arial" w:eastAsia="Times New Roman" w:hAnsi="Arial" w:cs="Arial"/>
                <w:color w:val="000000"/>
                <w:sz w:val="16"/>
                <w:szCs w:val="16"/>
                <w:lang w:eastAsia="en-CA"/>
              </w:rPr>
            </w:pPr>
          </w:p>
          <w:p w14:paraId="0B59A00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+0.38 </w:t>
            </w:r>
            <w:r w:rsidRPr="00EC7D99">
              <w:rPr>
                <w:rFonts w:ascii="Arial" w:eastAsia="Times New Roman" w:hAnsi="Arial" w:cs="Arial"/>
                <w:color w:val="000000"/>
                <w:sz w:val="16"/>
                <w:szCs w:val="16"/>
                <w:lang w:eastAsia="en-CA"/>
              </w:rPr>
              <w:br/>
            </w:r>
          </w:p>
          <w:p w14:paraId="085BE56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+0.61 </w:t>
            </w:r>
            <w:r w:rsidRPr="00EC7D99">
              <w:rPr>
                <w:rFonts w:ascii="Arial" w:eastAsia="Times New Roman" w:hAnsi="Arial" w:cs="Arial"/>
                <w:color w:val="000000"/>
                <w:sz w:val="16"/>
                <w:szCs w:val="16"/>
                <w:lang w:eastAsia="en-CA"/>
              </w:rPr>
              <w:br/>
            </w:r>
          </w:p>
          <w:p w14:paraId="487BC21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+0.39</w:t>
            </w:r>
          </w:p>
          <w:p w14:paraId="4ED18588" w14:textId="77777777" w:rsidR="00C13EBB" w:rsidRPr="00EC7D99" w:rsidRDefault="00C13EBB" w:rsidP="0053218F">
            <w:pPr>
              <w:rPr>
                <w:rFonts w:ascii="Arial" w:eastAsia="Times New Roman" w:hAnsi="Arial" w:cs="Arial"/>
                <w:color w:val="000000"/>
                <w:sz w:val="16"/>
                <w:szCs w:val="16"/>
                <w:lang w:eastAsia="en-CA"/>
              </w:rPr>
            </w:pPr>
          </w:p>
          <w:p w14:paraId="56FC8D7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+0.25</w:t>
            </w:r>
          </w:p>
        </w:tc>
        <w:tc>
          <w:tcPr>
            <w:tcW w:w="2410" w:type="dxa"/>
          </w:tcPr>
          <w:p w14:paraId="31CB1C7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+1.10</w:t>
            </w:r>
            <w:r w:rsidRPr="00EC7D99">
              <w:rPr>
                <w:rFonts w:ascii="Arial" w:eastAsia="Times New Roman" w:hAnsi="Arial" w:cs="Arial"/>
                <w:color w:val="000000"/>
                <w:sz w:val="16"/>
                <w:szCs w:val="16"/>
                <w:lang w:eastAsia="en-CA"/>
              </w:rPr>
              <w:br/>
            </w:r>
          </w:p>
          <w:p w14:paraId="5810CB97" w14:textId="77777777" w:rsidR="00C13EBB" w:rsidRPr="00EC7D99" w:rsidRDefault="00C13EBB" w:rsidP="0053218F">
            <w:pPr>
              <w:rPr>
                <w:rFonts w:ascii="Arial" w:eastAsia="Times New Roman" w:hAnsi="Arial" w:cs="Arial"/>
                <w:color w:val="000000"/>
                <w:sz w:val="16"/>
                <w:szCs w:val="16"/>
                <w:lang w:eastAsia="en-CA"/>
              </w:rPr>
            </w:pPr>
          </w:p>
          <w:p w14:paraId="175F3414" w14:textId="77777777" w:rsidR="00C13EBB" w:rsidRPr="00EC7D99" w:rsidRDefault="00C13EBB" w:rsidP="0053218F">
            <w:pPr>
              <w:rPr>
                <w:rFonts w:ascii="Arial" w:eastAsia="Times New Roman" w:hAnsi="Arial" w:cs="Arial"/>
                <w:color w:val="000000"/>
                <w:sz w:val="16"/>
                <w:szCs w:val="16"/>
                <w:lang w:eastAsia="en-CA"/>
              </w:rPr>
            </w:pPr>
          </w:p>
          <w:p w14:paraId="3A5D9D0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+0.38</w:t>
            </w:r>
          </w:p>
          <w:p w14:paraId="345E3DD5" w14:textId="77777777" w:rsidR="00C13EBB" w:rsidRPr="00EC7D99" w:rsidRDefault="00C13EBB" w:rsidP="0053218F">
            <w:pPr>
              <w:rPr>
                <w:rFonts w:ascii="Arial" w:eastAsia="Times New Roman" w:hAnsi="Arial" w:cs="Arial"/>
                <w:color w:val="000000"/>
                <w:sz w:val="16"/>
                <w:szCs w:val="16"/>
                <w:lang w:eastAsia="en-CA"/>
              </w:rPr>
            </w:pPr>
          </w:p>
          <w:p w14:paraId="1E76ECD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+0.30 </w:t>
            </w:r>
          </w:p>
          <w:p w14:paraId="5369EE5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+0.28</w:t>
            </w:r>
          </w:p>
          <w:p w14:paraId="21E97CD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+0.27 </w:t>
            </w:r>
            <w:r w:rsidRPr="00EC7D99">
              <w:rPr>
                <w:rFonts w:ascii="Arial" w:eastAsia="Times New Roman" w:hAnsi="Arial" w:cs="Arial"/>
                <w:color w:val="000000"/>
                <w:sz w:val="16"/>
                <w:szCs w:val="16"/>
                <w:lang w:eastAsia="en-CA"/>
              </w:rPr>
              <w:br/>
              <w:t xml:space="preserve">+0.21 </w:t>
            </w:r>
          </w:p>
          <w:p w14:paraId="1565FF0C" w14:textId="77777777" w:rsidR="00C13EBB" w:rsidRPr="00EC7D99" w:rsidRDefault="00C13EBB" w:rsidP="0053218F">
            <w:pPr>
              <w:rPr>
                <w:rFonts w:ascii="Arial" w:eastAsia="Times New Roman" w:hAnsi="Arial" w:cs="Arial"/>
                <w:color w:val="000000"/>
                <w:sz w:val="16"/>
                <w:szCs w:val="16"/>
                <w:lang w:eastAsia="en-CA"/>
              </w:rPr>
            </w:pPr>
          </w:p>
          <w:p w14:paraId="04F62DC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+0.22</w:t>
            </w:r>
            <w:r w:rsidRPr="00EC7D99">
              <w:rPr>
                <w:rFonts w:ascii="Arial" w:eastAsia="Times New Roman" w:hAnsi="Arial" w:cs="Arial"/>
                <w:color w:val="000000"/>
                <w:sz w:val="16"/>
                <w:szCs w:val="16"/>
                <w:lang w:eastAsia="en-CA"/>
              </w:rPr>
              <w:br/>
            </w:r>
          </w:p>
          <w:p w14:paraId="7346EA8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+0.32</w:t>
            </w:r>
          </w:p>
        </w:tc>
      </w:tr>
      <w:tr w:rsidR="00C13EBB" w:rsidRPr="00EC7D99" w14:paraId="4F9960A3" w14:textId="77777777" w:rsidTr="00C07BB8">
        <w:trPr>
          <w:trHeight w:val="454"/>
        </w:trPr>
        <w:tc>
          <w:tcPr>
            <w:tcW w:w="1242" w:type="dxa"/>
          </w:tcPr>
          <w:p w14:paraId="5A1AD775"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Holmes, Gu [49]</w:t>
            </w:r>
          </w:p>
        </w:tc>
        <w:tc>
          <w:tcPr>
            <w:tcW w:w="1418" w:type="dxa"/>
          </w:tcPr>
          <w:p w14:paraId="52C88D2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I</w:t>
            </w:r>
            <w:r w:rsidRPr="00EC7D99">
              <w:rPr>
                <w:rFonts w:ascii="Arial" w:eastAsia="Times New Roman" w:hAnsi="Arial" w:cs="Arial"/>
                <w:color w:val="000000"/>
                <w:sz w:val="16"/>
                <w:szCs w:val="16"/>
                <w:lang w:eastAsia="en-CA"/>
              </w:rPr>
              <w:t>mpairment (4)</w:t>
            </w:r>
          </w:p>
          <w:p w14:paraId="72DC065A"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Activity (1)</w:t>
            </w:r>
          </w:p>
        </w:tc>
        <w:tc>
          <w:tcPr>
            <w:tcW w:w="4394" w:type="dxa"/>
            <w:hideMark/>
          </w:tcPr>
          <w:p w14:paraId="7DECAE3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7BE3859C"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Balance Centre of Pressure – eyes open, feet apart</w:t>
            </w:r>
          </w:p>
          <w:p w14:paraId="62899C98"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Balance Centre of Pressure – eyes open, feet together</w:t>
            </w:r>
          </w:p>
          <w:p w14:paraId="544954D9"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Balance Centre of Pressure – eyes closed, feet apart</w:t>
            </w:r>
          </w:p>
        </w:tc>
        <w:tc>
          <w:tcPr>
            <w:tcW w:w="1843" w:type="dxa"/>
            <w:hideMark/>
          </w:tcPr>
          <w:p w14:paraId="1C48FCAC" w14:textId="77777777" w:rsidR="00C13EBB" w:rsidRPr="00EC7D99" w:rsidRDefault="00C13EBB" w:rsidP="0053218F">
            <w:pPr>
              <w:rPr>
                <w:rFonts w:ascii="Arial" w:eastAsia="Times New Roman" w:hAnsi="Arial" w:cs="Arial"/>
                <w:color w:val="000000"/>
                <w:sz w:val="16"/>
                <w:szCs w:val="16"/>
                <w:lang w:eastAsia="en-CA"/>
              </w:rPr>
            </w:pPr>
          </w:p>
          <w:p w14:paraId="3712254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+0.20</w:t>
            </w:r>
          </w:p>
          <w:p w14:paraId="4E2D09F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+0.20 </w:t>
            </w:r>
          </w:p>
          <w:p w14:paraId="30E4BF5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+0.20  </w:t>
            </w:r>
          </w:p>
        </w:tc>
        <w:tc>
          <w:tcPr>
            <w:tcW w:w="2410" w:type="dxa"/>
          </w:tcPr>
          <w:p w14:paraId="528C7E29" w14:textId="77777777" w:rsidR="00C13EBB" w:rsidRPr="00EC7D99" w:rsidRDefault="00C13EBB" w:rsidP="0053218F">
            <w:pPr>
              <w:rPr>
                <w:rFonts w:ascii="Arial" w:eastAsia="Times New Roman" w:hAnsi="Arial" w:cs="Arial"/>
                <w:color w:val="000000"/>
                <w:sz w:val="16"/>
                <w:szCs w:val="16"/>
                <w:lang w:eastAsia="en-CA"/>
              </w:rPr>
            </w:pPr>
          </w:p>
          <w:p w14:paraId="72D0CEC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365FF309" w14:textId="77777777" w:rsidTr="00C07BB8">
        <w:trPr>
          <w:trHeight w:val="979"/>
        </w:trPr>
        <w:tc>
          <w:tcPr>
            <w:tcW w:w="1242" w:type="dxa"/>
          </w:tcPr>
          <w:p w14:paraId="4A1D3DD5" w14:textId="77777777" w:rsidR="00C13EBB" w:rsidRPr="00EC7D99" w:rsidRDefault="00C13EBB" w:rsidP="0053218F">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Mhatre, Vilares [46]</w:t>
            </w:r>
          </w:p>
          <w:p w14:paraId="5ED9EE71" w14:textId="77777777" w:rsidR="00C13EBB" w:rsidRPr="00EC7D99" w:rsidRDefault="00C13EBB" w:rsidP="0053218F">
            <w:pPr>
              <w:rPr>
                <w:rFonts w:ascii="Arial" w:eastAsia="Times New Roman" w:hAnsi="Arial" w:cs="Arial"/>
                <w:b/>
                <w:color w:val="000000"/>
                <w:sz w:val="16"/>
                <w:szCs w:val="16"/>
                <w:lang w:eastAsia="en-CA"/>
              </w:rPr>
            </w:pPr>
          </w:p>
        </w:tc>
        <w:tc>
          <w:tcPr>
            <w:tcW w:w="1418" w:type="dxa"/>
          </w:tcPr>
          <w:p w14:paraId="699D4BA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526B2C8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(5)</w:t>
            </w:r>
          </w:p>
        </w:tc>
        <w:tc>
          <w:tcPr>
            <w:tcW w:w="4394" w:type="dxa"/>
            <w:hideMark/>
          </w:tcPr>
          <w:p w14:paraId="7497934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75FAD885" w14:textId="77777777" w:rsidR="00C13EBB" w:rsidRPr="00EC7D99" w:rsidRDefault="00C13EBB" w:rsidP="0053218F">
            <w:pPr>
              <w:tabs>
                <w:tab w:val="left" w:pos="0"/>
              </w:tabs>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Geriatric Depression Scale</w:t>
            </w:r>
          </w:p>
          <w:p w14:paraId="335167B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5504CBFE"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Berg Balance Scale</w:t>
            </w:r>
            <w:r w:rsidRPr="00EC7D99">
              <w:rPr>
                <w:rFonts w:ascii="Arial" w:eastAsia="Times New Roman" w:hAnsi="Arial" w:cs="Arial"/>
                <w:i/>
                <w:color w:val="000000"/>
                <w:sz w:val="16"/>
                <w:szCs w:val="16"/>
                <w:lang w:eastAsia="en-CA"/>
              </w:rPr>
              <w:br/>
              <w:t>Dynamic Gait Index</w:t>
            </w:r>
            <w:r w:rsidRPr="00EC7D99">
              <w:rPr>
                <w:rFonts w:ascii="Arial" w:eastAsia="Times New Roman" w:hAnsi="Arial" w:cs="Arial"/>
                <w:i/>
                <w:color w:val="000000"/>
                <w:sz w:val="16"/>
                <w:szCs w:val="16"/>
                <w:lang w:eastAsia="en-CA"/>
              </w:rPr>
              <w:br/>
              <w:t>Sharpened Romberg Test – eyes open</w:t>
            </w:r>
          </w:p>
          <w:p w14:paraId="3412BA6C" w14:textId="77777777" w:rsidR="00C13EBB" w:rsidRPr="00EC7D99" w:rsidRDefault="00C13EBB" w:rsidP="0053218F">
            <w:pPr>
              <w:ind w:left="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Sharpened Romberg Test – eyes closed</w:t>
            </w:r>
          </w:p>
        </w:tc>
        <w:tc>
          <w:tcPr>
            <w:tcW w:w="1843" w:type="dxa"/>
            <w:hideMark/>
          </w:tcPr>
          <w:p w14:paraId="4D869155" w14:textId="77777777" w:rsidR="00C13EBB" w:rsidRPr="00EC7D99" w:rsidRDefault="00C13EBB" w:rsidP="0053218F">
            <w:pPr>
              <w:rPr>
                <w:rFonts w:ascii="Arial" w:eastAsia="Times New Roman" w:hAnsi="Arial" w:cs="Arial"/>
                <w:color w:val="000000"/>
                <w:sz w:val="16"/>
                <w:szCs w:val="16"/>
                <w:lang w:eastAsia="en-CA"/>
              </w:rPr>
            </w:pPr>
          </w:p>
          <w:p w14:paraId="3E824A6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-0.35</w:t>
            </w:r>
          </w:p>
          <w:p w14:paraId="276C9002" w14:textId="77777777" w:rsidR="00C13EBB" w:rsidRPr="00EC7D99" w:rsidRDefault="00C13EBB" w:rsidP="0053218F">
            <w:pPr>
              <w:rPr>
                <w:rFonts w:ascii="Arial" w:eastAsia="Times New Roman" w:hAnsi="Arial" w:cs="Arial"/>
                <w:color w:val="000000"/>
                <w:sz w:val="16"/>
                <w:szCs w:val="16"/>
                <w:lang w:eastAsia="en-CA"/>
              </w:rPr>
            </w:pPr>
          </w:p>
          <w:p w14:paraId="0ADD609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+0.37 </w:t>
            </w:r>
            <w:r w:rsidRPr="00EC7D99">
              <w:rPr>
                <w:rFonts w:ascii="Arial" w:eastAsia="Times New Roman" w:hAnsi="Arial" w:cs="Arial"/>
                <w:color w:val="000000"/>
                <w:sz w:val="16"/>
                <w:szCs w:val="16"/>
                <w:lang w:eastAsia="en-CA"/>
              </w:rPr>
              <w:br/>
              <w:t xml:space="preserve">+0.98 </w:t>
            </w:r>
            <w:r w:rsidRPr="00EC7D99">
              <w:rPr>
                <w:rFonts w:ascii="Arial" w:eastAsia="Times New Roman" w:hAnsi="Arial" w:cs="Arial"/>
                <w:color w:val="000000"/>
                <w:sz w:val="16"/>
                <w:szCs w:val="16"/>
                <w:lang w:eastAsia="en-CA"/>
              </w:rPr>
              <w:br/>
              <w:t xml:space="preserve">+0.28 </w:t>
            </w:r>
          </w:p>
          <w:p w14:paraId="69D0303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+0.57 </w:t>
            </w:r>
          </w:p>
        </w:tc>
        <w:tc>
          <w:tcPr>
            <w:tcW w:w="2410" w:type="dxa"/>
          </w:tcPr>
          <w:p w14:paraId="72D77FC1" w14:textId="77777777" w:rsidR="00C13EBB" w:rsidRPr="00EC7D99" w:rsidRDefault="00C13EBB" w:rsidP="0053218F">
            <w:pPr>
              <w:rPr>
                <w:rFonts w:ascii="Arial" w:eastAsia="Times New Roman" w:hAnsi="Arial" w:cs="Arial"/>
                <w:color w:val="000000"/>
                <w:sz w:val="16"/>
                <w:szCs w:val="16"/>
                <w:lang w:eastAsia="en-CA"/>
              </w:rPr>
            </w:pPr>
          </w:p>
          <w:p w14:paraId="504D090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2C68FFCF" w14:textId="77777777" w:rsidTr="00C07BB8">
        <w:trPr>
          <w:trHeight w:val="546"/>
        </w:trPr>
        <w:tc>
          <w:tcPr>
            <w:tcW w:w="1242" w:type="dxa"/>
          </w:tcPr>
          <w:p w14:paraId="19FB8187"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Zalecki, Gorecka-Mazur [47]</w:t>
            </w:r>
          </w:p>
        </w:tc>
        <w:tc>
          <w:tcPr>
            <w:tcW w:w="1418" w:type="dxa"/>
          </w:tcPr>
          <w:p w14:paraId="60A4E90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(1)</w:t>
            </w:r>
          </w:p>
          <w:p w14:paraId="318D0C09"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hideMark/>
          </w:tcPr>
          <w:p w14:paraId="0B13823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06778D17"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Timed Up and Go</w:t>
            </w:r>
          </w:p>
          <w:p w14:paraId="336C70AA" w14:textId="77777777" w:rsidR="00C13EBB" w:rsidRPr="00EC7D99" w:rsidRDefault="00C13EBB" w:rsidP="0053218F">
            <w:pPr>
              <w:ind w:left="227" w:hanging="227"/>
              <w:rPr>
                <w:rFonts w:ascii="Arial" w:eastAsia="Times New Roman" w:hAnsi="Arial" w:cs="Arial"/>
                <w:i/>
                <w:color w:val="000000"/>
                <w:sz w:val="16"/>
                <w:szCs w:val="16"/>
                <w:lang w:eastAsia="en-CA"/>
              </w:rPr>
            </w:pPr>
            <w:r w:rsidRPr="00EC7D99">
              <w:rPr>
                <w:rFonts w:ascii="Arial" w:eastAsia="Times New Roman" w:hAnsi="Arial" w:cs="Arial"/>
                <w:color w:val="000000"/>
                <w:sz w:val="16"/>
                <w:szCs w:val="16"/>
                <w:lang w:eastAsia="en-CA"/>
              </w:rPr>
              <w:t xml:space="preserve">Global Motor Function </w:t>
            </w:r>
            <w:r w:rsidRPr="00EC7D99">
              <w:rPr>
                <w:rFonts w:ascii="Arial" w:eastAsia="Times New Roman" w:hAnsi="Arial" w:cs="Arial"/>
                <w:i/>
                <w:color w:val="000000"/>
                <w:sz w:val="16"/>
                <w:szCs w:val="16"/>
                <w:lang w:eastAsia="en-CA"/>
              </w:rPr>
              <w:br/>
              <w:t xml:space="preserve">UPDRS </w:t>
            </w:r>
          </w:p>
        </w:tc>
        <w:tc>
          <w:tcPr>
            <w:tcW w:w="1843" w:type="dxa"/>
            <w:hideMark/>
          </w:tcPr>
          <w:p w14:paraId="622B0445" w14:textId="77777777" w:rsidR="00C13EBB" w:rsidRPr="00EC7D99" w:rsidRDefault="00C13EBB" w:rsidP="0053218F">
            <w:pPr>
              <w:rPr>
                <w:rFonts w:ascii="Arial" w:eastAsia="Times New Roman" w:hAnsi="Arial" w:cs="Arial"/>
                <w:color w:val="000000"/>
                <w:sz w:val="16"/>
                <w:szCs w:val="16"/>
                <w:lang w:eastAsia="en-CA"/>
              </w:rPr>
            </w:pPr>
          </w:p>
          <w:p w14:paraId="274FB51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+2.59 </w:t>
            </w:r>
          </w:p>
          <w:p w14:paraId="37E30E0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+10.35 </w:t>
            </w:r>
          </w:p>
        </w:tc>
        <w:tc>
          <w:tcPr>
            <w:tcW w:w="2410" w:type="dxa"/>
          </w:tcPr>
          <w:p w14:paraId="1C9DA76A" w14:textId="77777777" w:rsidR="00C13EBB" w:rsidRPr="00EC7D99" w:rsidRDefault="00C13EBB" w:rsidP="0053218F">
            <w:pPr>
              <w:rPr>
                <w:rFonts w:ascii="Arial" w:eastAsia="Times New Roman" w:hAnsi="Arial" w:cs="Arial"/>
                <w:color w:val="000000"/>
                <w:sz w:val="16"/>
                <w:szCs w:val="16"/>
                <w:lang w:eastAsia="en-CA"/>
              </w:rPr>
            </w:pPr>
          </w:p>
          <w:p w14:paraId="672C5FE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680F2E90" w14:textId="77777777" w:rsidTr="00C07BB8">
        <w:trPr>
          <w:trHeight w:val="546"/>
        </w:trPr>
        <w:tc>
          <w:tcPr>
            <w:tcW w:w="1242" w:type="dxa"/>
          </w:tcPr>
          <w:p w14:paraId="532A739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Gonçalves, Leite [48]</w:t>
            </w:r>
          </w:p>
        </w:tc>
        <w:tc>
          <w:tcPr>
            <w:tcW w:w="1418" w:type="dxa"/>
          </w:tcPr>
          <w:p w14:paraId="1EA0C44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(2)</w:t>
            </w:r>
          </w:p>
          <w:p w14:paraId="189633D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554F1EA9"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r w:rsidRPr="00EC7D99">
              <w:rPr>
                <w:rFonts w:ascii="Arial" w:eastAsia="Times New Roman" w:hAnsi="Arial" w:cs="Arial"/>
                <w:color w:val="000000"/>
                <w:sz w:val="16"/>
                <w:szCs w:val="16"/>
                <w:lang w:eastAsia="en-CA"/>
              </w:rPr>
              <w:br/>
            </w:r>
            <w:r w:rsidRPr="00EC7D99">
              <w:rPr>
                <w:rFonts w:ascii="Arial" w:eastAsia="Times New Roman" w:hAnsi="Arial" w:cs="Arial"/>
                <w:i/>
                <w:color w:val="000000"/>
                <w:sz w:val="16"/>
                <w:szCs w:val="16"/>
                <w:lang w:eastAsia="en-CA"/>
              </w:rPr>
              <w:t>Shwab &amp; England ADL scale</w:t>
            </w:r>
            <w:r w:rsidRPr="00EC7D99">
              <w:rPr>
                <w:rFonts w:ascii="Arial" w:eastAsia="Times New Roman" w:hAnsi="Arial" w:cs="Arial"/>
                <w:i/>
                <w:color w:val="000000"/>
                <w:sz w:val="16"/>
                <w:szCs w:val="16"/>
                <w:lang w:eastAsia="en-CA"/>
              </w:rPr>
              <w:br/>
              <w:t>Functional Independence Measure</w:t>
            </w:r>
          </w:p>
          <w:p w14:paraId="575820A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Global Motor Function </w:t>
            </w:r>
          </w:p>
          <w:p w14:paraId="6AE93F5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112EFD6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+1.30 </w:t>
            </w:r>
            <w:r w:rsidRPr="00EC7D99">
              <w:rPr>
                <w:rFonts w:ascii="Arial" w:eastAsia="Times New Roman" w:hAnsi="Arial" w:cs="Arial"/>
                <w:color w:val="000000"/>
                <w:sz w:val="16"/>
                <w:szCs w:val="16"/>
                <w:lang w:eastAsia="en-CA"/>
              </w:rPr>
              <w:br/>
              <w:t>+1.49</w:t>
            </w:r>
          </w:p>
          <w:p w14:paraId="52BC9011" w14:textId="77777777" w:rsidR="00C13EBB" w:rsidRPr="00EC7D99" w:rsidRDefault="00C13EBB" w:rsidP="0053218F">
            <w:pPr>
              <w:rPr>
                <w:rFonts w:ascii="Arial" w:eastAsia="Times New Roman" w:hAnsi="Arial" w:cs="Arial"/>
                <w:color w:val="000000"/>
                <w:sz w:val="16"/>
                <w:szCs w:val="16"/>
                <w:lang w:eastAsia="en-CA"/>
              </w:rPr>
            </w:pPr>
          </w:p>
          <w:p w14:paraId="26EFBDB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+1.45</w:t>
            </w:r>
          </w:p>
        </w:tc>
        <w:tc>
          <w:tcPr>
            <w:tcW w:w="2410" w:type="dxa"/>
          </w:tcPr>
          <w:p w14:paraId="564E9BCE" w14:textId="77777777" w:rsidR="00C13EBB" w:rsidRPr="00EC7D99" w:rsidRDefault="00C13EBB" w:rsidP="0053218F">
            <w:pPr>
              <w:rPr>
                <w:rFonts w:ascii="Arial" w:eastAsia="Times New Roman" w:hAnsi="Arial" w:cs="Arial"/>
                <w:color w:val="000000"/>
                <w:sz w:val="16"/>
                <w:szCs w:val="16"/>
                <w:lang w:eastAsia="en-CA"/>
              </w:rPr>
            </w:pPr>
          </w:p>
          <w:p w14:paraId="20BC04C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028C5E8D" w14:textId="77777777" w:rsidTr="00C07BB8">
        <w:trPr>
          <w:trHeight w:val="546"/>
        </w:trPr>
        <w:tc>
          <w:tcPr>
            <w:tcW w:w="11307" w:type="dxa"/>
            <w:gridSpan w:val="5"/>
          </w:tcPr>
          <w:p w14:paraId="297A2AF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Note: The total number of measures by category is shown in column 2. Only data from outcome measures with small (</w:t>
            </w:r>
            <w:r w:rsidRPr="00EC7D99">
              <w:rPr>
                <w:rFonts w:ascii="Arial" w:eastAsia="Times New Roman" w:hAnsi="Arial" w:cs="Arial"/>
                <w:i/>
                <w:color w:val="000000"/>
                <w:sz w:val="16"/>
                <w:szCs w:val="16"/>
                <w:lang w:eastAsia="en-CA"/>
              </w:rPr>
              <w:t>d</w:t>
            </w:r>
            <w:r w:rsidRPr="00EC7D99">
              <w:rPr>
                <w:rFonts w:ascii="Arial" w:eastAsia="Times New Roman" w:hAnsi="Arial" w:cs="Arial"/>
                <w:color w:val="000000"/>
                <w:sz w:val="16"/>
                <w:szCs w:val="16"/>
                <w:lang w:eastAsia="en-CA"/>
              </w:rPr>
              <w:t xml:space="preserve"> ≥ .2), medium (</w:t>
            </w:r>
            <w:r w:rsidRPr="00EC7D99">
              <w:rPr>
                <w:rFonts w:ascii="Arial" w:eastAsia="Times New Roman" w:hAnsi="Arial" w:cs="Arial"/>
                <w:i/>
                <w:color w:val="000000"/>
                <w:sz w:val="16"/>
                <w:szCs w:val="16"/>
                <w:lang w:eastAsia="en-CA"/>
              </w:rPr>
              <w:t>d</w:t>
            </w:r>
            <w:r w:rsidRPr="00EC7D99">
              <w:rPr>
                <w:rFonts w:ascii="Arial" w:eastAsia="Times New Roman" w:hAnsi="Arial" w:cs="Arial"/>
                <w:color w:val="000000"/>
                <w:sz w:val="16"/>
                <w:szCs w:val="16"/>
                <w:lang w:eastAsia="en-CA"/>
              </w:rPr>
              <w:t xml:space="preserve"> ≥ .5) or large effect sizes (</w:t>
            </w:r>
            <w:r w:rsidRPr="00EC7D99">
              <w:rPr>
                <w:rFonts w:ascii="Arial" w:eastAsia="Times New Roman" w:hAnsi="Arial" w:cs="Arial"/>
                <w:i/>
                <w:color w:val="000000"/>
                <w:sz w:val="16"/>
                <w:szCs w:val="16"/>
                <w:lang w:eastAsia="en-CA"/>
              </w:rPr>
              <w:t>d</w:t>
            </w:r>
            <w:r w:rsidRPr="00EC7D99">
              <w:rPr>
                <w:rFonts w:ascii="Arial" w:eastAsia="Times New Roman" w:hAnsi="Arial" w:cs="Arial"/>
                <w:color w:val="000000"/>
                <w:sz w:val="16"/>
                <w:szCs w:val="16"/>
                <w:lang w:eastAsia="en-CA"/>
              </w:rPr>
              <w:t xml:space="preserve"> ≥ .8) shown; ‘ + ’ indicates improvement in performance, and ‘ – ’ indicates decline in performance.</w:t>
            </w:r>
          </w:p>
          <w:p w14:paraId="4ECF521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 = not applicable; UPDRS = Unified Parkinson’s Disease Rating Scale; ADL = Activities of Daily Living.</w:t>
            </w:r>
          </w:p>
        </w:tc>
      </w:tr>
    </w:tbl>
    <w:p w14:paraId="5E13EAD0" w14:textId="77777777" w:rsidR="00C13EBB" w:rsidRPr="00EC7D99" w:rsidRDefault="00C13EBB" w:rsidP="00DE73FB">
      <w:pPr>
        <w:spacing w:line="480" w:lineRule="auto"/>
        <w:rPr>
          <w:rFonts w:cs="Times New Roman"/>
        </w:rPr>
      </w:pPr>
    </w:p>
    <w:p w14:paraId="3D24121E" w14:textId="77777777" w:rsidR="00C13EBB" w:rsidRPr="00EC7D99" w:rsidRDefault="00C13EBB" w:rsidP="00DE73FB">
      <w:pPr>
        <w:spacing w:line="480" w:lineRule="auto"/>
        <w:rPr>
          <w:rFonts w:cs="Times New Roman"/>
        </w:rPr>
      </w:pPr>
    </w:p>
    <w:p w14:paraId="2BD7F09A" w14:textId="77777777" w:rsidR="00C13EBB" w:rsidRPr="00EC7D99" w:rsidRDefault="00C13EBB" w:rsidP="00DE73FB">
      <w:pPr>
        <w:spacing w:line="480" w:lineRule="auto"/>
        <w:rPr>
          <w:rFonts w:cs="Times New Roman"/>
        </w:rPr>
      </w:pPr>
      <w:r w:rsidRPr="00EC7D99">
        <w:rPr>
          <w:rFonts w:cs="Times New Roman"/>
        </w:rPr>
        <w:br w:type="page"/>
      </w:r>
    </w:p>
    <w:tbl>
      <w:tblPr>
        <w:tblStyle w:val="TableGrid"/>
        <w:tblW w:w="11338"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463"/>
        <w:gridCol w:w="4394"/>
        <w:gridCol w:w="1843"/>
        <w:gridCol w:w="2362"/>
      </w:tblGrid>
      <w:tr w:rsidR="00C13EBB" w:rsidRPr="00EC7D99" w14:paraId="31A0A20B" w14:textId="77777777" w:rsidTr="00C07BB8">
        <w:trPr>
          <w:trHeight w:val="219"/>
          <w:jc w:val="center"/>
        </w:trPr>
        <w:tc>
          <w:tcPr>
            <w:tcW w:w="11338" w:type="dxa"/>
            <w:gridSpan w:val="5"/>
            <w:tcBorders>
              <w:top w:val="nil"/>
              <w:bottom w:val="single" w:sz="4" w:space="0" w:color="auto"/>
            </w:tcBorders>
          </w:tcPr>
          <w:p w14:paraId="16360669"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Table 4. Summary of Between-Group Findings</w:t>
            </w:r>
          </w:p>
        </w:tc>
      </w:tr>
      <w:tr w:rsidR="00C13EBB" w:rsidRPr="00EC7D99" w14:paraId="7C1ECD0D" w14:textId="77777777" w:rsidTr="00C07BB8">
        <w:trPr>
          <w:trHeight w:val="219"/>
          <w:jc w:val="center"/>
        </w:trPr>
        <w:tc>
          <w:tcPr>
            <w:tcW w:w="1276" w:type="dxa"/>
            <w:tcBorders>
              <w:bottom w:val="single" w:sz="4" w:space="0" w:color="auto"/>
            </w:tcBorders>
          </w:tcPr>
          <w:p w14:paraId="7A7546CD"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Study</w:t>
            </w:r>
          </w:p>
        </w:tc>
        <w:tc>
          <w:tcPr>
            <w:tcW w:w="1463" w:type="dxa"/>
            <w:tcBorders>
              <w:bottom w:val="single" w:sz="4" w:space="0" w:color="auto"/>
            </w:tcBorders>
          </w:tcPr>
          <w:p w14:paraId="002A194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Classification of Measures (n)</w:t>
            </w:r>
          </w:p>
        </w:tc>
        <w:tc>
          <w:tcPr>
            <w:tcW w:w="4394" w:type="dxa"/>
            <w:tcBorders>
              <w:bottom w:val="single" w:sz="4" w:space="0" w:color="auto"/>
            </w:tcBorders>
            <w:hideMark/>
          </w:tcPr>
          <w:p w14:paraId="6A1803A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Outcome Measures</w:t>
            </w:r>
          </w:p>
        </w:tc>
        <w:tc>
          <w:tcPr>
            <w:tcW w:w="1843" w:type="dxa"/>
            <w:tcBorders>
              <w:bottom w:val="single" w:sz="4" w:space="0" w:color="auto"/>
            </w:tcBorders>
            <w:hideMark/>
          </w:tcPr>
          <w:p w14:paraId="36519948"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Post Intervention</w:t>
            </w:r>
          </w:p>
        </w:tc>
        <w:tc>
          <w:tcPr>
            <w:tcW w:w="2362" w:type="dxa"/>
            <w:tcBorders>
              <w:bottom w:val="single" w:sz="4" w:space="0" w:color="auto"/>
            </w:tcBorders>
            <w:hideMark/>
          </w:tcPr>
          <w:p w14:paraId="73721F11"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at Follow-up</w:t>
            </w:r>
          </w:p>
        </w:tc>
      </w:tr>
      <w:tr w:rsidR="00C13EBB" w:rsidRPr="00EC7D99" w14:paraId="4CF82A7F" w14:textId="77777777" w:rsidTr="00C07BB8">
        <w:trPr>
          <w:trHeight w:val="217"/>
          <w:jc w:val="center"/>
        </w:trPr>
        <w:tc>
          <w:tcPr>
            <w:tcW w:w="11338" w:type="dxa"/>
            <w:gridSpan w:val="5"/>
          </w:tcPr>
          <w:p w14:paraId="44AD71E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Augmented Visual Feedback Treatment vs. Active Control Group</w:t>
            </w:r>
          </w:p>
        </w:tc>
      </w:tr>
      <w:tr w:rsidR="00C13EBB" w:rsidRPr="00EC7D99" w14:paraId="7DB52D4E" w14:textId="77777777" w:rsidTr="00C07BB8">
        <w:trPr>
          <w:trHeight w:val="553"/>
          <w:jc w:val="center"/>
        </w:trPr>
        <w:tc>
          <w:tcPr>
            <w:tcW w:w="1276" w:type="dxa"/>
          </w:tcPr>
          <w:p w14:paraId="67833A1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Stern [57]</w:t>
            </w:r>
          </w:p>
        </w:tc>
        <w:tc>
          <w:tcPr>
            <w:tcW w:w="1463" w:type="dxa"/>
          </w:tcPr>
          <w:p w14:paraId="3057F95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(2)</w:t>
            </w:r>
          </w:p>
        </w:tc>
        <w:tc>
          <w:tcPr>
            <w:tcW w:w="4394" w:type="dxa"/>
          </w:tcPr>
          <w:p w14:paraId="3A0563E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7BD6AB4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Timed Up and GO</w:t>
            </w:r>
            <w:r w:rsidRPr="00EC7D99">
              <w:rPr>
                <w:rFonts w:ascii="Arial" w:eastAsia="Times New Roman" w:hAnsi="Arial" w:cs="Arial"/>
                <w:i/>
                <w:color w:val="000000"/>
                <w:sz w:val="16"/>
                <w:szCs w:val="16"/>
                <w:lang w:eastAsia="en-CA"/>
              </w:rPr>
              <w:br/>
              <w:t>Functional Reach Task</w:t>
            </w:r>
          </w:p>
        </w:tc>
        <w:tc>
          <w:tcPr>
            <w:tcW w:w="1843" w:type="dxa"/>
          </w:tcPr>
          <w:p w14:paraId="757671A6" w14:textId="77777777" w:rsidR="00C13EBB" w:rsidRPr="00EC7D99" w:rsidRDefault="00C13EBB" w:rsidP="0053218F">
            <w:pPr>
              <w:rPr>
                <w:rFonts w:ascii="Arial" w:eastAsia="Times New Roman" w:hAnsi="Arial" w:cs="Arial"/>
                <w:color w:val="000000"/>
                <w:sz w:val="16"/>
                <w:szCs w:val="16"/>
                <w:lang w:eastAsia="en-CA"/>
              </w:rPr>
            </w:pPr>
          </w:p>
          <w:p w14:paraId="5BF2F50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+0.58</w:t>
            </w:r>
            <w:r w:rsidRPr="00EC7D99">
              <w:rPr>
                <w:rFonts w:ascii="Arial" w:eastAsia="Times New Roman" w:hAnsi="Arial" w:cs="Arial"/>
                <w:color w:val="000000"/>
                <w:sz w:val="16"/>
                <w:szCs w:val="16"/>
                <w:lang w:eastAsia="en-CA"/>
              </w:rPr>
              <w:br/>
              <w:t>+0.40</w:t>
            </w:r>
          </w:p>
        </w:tc>
        <w:tc>
          <w:tcPr>
            <w:tcW w:w="2362" w:type="dxa"/>
          </w:tcPr>
          <w:p w14:paraId="12ADD90B" w14:textId="77777777" w:rsidR="00C13EBB" w:rsidRPr="00EC7D99" w:rsidRDefault="00C13EBB" w:rsidP="0053218F">
            <w:pPr>
              <w:rPr>
                <w:rFonts w:ascii="Arial" w:eastAsia="Times New Roman" w:hAnsi="Arial" w:cs="Arial"/>
                <w:color w:val="000000"/>
                <w:sz w:val="16"/>
                <w:szCs w:val="16"/>
                <w:lang w:eastAsia="en-CA"/>
              </w:rPr>
            </w:pPr>
          </w:p>
          <w:p w14:paraId="326C3EE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+1.12</w:t>
            </w:r>
            <w:r w:rsidRPr="00EC7D99">
              <w:rPr>
                <w:rFonts w:ascii="Arial" w:eastAsia="Times New Roman" w:hAnsi="Arial" w:cs="Arial"/>
                <w:color w:val="000000"/>
                <w:sz w:val="16"/>
                <w:szCs w:val="16"/>
                <w:lang w:eastAsia="en-CA"/>
              </w:rPr>
              <w:br/>
              <w:t>+0.94</w:t>
            </w:r>
          </w:p>
        </w:tc>
      </w:tr>
      <w:tr w:rsidR="00C13EBB" w:rsidRPr="00EC7D99" w14:paraId="4D398443" w14:textId="77777777" w:rsidTr="00C07BB8">
        <w:trPr>
          <w:trHeight w:val="777"/>
          <w:jc w:val="center"/>
        </w:trPr>
        <w:tc>
          <w:tcPr>
            <w:tcW w:w="1276" w:type="dxa"/>
          </w:tcPr>
          <w:p w14:paraId="2A97F4EF"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Pompeu, dos Santos Mendes [42]</w:t>
            </w:r>
          </w:p>
        </w:tc>
        <w:tc>
          <w:tcPr>
            <w:tcW w:w="1463" w:type="dxa"/>
          </w:tcPr>
          <w:p w14:paraId="229C485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60912C4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(3)</w:t>
            </w:r>
          </w:p>
          <w:p w14:paraId="3C5D138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59C343E3"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r w:rsidRPr="00EC7D99">
              <w:rPr>
                <w:rFonts w:ascii="Arial" w:eastAsia="Times New Roman" w:hAnsi="Arial" w:cs="Arial"/>
                <w:color w:val="000000"/>
                <w:sz w:val="16"/>
                <w:szCs w:val="16"/>
                <w:lang w:eastAsia="en-CA"/>
              </w:rPr>
              <w:br/>
            </w:r>
            <w:r w:rsidRPr="00EC7D99">
              <w:rPr>
                <w:rFonts w:ascii="Arial" w:eastAsia="Times New Roman" w:hAnsi="Arial" w:cs="Arial"/>
                <w:i/>
                <w:color w:val="000000"/>
                <w:sz w:val="16"/>
                <w:szCs w:val="16"/>
                <w:lang w:eastAsia="en-CA"/>
              </w:rPr>
              <w:t>Unipedal Stance Test (eyes open)</w:t>
            </w:r>
          </w:p>
          <w:p w14:paraId="3310427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w:t>
            </w:r>
          </w:p>
          <w:p w14:paraId="11D3AC4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0083C9E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+0.23</w:t>
            </w:r>
          </w:p>
        </w:tc>
        <w:tc>
          <w:tcPr>
            <w:tcW w:w="2362" w:type="dxa"/>
          </w:tcPr>
          <w:p w14:paraId="5AE459C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+0.23</w:t>
            </w:r>
          </w:p>
          <w:p w14:paraId="05564653" w14:textId="77777777" w:rsidR="00C13EBB" w:rsidRPr="00EC7D99" w:rsidRDefault="00C13EBB" w:rsidP="0053218F">
            <w:pPr>
              <w:rPr>
                <w:rFonts w:ascii="Arial" w:eastAsia="Times New Roman" w:hAnsi="Arial" w:cs="Arial"/>
                <w:color w:val="000000"/>
                <w:sz w:val="16"/>
                <w:szCs w:val="16"/>
                <w:lang w:eastAsia="en-CA"/>
              </w:rPr>
            </w:pPr>
          </w:p>
          <w:p w14:paraId="59D4A13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-0.22</w:t>
            </w:r>
          </w:p>
        </w:tc>
      </w:tr>
      <w:tr w:rsidR="00C13EBB" w:rsidRPr="00EC7D99" w14:paraId="3266446D" w14:textId="77777777" w:rsidTr="00C07BB8">
        <w:trPr>
          <w:trHeight w:val="357"/>
          <w:jc w:val="center"/>
        </w:trPr>
        <w:tc>
          <w:tcPr>
            <w:tcW w:w="1276" w:type="dxa"/>
          </w:tcPr>
          <w:p w14:paraId="3293CA8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Pedreira, Prazeres [54]</w:t>
            </w:r>
          </w:p>
        </w:tc>
        <w:tc>
          <w:tcPr>
            <w:tcW w:w="1463" w:type="dxa"/>
          </w:tcPr>
          <w:p w14:paraId="6ACE05E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 (1)</w:t>
            </w:r>
          </w:p>
        </w:tc>
        <w:tc>
          <w:tcPr>
            <w:tcW w:w="4394" w:type="dxa"/>
          </w:tcPr>
          <w:p w14:paraId="7CC5F6E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w:t>
            </w:r>
          </w:p>
          <w:p w14:paraId="519D5FA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Parkinson’s Disease Questionnaire-39</w:t>
            </w:r>
          </w:p>
        </w:tc>
        <w:tc>
          <w:tcPr>
            <w:tcW w:w="1843" w:type="dxa"/>
          </w:tcPr>
          <w:p w14:paraId="1D6C110B" w14:textId="77777777" w:rsidR="00C13EBB" w:rsidRPr="00EC7D99" w:rsidRDefault="00C13EBB" w:rsidP="0053218F">
            <w:pPr>
              <w:rPr>
                <w:rFonts w:ascii="Arial" w:eastAsia="Times New Roman" w:hAnsi="Arial" w:cs="Arial"/>
                <w:color w:val="000000"/>
                <w:sz w:val="16"/>
                <w:szCs w:val="16"/>
                <w:lang w:eastAsia="en-CA"/>
              </w:rPr>
            </w:pPr>
          </w:p>
          <w:p w14:paraId="55D6986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+0.72</w:t>
            </w:r>
          </w:p>
        </w:tc>
        <w:tc>
          <w:tcPr>
            <w:tcW w:w="2362" w:type="dxa"/>
          </w:tcPr>
          <w:p w14:paraId="24A0A2B9" w14:textId="77777777" w:rsidR="00C13EBB" w:rsidRPr="00EC7D99" w:rsidRDefault="00C13EBB" w:rsidP="0053218F">
            <w:pPr>
              <w:rPr>
                <w:rFonts w:ascii="Arial" w:eastAsia="Times New Roman" w:hAnsi="Arial" w:cs="Arial"/>
                <w:color w:val="000000"/>
                <w:sz w:val="16"/>
                <w:szCs w:val="16"/>
                <w:lang w:eastAsia="en-CA"/>
              </w:rPr>
            </w:pPr>
          </w:p>
          <w:p w14:paraId="418F52B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6DB74AFF" w14:textId="77777777" w:rsidTr="00C07BB8">
        <w:trPr>
          <w:trHeight w:val="1685"/>
          <w:jc w:val="center"/>
        </w:trPr>
        <w:tc>
          <w:tcPr>
            <w:tcW w:w="1276" w:type="dxa"/>
          </w:tcPr>
          <w:p w14:paraId="185BD7AD"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Shen and Mak [59]</w:t>
            </w:r>
          </w:p>
        </w:tc>
        <w:tc>
          <w:tcPr>
            <w:tcW w:w="1463" w:type="dxa"/>
          </w:tcPr>
          <w:p w14:paraId="166DC5A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(6)</w:t>
            </w:r>
          </w:p>
        </w:tc>
        <w:tc>
          <w:tcPr>
            <w:tcW w:w="4394" w:type="dxa"/>
          </w:tcPr>
          <w:p w14:paraId="0C44DEF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492AFCF4"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Activities-Specific Balance Confidence Scale</w:t>
            </w:r>
          </w:p>
          <w:p w14:paraId="1136F835"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Limits of Stability – velocity</w:t>
            </w:r>
          </w:p>
          <w:p w14:paraId="04DCBB63"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Limits of Stability – end-point excursion</w:t>
            </w:r>
          </w:p>
          <w:p w14:paraId="230D65EF"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Gait velocity </w:t>
            </w:r>
          </w:p>
          <w:p w14:paraId="540C58AA" w14:textId="77777777" w:rsidR="00C13EBB" w:rsidRPr="00EC7D99" w:rsidRDefault="00C13EBB" w:rsidP="0053218F">
            <w:pPr>
              <w:ind w:left="181" w:hanging="181"/>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 xml:space="preserve">     Stride length</w:t>
            </w:r>
          </w:p>
        </w:tc>
        <w:tc>
          <w:tcPr>
            <w:tcW w:w="1843" w:type="dxa"/>
          </w:tcPr>
          <w:p w14:paraId="78B25F9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r>
          </w:p>
          <w:p w14:paraId="6E0A7BB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+0.38 </w:t>
            </w:r>
            <w:r w:rsidRPr="00EC7D99">
              <w:rPr>
                <w:rFonts w:ascii="Arial" w:eastAsia="Times New Roman" w:hAnsi="Arial" w:cs="Arial"/>
                <w:color w:val="000000"/>
                <w:sz w:val="16"/>
                <w:szCs w:val="16"/>
                <w:lang w:eastAsia="en-CA"/>
              </w:rPr>
              <w:br/>
              <w:t xml:space="preserve">-0.32 </w:t>
            </w:r>
          </w:p>
          <w:p w14:paraId="23394DE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-0.23</w:t>
            </w:r>
            <w:r w:rsidRPr="00EC7D99">
              <w:rPr>
                <w:rFonts w:ascii="Arial" w:eastAsia="Times New Roman" w:hAnsi="Arial" w:cs="Arial"/>
                <w:color w:val="000000"/>
                <w:sz w:val="16"/>
                <w:szCs w:val="16"/>
                <w:lang w:eastAsia="en-CA"/>
              </w:rPr>
              <w:br/>
              <w:t xml:space="preserve">+0.61 </w:t>
            </w:r>
          </w:p>
        </w:tc>
        <w:tc>
          <w:tcPr>
            <w:tcW w:w="2362" w:type="dxa"/>
          </w:tcPr>
          <w:p w14:paraId="686DC3AC" w14:textId="77777777" w:rsidR="00C13EBB" w:rsidRPr="00EC7D99" w:rsidRDefault="00C13EBB" w:rsidP="0053218F">
            <w:pPr>
              <w:rPr>
                <w:rFonts w:ascii="Arial" w:eastAsia="Times New Roman" w:hAnsi="Arial" w:cs="Arial"/>
                <w:color w:val="000000"/>
                <w:sz w:val="16"/>
                <w:szCs w:val="16"/>
                <w:lang w:eastAsia="en-CA"/>
              </w:rPr>
            </w:pPr>
          </w:p>
          <w:p w14:paraId="55F87EE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+0.35 (4 wks); +0.38 (52 wks)</w:t>
            </w:r>
            <w:r w:rsidRPr="00EC7D99">
              <w:rPr>
                <w:rFonts w:ascii="Arial" w:eastAsia="Times New Roman" w:hAnsi="Arial" w:cs="Arial"/>
                <w:color w:val="000000"/>
                <w:sz w:val="16"/>
                <w:szCs w:val="16"/>
                <w:lang w:eastAsia="en-CA"/>
              </w:rPr>
              <w:br/>
              <w:t>+0.59 (4 wks); +0.24 (52 wks)</w:t>
            </w:r>
            <w:r w:rsidRPr="00EC7D99">
              <w:rPr>
                <w:rFonts w:ascii="Arial" w:eastAsia="Times New Roman" w:hAnsi="Arial" w:cs="Arial"/>
                <w:color w:val="000000"/>
                <w:sz w:val="16"/>
                <w:szCs w:val="16"/>
                <w:lang w:eastAsia="en-CA"/>
              </w:rPr>
              <w:br/>
            </w:r>
            <w:r w:rsidRPr="00EC7D99">
              <w:rPr>
                <w:rFonts w:ascii="Arial" w:eastAsia="Times New Roman" w:hAnsi="Arial" w:cs="Arial"/>
                <w:color w:val="000000"/>
                <w:sz w:val="16"/>
                <w:szCs w:val="16"/>
                <w:lang w:eastAsia="en-CA"/>
              </w:rPr>
              <w:br/>
            </w:r>
          </w:p>
          <w:p w14:paraId="3928CFC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+0.38 (4 wks); +0.50 (52 wks)</w:t>
            </w:r>
          </w:p>
        </w:tc>
      </w:tr>
      <w:tr w:rsidR="00C13EBB" w:rsidRPr="00EC7D99" w14:paraId="5D7903BE" w14:textId="77777777" w:rsidTr="00C07BB8">
        <w:trPr>
          <w:trHeight w:val="2228"/>
          <w:jc w:val="center"/>
        </w:trPr>
        <w:tc>
          <w:tcPr>
            <w:tcW w:w="1276" w:type="dxa"/>
          </w:tcPr>
          <w:p w14:paraId="2BC50CB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van den Heuvel, Kwakkel [58]</w:t>
            </w:r>
          </w:p>
        </w:tc>
        <w:tc>
          <w:tcPr>
            <w:tcW w:w="1463" w:type="dxa"/>
          </w:tcPr>
          <w:p w14:paraId="418516C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(4)</w:t>
            </w:r>
          </w:p>
          <w:p w14:paraId="29C8A64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(8)</w:t>
            </w:r>
          </w:p>
          <w:p w14:paraId="119F58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29201DA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501E5893"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Hospital Anxiety and Depression Scale – anxiety</w:t>
            </w:r>
          </w:p>
          <w:p w14:paraId="3738CF20"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Hospital Anxiety and Depression Scale – depression</w:t>
            </w:r>
          </w:p>
          <w:p w14:paraId="196EE2A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4DFA0D50"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Functional Reach Test</w:t>
            </w:r>
            <w:r w:rsidRPr="00EC7D99">
              <w:rPr>
                <w:rFonts w:ascii="Arial" w:eastAsia="Times New Roman" w:hAnsi="Arial" w:cs="Arial"/>
                <w:i/>
                <w:color w:val="000000"/>
                <w:sz w:val="16"/>
                <w:szCs w:val="16"/>
                <w:lang w:eastAsia="en-CA"/>
              </w:rPr>
              <w:br/>
              <w:t>Berg Balance Scale</w:t>
            </w:r>
            <w:r w:rsidRPr="00EC7D99">
              <w:rPr>
                <w:rFonts w:ascii="Arial" w:eastAsia="Times New Roman" w:hAnsi="Arial" w:cs="Arial"/>
                <w:i/>
                <w:color w:val="000000"/>
                <w:sz w:val="16"/>
                <w:szCs w:val="16"/>
                <w:lang w:eastAsia="en-CA"/>
              </w:rPr>
              <w:br/>
              <w:t>Single Leg Stance – preferred</w:t>
            </w:r>
          </w:p>
          <w:p w14:paraId="0CDD9E71"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Single Leg Stance – non-preferred</w:t>
            </w:r>
            <w:r w:rsidRPr="00EC7D99">
              <w:rPr>
                <w:rFonts w:ascii="Arial" w:eastAsia="Times New Roman" w:hAnsi="Arial" w:cs="Arial"/>
                <w:i/>
                <w:color w:val="000000"/>
                <w:sz w:val="16"/>
                <w:szCs w:val="16"/>
                <w:lang w:eastAsia="en-CA"/>
              </w:rPr>
              <w:br/>
              <w:t>Gait speed</w:t>
            </w:r>
            <w:r w:rsidRPr="00EC7D99">
              <w:rPr>
                <w:rFonts w:ascii="Arial" w:eastAsia="Times New Roman" w:hAnsi="Arial" w:cs="Arial"/>
                <w:i/>
                <w:color w:val="000000"/>
                <w:sz w:val="16"/>
                <w:szCs w:val="16"/>
                <w:lang w:eastAsia="en-CA"/>
              </w:rPr>
              <w:br/>
              <w:t>Gait step length</w:t>
            </w:r>
            <w:r w:rsidRPr="00EC7D99">
              <w:rPr>
                <w:rFonts w:ascii="Arial" w:eastAsia="Times New Roman" w:hAnsi="Arial" w:cs="Arial"/>
                <w:i/>
                <w:color w:val="000000"/>
                <w:sz w:val="16"/>
                <w:szCs w:val="16"/>
                <w:lang w:eastAsia="en-CA"/>
              </w:rPr>
              <w:br/>
              <w:t>Falls Efficacy Scale</w:t>
            </w:r>
            <w:r w:rsidRPr="00EC7D99">
              <w:rPr>
                <w:rFonts w:ascii="Arial" w:eastAsia="Times New Roman" w:hAnsi="Arial" w:cs="Arial"/>
                <w:i/>
                <w:color w:val="000000"/>
                <w:sz w:val="16"/>
                <w:szCs w:val="16"/>
                <w:lang w:eastAsia="en-CA"/>
              </w:rPr>
              <w:br/>
              <w:t>PDQ-39 (mobility subscore</w:t>
            </w:r>
            <w:r w:rsidRPr="00EC7D99">
              <w:rPr>
                <w:rFonts w:ascii="Arial" w:eastAsia="Times New Roman" w:hAnsi="Arial" w:cs="Arial"/>
                <w:color w:val="000000"/>
                <w:sz w:val="16"/>
                <w:szCs w:val="16"/>
                <w:lang w:eastAsia="en-CA"/>
              </w:rPr>
              <w:t>)</w:t>
            </w:r>
          </w:p>
          <w:p w14:paraId="2D140981" w14:textId="77777777" w:rsidR="00C13EBB" w:rsidRPr="00EC7D99" w:rsidRDefault="00C13EBB" w:rsidP="0053218F">
            <w:pPr>
              <w:ind w:firstLine="34"/>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Global Motor Function </w:t>
            </w:r>
          </w:p>
          <w:p w14:paraId="74BD530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1E274A73" w14:textId="77777777" w:rsidR="00C13EBB" w:rsidRPr="00EC7D99" w:rsidRDefault="00C13EBB" w:rsidP="0053218F">
            <w:pPr>
              <w:rPr>
                <w:rFonts w:ascii="Arial" w:eastAsia="Times New Roman" w:hAnsi="Arial" w:cs="Arial"/>
                <w:color w:val="000000"/>
                <w:sz w:val="16"/>
                <w:szCs w:val="16"/>
                <w:lang w:eastAsia="en-CA"/>
              </w:rPr>
            </w:pPr>
          </w:p>
          <w:p w14:paraId="645FF10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-0.21</w:t>
            </w:r>
            <w:r w:rsidRPr="00EC7D99">
              <w:rPr>
                <w:rFonts w:ascii="Arial" w:eastAsia="Times New Roman" w:hAnsi="Arial" w:cs="Arial"/>
                <w:color w:val="000000"/>
                <w:sz w:val="16"/>
                <w:szCs w:val="16"/>
                <w:lang w:eastAsia="en-CA"/>
              </w:rPr>
              <w:br/>
              <w:t>-0.42</w:t>
            </w:r>
          </w:p>
          <w:p w14:paraId="4FAE4573" w14:textId="77777777" w:rsidR="00C13EBB" w:rsidRPr="00EC7D99" w:rsidRDefault="00C13EBB" w:rsidP="0053218F">
            <w:pPr>
              <w:rPr>
                <w:rFonts w:ascii="Arial" w:eastAsia="Times New Roman" w:hAnsi="Arial" w:cs="Arial"/>
                <w:color w:val="000000"/>
                <w:sz w:val="16"/>
                <w:szCs w:val="16"/>
                <w:lang w:eastAsia="en-CA"/>
              </w:rPr>
            </w:pPr>
          </w:p>
          <w:p w14:paraId="6BAB378C" w14:textId="77777777" w:rsidR="00C13EBB" w:rsidRPr="00EC7D99" w:rsidRDefault="00C13EBB" w:rsidP="0053218F">
            <w:pPr>
              <w:rPr>
                <w:rFonts w:ascii="Arial" w:eastAsia="Times New Roman" w:hAnsi="Arial" w:cs="Arial"/>
                <w:color w:val="000000"/>
                <w:sz w:val="16"/>
                <w:szCs w:val="16"/>
                <w:lang w:eastAsia="en-CA"/>
              </w:rPr>
            </w:pPr>
          </w:p>
          <w:p w14:paraId="227EEF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+0.28 </w:t>
            </w:r>
            <w:r w:rsidRPr="00EC7D99">
              <w:rPr>
                <w:rFonts w:ascii="Arial" w:eastAsia="Times New Roman" w:hAnsi="Arial" w:cs="Arial"/>
                <w:color w:val="000000"/>
                <w:sz w:val="16"/>
                <w:szCs w:val="16"/>
                <w:lang w:eastAsia="en-CA"/>
              </w:rPr>
              <w:br/>
              <w:t xml:space="preserve">+0.23 </w:t>
            </w:r>
          </w:p>
          <w:p w14:paraId="7AC4003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+0.31 </w:t>
            </w:r>
            <w:r w:rsidRPr="00EC7D99">
              <w:rPr>
                <w:rFonts w:ascii="Arial" w:eastAsia="Times New Roman" w:hAnsi="Arial" w:cs="Arial"/>
                <w:color w:val="000000"/>
                <w:sz w:val="16"/>
                <w:szCs w:val="16"/>
                <w:lang w:eastAsia="en-CA"/>
              </w:rPr>
              <w:br/>
              <w:t>+0.51</w:t>
            </w:r>
            <w:r w:rsidRPr="00EC7D99">
              <w:rPr>
                <w:rFonts w:ascii="Arial" w:eastAsia="Times New Roman" w:hAnsi="Arial" w:cs="Arial"/>
                <w:color w:val="000000"/>
                <w:sz w:val="16"/>
                <w:szCs w:val="16"/>
                <w:lang w:eastAsia="en-CA"/>
              </w:rPr>
              <w:br/>
              <w:t>+0.55</w:t>
            </w:r>
          </w:p>
          <w:p w14:paraId="4C493A83" w14:textId="77777777" w:rsidR="00C13EBB" w:rsidRPr="00EC7D99" w:rsidRDefault="00C13EBB" w:rsidP="0053218F">
            <w:pPr>
              <w:rPr>
                <w:rFonts w:ascii="Arial" w:eastAsia="Times New Roman" w:hAnsi="Arial" w:cs="Arial"/>
                <w:color w:val="000000"/>
                <w:sz w:val="16"/>
                <w:szCs w:val="16"/>
                <w:lang w:eastAsia="en-CA"/>
              </w:rPr>
            </w:pPr>
          </w:p>
          <w:p w14:paraId="3056893C" w14:textId="77777777" w:rsidR="00C13EBB" w:rsidRPr="00EC7D99" w:rsidRDefault="00C13EBB" w:rsidP="0053218F">
            <w:pPr>
              <w:rPr>
                <w:rFonts w:ascii="Arial" w:eastAsia="Times New Roman" w:hAnsi="Arial" w:cs="Arial"/>
                <w:color w:val="000000"/>
                <w:sz w:val="16"/>
                <w:szCs w:val="16"/>
                <w:lang w:eastAsia="en-CA"/>
              </w:rPr>
            </w:pPr>
          </w:p>
          <w:p w14:paraId="02DB8DE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+0.29</w:t>
            </w:r>
          </w:p>
        </w:tc>
        <w:tc>
          <w:tcPr>
            <w:tcW w:w="2362" w:type="dxa"/>
          </w:tcPr>
          <w:p w14:paraId="3BDEA45D" w14:textId="77777777" w:rsidR="00C13EBB" w:rsidRPr="00EC7D99" w:rsidRDefault="00C13EBB" w:rsidP="0053218F">
            <w:pPr>
              <w:rPr>
                <w:rFonts w:ascii="Arial" w:eastAsia="Times New Roman" w:hAnsi="Arial" w:cs="Arial"/>
                <w:color w:val="000000"/>
                <w:sz w:val="16"/>
                <w:szCs w:val="16"/>
                <w:lang w:eastAsia="en-CA"/>
              </w:rPr>
            </w:pPr>
          </w:p>
          <w:p w14:paraId="6754636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+0.28</w:t>
            </w:r>
          </w:p>
          <w:p w14:paraId="2B7601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+0.34</w:t>
            </w:r>
          </w:p>
          <w:p w14:paraId="69318160" w14:textId="77777777" w:rsidR="00C13EBB" w:rsidRPr="00EC7D99" w:rsidRDefault="00C13EBB" w:rsidP="0053218F">
            <w:pPr>
              <w:rPr>
                <w:rFonts w:ascii="Arial" w:eastAsia="Times New Roman" w:hAnsi="Arial" w:cs="Arial"/>
                <w:color w:val="000000"/>
                <w:sz w:val="16"/>
                <w:szCs w:val="16"/>
                <w:lang w:eastAsia="en-CA"/>
              </w:rPr>
            </w:pPr>
          </w:p>
          <w:p w14:paraId="2B3D2BC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0.39 </w:t>
            </w:r>
            <w:r w:rsidRPr="00EC7D99">
              <w:rPr>
                <w:rFonts w:ascii="Arial" w:eastAsia="Times New Roman" w:hAnsi="Arial" w:cs="Arial"/>
                <w:color w:val="000000"/>
                <w:sz w:val="16"/>
                <w:szCs w:val="16"/>
                <w:lang w:eastAsia="en-CA"/>
              </w:rPr>
              <w:br/>
              <w:t xml:space="preserve">0.48 </w:t>
            </w:r>
          </w:p>
          <w:p w14:paraId="64C513F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r>
          </w:p>
          <w:p w14:paraId="779C883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0.22 </w:t>
            </w:r>
            <w:r w:rsidRPr="00EC7D99">
              <w:rPr>
                <w:rFonts w:ascii="Arial" w:eastAsia="Times New Roman" w:hAnsi="Arial" w:cs="Arial"/>
                <w:color w:val="000000"/>
                <w:sz w:val="16"/>
                <w:szCs w:val="16"/>
                <w:lang w:eastAsia="en-CA"/>
              </w:rPr>
              <w:br/>
              <w:t xml:space="preserve">0.36 </w:t>
            </w:r>
            <w:r w:rsidRPr="00EC7D99">
              <w:rPr>
                <w:rFonts w:ascii="Arial" w:eastAsia="Times New Roman" w:hAnsi="Arial" w:cs="Arial"/>
                <w:color w:val="000000"/>
                <w:sz w:val="16"/>
                <w:szCs w:val="16"/>
                <w:lang w:eastAsia="en-CA"/>
              </w:rPr>
              <w:br/>
              <w:t>0.27</w:t>
            </w:r>
          </w:p>
          <w:p w14:paraId="4B22350A" w14:textId="77777777" w:rsidR="00C13EBB" w:rsidRPr="00EC7D99" w:rsidRDefault="00C13EBB" w:rsidP="0053218F">
            <w:pPr>
              <w:rPr>
                <w:rFonts w:ascii="Arial" w:eastAsia="Times New Roman" w:hAnsi="Arial" w:cs="Arial"/>
                <w:color w:val="000000"/>
                <w:sz w:val="16"/>
                <w:szCs w:val="16"/>
                <w:lang w:eastAsia="en-CA"/>
              </w:rPr>
            </w:pPr>
          </w:p>
          <w:p w14:paraId="7A59AE1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0.22</w:t>
            </w:r>
          </w:p>
        </w:tc>
      </w:tr>
      <w:tr w:rsidR="00C13EBB" w:rsidRPr="00EC7D99" w14:paraId="2C792A30" w14:textId="77777777" w:rsidTr="00C07BB8">
        <w:trPr>
          <w:trHeight w:val="2228"/>
          <w:jc w:val="center"/>
        </w:trPr>
        <w:tc>
          <w:tcPr>
            <w:tcW w:w="1276" w:type="dxa"/>
          </w:tcPr>
          <w:p w14:paraId="06918A3C"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Byl, Zhang [51]</w:t>
            </w:r>
          </w:p>
        </w:tc>
        <w:tc>
          <w:tcPr>
            <w:tcW w:w="1463" w:type="dxa"/>
          </w:tcPr>
          <w:p w14:paraId="1870DD1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(4)</w:t>
            </w:r>
          </w:p>
          <w:p w14:paraId="3CDE8529"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Activity (8)</w:t>
            </w:r>
          </w:p>
        </w:tc>
        <w:tc>
          <w:tcPr>
            <w:tcW w:w="4394" w:type="dxa"/>
            <w:hideMark/>
          </w:tcPr>
          <w:p w14:paraId="3FA74C8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102F1688"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Muscle strength – affected side</w:t>
            </w:r>
          </w:p>
          <w:p w14:paraId="79802A2E"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Muscle strength – unaffected side</w:t>
            </w:r>
            <w:r w:rsidRPr="00EC7D99">
              <w:rPr>
                <w:rFonts w:ascii="Arial" w:eastAsia="Times New Roman" w:hAnsi="Arial" w:cs="Arial"/>
                <w:i/>
                <w:color w:val="000000"/>
                <w:sz w:val="16"/>
                <w:szCs w:val="16"/>
                <w:lang w:eastAsia="en-CA"/>
              </w:rPr>
              <w:br/>
              <w:t>ROM – affected side</w:t>
            </w:r>
          </w:p>
          <w:p w14:paraId="44DF318E" w14:textId="77777777" w:rsidR="00C13EBB" w:rsidRPr="00EC7D99" w:rsidRDefault="00C13EBB" w:rsidP="0053218F">
            <w:pPr>
              <w:ind w:left="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ROM – unaffected side</w:t>
            </w:r>
          </w:p>
          <w:p w14:paraId="417CDE6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6E6C78F1"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Step length</w:t>
            </w:r>
            <w:r w:rsidRPr="00EC7D99">
              <w:rPr>
                <w:rFonts w:ascii="Arial" w:eastAsia="Times New Roman" w:hAnsi="Arial" w:cs="Arial"/>
                <w:i/>
                <w:color w:val="000000"/>
                <w:sz w:val="16"/>
                <w:szCs w:val="16"/>
                <w:lang w:eastAsia="en-CA"/>
              </w:rPr>
              <w:br/>
              <w:t>Tinetti Gait Assessment</w:t>
            </w:r>
            <w:r w:rsidRPr="00EC7D99">
              <w:rPr>
                <w:rFonts w:ascii="Arial" w:eastAsia="Times New Roman" w:hAnsi="Arial" w:cs="Arial"/>
                <w:i/>
                <w:color w:val="000000"/>
                <w:sz w:val="16"/>
                <w:szCs w:val="16"/>
                <w:lang w:eastAsia="en-CA"/>
              </w:rPr>
              <w:br/>
              <w:t>6 min walk</w:t>
            </w:r>
            <w:r w:rsidRPr="00EC7D99">
              <w:rPr>
                <w:rFonts w:ascii="Arial" w:eastAsia="Times New Roman" w:hAnsi="Arial" w:cs="Arial"/>
                <w:i/>
                <w:color w:val="000000"/>
                <w:sz w:val="16"/>
                <w:szCs w:val="16"/>
                <w:lang w:eastAsia="en-CA"/>
              </w:rPr>
              <w:br/>
              <w:t>Dynamic Gait Index</w:t>
            </w:r>
            <w:r w:rsidRPr="00EC7D99">
              <w:rPr>
                <w:rFonts w:ascii="Arial" w:eastAsia="Times New Roman" w:hAnsi="Arial" w:cs="Arial"/>
                <w:i/>
                <w:color w:val="000000"/>
                <w:sz w:val="16"/>
                <w:szCs w:val="16"/>
                <w:lang w:eastAsia="en-CA"/>
              </w:rPr>
              <w:br/>
              <w:t>Timed Up and Go</w:t>
            </w:r>
            <w:r w:rsidRPr="00EC7D99">
              <w:rPr>
                <w:rFonts w:ascii="Arial" w:eastAsia="Times New Roman" w:hAnsi="Arial" w:cs="Arial"/>
                <w:i/>
                <w:color w:val="000000"/>
                <w:sz w:val="16"/>
                <w:szCs w:val="16"/>
                <w:lang w:eastAsia="en-CA"/>
              </w:rPr>
              <w:br/>
              <w:t>Berg Balance Scale</w:t>
            </w:r>
          </w:p>
        </w:tc>
        <w:tc>
          <w:tcPr>
            <w:tcW w:w="1843" w:type="dxa"/>
            <w:hideMark/>
          </w:tcPr>
          <w:p w14:paraId="5268B4DA" w14:textId="77777777" w:rsidR="00C13EBB" w:rsidRPr="00EC7D99" w:rsidRDefault="00C13EBB" w:rsidP="0053218F">
            <w:pPr>
              <w:rPr>
                <w:rFonts w:ascii="Arial" w:eastAsia="Times New Roman" w:hAnsi="Arial" w:cs="Arial"/>
                <w:color w:val="000000"/>
                <w:sz w:val="16"/>
                <w:szCs w:val="16"/>
                <w:lang w:eastAsia="en-CA"/>
              </w:rPr>
            </w:pPr>
          </w:p>
          <w:p w14:paraId="15EF006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-0.30</w:t>
            </w:r>
            <w:r w:rsidRPr="00EC7D99">
              <w:rPr>
                <w:rFonts w:ascii="Arial" w:eastAsia="Times New Roman" w:hAnsi="Arial" w:cs="Arial"/>
                <w:color w:val="000000"/>
                <w:sz w:val="16"/>
                <w:szCs w:val="16"/>
                <w:lang w:eastAsia="en-CA"/>
              </w:rPr>
              <w:br/>
              <w:t>-0.30</w:t>
            </w:r>
          </w:p>
          <w:p w14:paraId="0CEFA79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-0.56</w:t>
            </w:r>
            <w:r w:rsidRPr="00EC7D99">
              <w:rPr>
                <w:rFonts w:ascii="Arial" w:eastAsia="Times New Roman" w:hAnsi="Arial" w:cs="Arial"/>
                <w:color w:val="000000"/>
                <w:sz w:val="16"/>
                <w:szCs w:val="16"/>
                <w:lang w:eastAsia="en-CA"/>
              </w:rPr>
              <w:br/>
              <w:t>-0.76</w:t>
            </w:r>
          </w:p>
          <w:p w14:paraId="60FD37D3" w14:textId="77777777" w:rsidR="00C13EBB" w:rsidRPr="00EC7D99" w:rsidRDefault="00C13EBB" w:rsidP="0053218F">
            <w:pPr>
              <w:rPr>
                <w:rFonts w:ascii="Arial" w:eastAsia="Times New Roman" w:hAnsi="Arial" w:cs="Arial"/>
                <w:color w:val="000000"/>
                <w:sz w:val="16"/>
                <w:szCs w:val="16"/>
                <w:lang w:eastAsia="en-CA"/>
              </w:rPr>
            </w:pPr>
          </w:p>
          <w:p w14:paraId="6D53900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-0.27</w:t>
            </w:r>
            <w:r w:rsidRPr="00EC7D99">
              <w:rPr>
                <w:rFonts w:ascii="Arial" w:eastAsia="Times New Roman" w:hAnsi="Arial" w:cs="Arial"/>
                <w:color w:val="000000"/>
                <w:sz w:val="16"/>
                <w:szCs w:val="16"/>
                <w:lang w:eastAsia="en-CA"/>
              </w:rPr>
              <w:br/>
              <w:t>-0.32</w:t>
            </w:r>
            <w:r w:rsidRPr="00EC7D99">
              <w:rPr>
                <w:rFonts w:ascii="Arial" w:eastAsia="Times New Roman" w:hAnsi="Arial" w:cs="Arial"/>
                <w:color w:val="000000"/>
                <w:sz w:val="16"/>
                <w:szCs w:val="16"/>
                <w:lang w:eastAsia="en-CA"/>
              </w:rPr>
              <w:br/>
              <w:t>-0.94</w:t>
            </w:r>
            <w:r w:rsidRPr="00EC7D99">
              <w:rPr>
                <w:rFonts w:ascii="Arial" w:eastAsia="Times New Roman" w:hAnsi="Arial" w:cs="Arial"/>
                <w:color w:val="000000"/>
                <w:sz w:val="16"/>
                <w:szCs w:val="16"/>
                <w:lang w:eastAsia="en-CA"/>
              </w:rPr>
              <w:br/>
              <w:t>+0.23</w:t>
            </w:r>
            <w:r w:rsidRPr="00EC7D99">
              <w:rPr>
                <w:rFonts w:ascii="Arial" w:eastAsia="Times New Roman" w:hAnsi="Arial" w:cs="Arial"/>
                <w:color w:val="000000"/>
                <w:sz w:val="16"/>
                <w:szCs w:val="16"/>
                <w:lang w:eastAsia="en-CA"/>
              </w:rPr>
              <w:br/>
              <w:t>+0.86</w:t>
            </w:r>
            <w:r w:rsidRPr="00EC7D99">
              <w:rPr>
                <w:rFonts w:ascii="Arial" w:eastAsia="Times New Roman" w:hAnsi="Arial" w:cs="Arial"/>
                <w:color w:val="000000"/>
                <w:sz w:val="16"/>
                <w:szCs w:val="16"/>
                <w:lang w:eastAsia="en-CA"/>
              </w:rPr>
              <w:br/>
              <w:t>-0.89</w:t>
            </w:r>
          </w:p>
        </w:tc>
        <w:tc>
          <w:tcPr>
            <w:tcW w:w="2362" w:type="dxa"/>
            <w:hideMark/>
          </w:tcPr>
          <w:p w14:paraId="39C9A92C" w14:textId="77777777" w:rsidR="00C13EBB" w:rsidRPr="00EC7D99" w:rsidRDefault="00C13EBB" w:rsidP="0053218F">
            <w:pPr>
              <w:rPr>
                <w:rFonts w:ascii="Arial" w:eastAsia="Times New Roman" w:hAnsi="Arial" w:cs="Arial"/>
                <w:color w:val="000000"/>
                <w:sz w:val="16"/>
                <w:szCs w:val="16"/>
                <w:lang w:eastAsia="en-CA"/>
              </w:rPr>
            </w:pPr>
          </w:p>
          <w:p w14:paraId="086BD93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6ED69F9E" w14:textId="77777777" w:rsidTr="00C07BB8">
        <w:trPr>
          <w:trHeight w:val="560"/>
          <w:jc w:val="center"/>
        </w:trPr>
        <w:tc>
          <w:tcPr>
            <w:tcW w:w="1276" w:type="dxa"/>
          </w:tcPr>
          <w:p w14:paraId="3F543C0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Lee, Lee [52]</w:t>
            </w:r>
          </w:p>
        </w:tc>
        <w:tc>
          <w:tcPr>
            <w:tcW w:w="1463" w:type="dxa"/>
          </w:tcPr>
          <w:p w14:paraId="1D904C3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43C881C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(2)</w:t>
            </w:r>
          </w:p>
        </w:tc>
        <w:tc>
          <w:tcPr>
            <w:tcW w:w="4394" w:type="dxa"/>
            <w:hideMark/>
          </w:tcPr>
          <w:p w14:paraId="7E27275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Impairment     </w:t>
            </w:r>
          </w:p>
          <w:p w14:paraId="3F1D77CB"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Beck Depression Index</w:t>
            </w:r>
          </w:p>
          <w:p w14:paraId="6889875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7F198085"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Berg Balance Scale</w:t>
            </w:r>
            <w:r w:rsidRPr="00EC7D99">
              <w:rPr>
                <w:rFonts w:ascii="Arial" w:eastAsia="Times New Roman" w:hAnsi="Arial" w:cs="Arial"/>
                <w:i/>
                <w:color w:val="000000"/>
                <w:sz w:val="16"/>
                <w:szCs w:val="16"/>
                <w:lang w:eastAsia="en-CA"/>
              </w:rPr>
              <w:br/>
              <w:t xml:space="preserve">Modified Barthel Index </w:t>
            </w:r>
          </w:p>
        </w:tc>
        <w:tc>
          <w:tcPr>
            <w:tcW w:w="1843" w:type="dxa"/>
            <w:hideMark/>
          </w:tcPr>
          <w:p w14:paraId="10647ACF" w14:textId="77777777" w:rsidR="00C13EBB" w:rsidRPr="00EC7D99" w:rsidRDefault="00C13EBB" w:rsidP="0053218F">
            <w:pPr>
              <w:rPr>
                <w:rFonts w:ascii="Arial" w:eastAsia="Times New Roman" w:hAnsi="Arial" w:cs="Arial"/>
                <w:color w:val="000000"/>
                <w:sz w:val="16"/>
                <w:szCs w:val="16"/>
                <w:lang w:eastAsia="en-CA"/>
              </w:rPr>
            </w:pPr>
          </w:p>
          <w:p w14:paraId="79C820D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+0.99</w:t>
            </w:r>
          </w:p>
          <w:p w14:paraId="0DA13A3E" w14:textId="77777777" w:rsidR="00C13EBB" w:rsidRPr="00EC7D99" w:rsidRDefault="00C13EBB" w:rsidP="0053218F">
            <w:pPr>
              <w:rPr>
                <w:rFonts w:ascii="Arial" w:eastAsia="Times New Roman" w:hAnsi="Arial" w:cs="Arial"/>
                <w:color w:val="000000"/>
                <w:sz w:val="16"/>
                <w:szCs w:val="16"/>
                <w:lang w:eastAsia="en-CA"/>
              </w:rPr>
            </w:pPr>
          </w:p>
          <w:p w14:paraId="7D44177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+0.62</w:t>
            </w:r>
            <w:r w:rsidRPr="00EC7D99">
              <w:rPr>
                <w:rFonts w:ascii="Arial" w:eastAsia="Times New Roman" w:hAnsi="Arial" w:cs="Arial"/>
                <w:color w:val="000000"/>
                <w:sz w:val="16"/>
                <w:szCs w:val="16"/>
                <w:lang w:eastAsia="en-CA"/>
              </w:rPr>
              <w:br/>
              <w:t>+0.91</w:t>
            </w:r>
          </w:p>
        </w:tc>
        <w:tc>
          <w:tcPr>
            <w:tcW w:w="2362" w:type="dxa"/>
            <w:noWrap/>
            <w:hideMark/>
          </w:tcPr>
          <w:p w14:paraId="384614BD" w14:textId="77777777" w:rsidR="00C13EBB" w:rsidRPr="00EC7D99" w:rsidRDefault="00C13EBB" w:rsidP="0053218F">
            <w:pPr>
              <w:rPr>
                <w:rFonts w:ascii="Arial" w:eastAsia="Times New Roman" w:hAnsi="Arial" w:cs="Arial"/>
                <w:color w:val="000000"/>
                <w:sz w:val="16"/>
                <w:szCs w:val="16"/>
                <w:lang w:eastAsia="en-CA"/>
              </w:rPr>
            </w:pPr>
          </w:p>
          <w:p w14:paraId="73967A1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2D2EC282" w14:textId="77777777" w:rsidTr="00C07BB8">
        <w:trPr>
          <w:trHeight w:val="2355"/>
          <w:jc w:val="center"/>
        </w:trPr>
        <w:tc>
          <w:tcPr>
            <w:tcW w:w="1276" w:type="dxa"/>
          </w:tcPr>
          <w:p w14:paraId="3AB65387"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Liao, Yang [53]</w:t>
            </w:r>
          </w:p>
        </w:tc>
        <w:tc>
          <w:tcPr>
            <w:tcW w:w="1463" w:type="dxa"/>
          </w:tcPr>
          <w:p w14:paraId="7FAF47D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(6)</w:t>
            </w:r>
          </w:p>
          <w:p w14:paraId="02650A16"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Activity (6)</w:t>
            </w:r>
          </w:p>
        </w:tc>
        <w:tc>
          <w:tcPr>
            <w:tcW w:w="4394" w:type="dxa"/>
            <w:hideMark/>
          </w:tcPr>
          <w:p w14:paraId="794099F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3E5FD733" w14:textId="77777777" w:rsidR="00C13EBB" w:rsidRPr="00EC7D99" w:rsidRDefault="00C13EBB" w:rsidP="0053218F">
            <w:pPr>
              <w:tabs>
                <w:tab w:val="left" w:pos="227"/>
              </w:tabs>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Muscle strength</w:t>
            </w:r>
            <w:r w:rsidRPr="00EC7D99">
              <w:rPr>
                <w:rFonts w:ascii="Arial" w:eastAsia="Times New Roman" w:hAnsi="Arial" w:cs="Arial"/>
                <w:i/>
                <w:color w:val="000000"/>
                <w:sz w:val="16"/>
                <w:szCs w:val="16"/>
                <w:lang w:eastAsia="en-CA"/>
              </w:rPr>
              <w:br/>
              <w:t>- hip flexors (f) + extensors (e)</w:t>
            </w:r>
            <w:r w:rsidRPr="00EC7D99">
              <w:rPr>
                <w:rFonts w:ascii="Arial" w:eastAsia="Times New Roman" w:hAnsi="Arial" w:cs="Arial"/>
                <w:i/>
                <w:color w:val="000000"/>
                <w:sz w:val="16"/>
                <w:szCs w:val="16"/>
                <w:lang w:eastAsia="en-CA"/>
              </w:rPr>
              <w:br/>
              <w:t>- knee f + e</w:t>
            </w:r>
            <w:r w:rsidRPr="00EC7D99">
              <w:rPr>
                <w:rFonts w:ascii="Arial" w:eastAsia="Times New Roman" w:hAnsi="Arial" w:cs="Arial"/>
                <w:i/>
                <w:color w:val="000000"/>
                <w:sz w:val="16"/>
                <w:szCs w:val="16"/>
                <w:lang w:eastAsia="en-CA"/>
              </w:rPr>
              <w:br/>
              <w:t>- ankle dorsiflexors (d)+ plantarflexors (p)</w:t>
            </w:r>
          </w:p>
          <w:p w14:paraId="7DCFA61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222426D6"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Gait velocity</w:t>
            </w:r>
            <w:r w:rsidRPr="00EC7D99">
              <w:rPr>
                <w:rFonts w:ascii="Arial" w:eastAsia="Times New Roman" w:hAnsi="Arial" w:cs="Arial"/>
                <w:i/>
                <w:color w:val="000000"/>
                <w:sz w:val="16"/>
                <w:szCs w:val="16"/>
                <w:lang w:eastAsia="en-CA"/>
              </w:rPr>
              <w:br/>
              <w:t>Stride length</w:t>
            </w:r>
            <w:r w:rsidRPr="00EC7D99">
              <w:rPr>
                <w:rFonts w:ascii="Arial" w:eastAsia="Times New Roman" w:hAnsi="Arial" w:cs="Arial"/>
                <w:i/>
                <w:color w:val="000000"/>
                <w:sz w:val="16"/>
                <w:szCs w:val="16"/>
                <w:lang w:eastAsia="en-CA"/>
              </w:rPr>
              <w:br/>
              <w:t>Functional gait assessment</w:t>
            </w:r>
            <w:r w:rsidRPr="00EC7D99">
              <w:rPr>
                <w:rFonts w:ascii="Arial" w:eastAsia="Times New Roman" w:hAnsi="Arial" w:cs="Arial"/>
                <w:i/>
                <w:color w:val="000000"/>
                <w:sz w:val="16"/>
                <w:szCs w:val="16"/>
                <w:lang w:eastAsia="en-CA"/>
              </w:rPr>
              <w:br/>
              <w:t>Sensory Organization Test (somatosensory)</w:t>
            </w:r>
            <w:r w:rsidRPr="00EC7D99">
              <w:rPr>
                <w:rFonts w:ascii="Arial" w:eastAsia="Times New Roman" w:hAnsi="Arial" w:cs="Arial"/>
                <w:i/>
                <w:color w:val="000000"/>
                <w:sz w:val="16"/>
                <w:szCs w:val="16"/>
                <w:lang w:eastAsia="en-CA"/>
              </w:rPr>
              <w:br/>
              <w:t>Sensory Organization Test (vision)</w:t>
            </w:r>
            <w:r w:rsidRPr="00EC7D99">
              <w:rPr>
                <w:rFonts w:ascii="Arial" w:eastAsia="Times New Roman" w:hAnsi="Arial" w:cs="Arial"/>
                <w:i/>
                <w:color w:val="000000"/>
                <w:sz w:val="16"/>
                <w:szCs w:val="16"/>
                <w:lang w:eastAsia="en-CA"/>
              </w:rPr>
              <w:br/>
              <w:t>Sensory Organization Test (vestibular)</w:t>
            </w:r>
          </w:p>
        </w:tc>
        <w:tc>
          <w:tcPr>
            <w:tcW w:w="1843" w:type="dxa"/>
            <w:hideMark/>
          </w:tcPr>
          <w:p w14:paraId="5FF2AF17" w14:textId="77777777" w:rsidR="00C13EBB" w:rsidRPr="00EC7D99" w:rsidRDefault="00C13EBB" w:rsidP="0053218F">
            <w:pPr>
              <w:rPr>
                <w:rFonts w:ascii="Arial" w:eastAsia="Times New Roman" w:hAnsi="Arial" w:cs="Arial"/>
                <w:b/>
                <w:color w:val="000000"/>
                <w:sz w:val="16"/>
                <w:szCs w:val="16"/>
                <w:lang w:eastAsia="en-CA"/>
              </w:rPr>
            </w:pPr>
          </w:p>
          <w:p w14:paraId="7C33ECE7" w14:textId="77777777" w:rsidR="00C13EBB" w:rsidRPr="00EC7D99" w:rsidRDefault="00C13EBB" w:rsidP="0053218F">
            <w:pPr>
              <w:rPr>
                <w:rFonts w:ascii="Arial" w:eastAsia="Times New Roman" w:hAnsi="Arial" w:cs="Arial"/>
                <w:b/>
                <w:color w:val="000000"/>
                <w:sz w:val="16"/>
                <w:szCs w:val="16"/>
                <w:lang w:eastAsia="en-CA"/>
              </w:rPr>
            </w:pPr>
          </w:p>
          <w:p w14:paraId="6F145B2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-0.29 (f) +0.44 (e)</w:t>
            </w:r>
            <w:r w:rsidRPr="00EC7D99">
              <w:rPr>
                <w:rFonts w:ascii="Arial" w:eastAsia="Times New Roman" w:hAnsi="Arial" w:cs="Arial"/>
                <w:color w:val="000000"/>
                <w:sz w:val="16"/>
                <w:szCs w:val="16"/>
                <w:lang w:eastAsia="en-CA"/>
              </w:rPr>
              <w:br/>
              <w:t>-0.23 (f) +0.24 (e)</w:t>
            </w:r>
            <w:r w:rsidRPr="00EC7D99">
              <w:rPr>
                <w:rFonts w:ascii="Arial" w:eastAsia="Times New Roman" w:hAnsi="Arial" w:cs="Arial"/>
                <w:color w:val="000000"/>
                <w:sz w:val="16"/>
                <w:szCs w:val="16"/>
                <w:lang w:eastAsia="en-CA"/>
              </w:rPr>
              <w:br/>
              <w:t>-0.23 (d) +0.31 (p)</w:t>
            </w:r>
            <w:r w:rsidRPr="00EC7D99">
              <w:rPr>
                <w:rFonts w:ascii="Arial" w:eastAsia="Times New Roman" w:hAnsi="Arial" w:cs="Arial"/>
                <w:color w:val="000000"/>
                <w:sz w:val="16"/>
                <w:szCs w:val="16"/>
                <w:lang w:eastAsia="en-CA"/>
              </w:rPr>
              <w:br/>
            </w:r>
          </w:p>
          <w:p w14:paraId="7AFA673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 +0.32</w:t>
            </w:r>
          </w:p>
          <w:p w14:paraId="7355DCA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 +0.48</w:t>
            </w:r>
            <w:r w:rsidRPr="00EC7D99">
              <w:rPr>
                <w:rFonts w:ascii="Arial" w:eastAsia="Times New Roman" w:hAnsi="Arial" w:cs="Arial"/>
                <w:color w:val="000000"/>
                <w:sz w:val="16"/>
                <w:szCs w:val="16"/>
                <w:lang w:eastAsia="en-CA"/>
              </w:rPr>
              <w:br/>
              <w:t xml:space="preserve"> +0.47</w:t>
            </w:r>
            <w:r w:rsidRPr="00EC7D99">
              <w:rPr>
                <w:rFonts w:ascii="Arial" w:eastAsia="Times New Roman" w:hAnsi="Arial" w:cs="Arial"/>
                <w:color w:val="000000"/>
                <w:sz w:val="16"/>
                <w:szCs w:val="16"/>
                <w:lang w:eastAsia="en-CA"/>
              </w:rPr>
              <w:br/>
              <w:t xml:space="preserve"> +0.56</w:t>
            </w:r>
            <w:r w:rsidRPr="00EC7D99">
              <w:rPr>
                <w:rFonts w:ascii="Arial" w:eastAsia="Times New Roman" w:hAnsi="Arial" w:cs="Arial"/>
                <w:color w:val="000000"/>
                <w:sz w:val="16"/>
                <w:szCs w:val="16"/>
                <w:lang w:eastAsia="en-CA"/>
              </w:rPr>
              <w:br/>
              <w:t xml:space="preserve"> +0.76</w:t>
            </w:r>
          </w:p>
        </w:tc>
        <w:tc>
          <w:tcPr>
            <w:tcW w:w="2362" w:type="dxa"/>
            <w:hideMark/>
          </w:tcPr>
          <w:p w14:paraId="3FFDE2E2" w14:textId="77777777" w:rsidR="00C13EBB" w:rsidRPr="00EC7D99" w:rsidRDefault="00C13EBB" w:rsidP="0053218F">
            <w:pPr>
              <w:rPr>
                <w:rFonts w:ascii="Arial" w:eastAsia="Times New Roman" w:hAnsi="Arial" w:cs="Arial"/>
                <w:b/>
                <w:color w:val="000000"/>
                <w:sz w:val="16"/>
                <w:szCs w:val="16"/>
                <w:lang w:eastAsia="en-CA"/>
              </w:rPr>
            </w:pPr>
          </w:p>
          <w:p w14:paraId="09F5BC37" w14:textId="77777777" w:rsidR="00C13EBB" w:rsidRPr="00EC7D99" w:rsidRDefault="00C13EBB" w:rsidP="0053218F">
            <w:pPr>
              <w:rPr>
                <w:rFonts w:ascii="Arial" w:eastAsia="Times New Roman" w:hAnsi="Arial" w:cs="Arial"/>
                <w:b/>
                <w:color w:val="000000"/>
                <w:sz w:val="16"/>
                <w:szCs w:val="16"/>
                <w:lang w:eastAsia="en-CA"/>
              </w:rPr>
            </w:pPr>
          </w:p>
          <w:p w14:paraId="334241B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-0.51 (f) +0.29 (e)</w:t>
            </w:r>
            <w:r w:rsidRPr="00EC7D99">
              <w:rPr>
                <w:rFonts w:ascii="Arial" w:eastAsia="Times New Roman" w:hAnsi="Arial" w:cs="Arial"/>
                <w:color w:val="000000"/>
                <w:sz w:val="16"/>
                <w:szCs w:val="16"/>
                <w:lang w:eastAsia="en-CA"/>
              </w:rPr>
              <w:br/>
              <w:t xml:space="preserve">-0.31 (f) </w:t>
            </w:r>
            <w:r w:rsidRPr="00EC7D99">
              <w:rPr>
                <w:rFonts w:ascii="Arial" w:eastAsia="Times New Roman" w:hAnsi="Arial" w:cs="Arial"/>
                <w:color w:val="000000"/>
                <w:sz w:val="16"/>
                <w:szCs w:val="16"/>
                <w:lang w:eastAsia="en-CA"/>
              </w:rPr>
              <w:br/>
              <w:t>+0.31 (p)</w:t>
            </w:r>
            <w:r w:rsidRPr="00EC7D99">
              <w:rPr>
                <w:rFonts w:ascii="Arial" w:eastAsia="Times New Roman" w:hAnsi="Arial" w:cs="Arial"/>
                <w:color w:val="000000"/>
                <w:sz w:val="16"/>
                <w:szCs w:val="16"/>
                <w:lang w:eastAsia="en-CA"/>
              </w:rPr>
              <w:br/>
            </w:r>
          </w:p>
          <w:p w14:paraId="0FE05BC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+0.30</w:t>
            </w:r>
            <w:r w:rsidRPr="00EC7D99">
              <w:rPr>
                <w:rFonts w:ascii="Arial" w:eastAsia="Times New Roman" w:hAnsi="Arial" w:cs="Arial"/>
                <w:color w:val="000000"/>
                <w:sz w:val="16"/>
                <w:szCs w:val="16"/>
                <w:lang w:eastAsia="en-CA"/>
              </w:rPr>
              <w:br/>
              <w:t>+0.28</w:t>
            </w:r>
            <w:r w:rsidRPr="00EC7D99">
              <w:rPr>
                <w:rFonts w:ascii="Arial" w:eastAsia="Times New Roman" w:hAnsi="Arial" w:cs="Arial"/>
                <w:color w:val="000000"/>
                <w:sz w:val="16"/>
                <w:szCs w:val="16"/>
                <w:lang w:eastAsia="en-CA"/>
              </w:rPr>
              <w:br/>
              <w:t>+0.54</w:t>
            </w:r>
            <w:r w:rsidRPr="00EC7D99">
              <w:rPr>
                <w:rFonts w:ascii="Arial" w:eastAsia="Times New Roman" w:hAnsi="Arial" w:cs="Arial"/>
                <w:color w:val="000000"/>
                <w:sz w:val="16"/>
                <w:szCs w:val="16"/>
                <w:lang w:eastAsia="en-CA"/>
              </w:rPr>
              <w:br/>
            </w:r>
            <w:r w:rsidRPr="00EC7D99">
              <w:rPr>
                <w:rFonts w:ascii="Arial" w:eastAsia="Times New Roman" w:hAnsi="Arial" w:cs="Arial"/>
                <w:color w:val="000000"/>
                <w:sz w:val="16"/>
                <w:szCs w:val="16"/>
                <w:lang w:eastAsia="en-CA"/>
              </w:rPr>
              <w:br/>
              <w:t>+0.46</w:t>
            </w:r>
            <w:r w:rsidRPr="00EC7D99">
              <w:rPr>
                <w:rFonts w:ascii="Arial" w:eastAsia="Times New Roman" w:hAnsi="Arial" w:cs="Arial"/>
                <w:color w:val="000000"/>
                <w:sz w:val="16"/>
                <w:szCs w:val="16"/>
                <w:lang w:eastAsia="en-CA"/>
              </w:rPr>
              <w:br/>
              <w:t>+0.67</w:t>
            </w:r>
          </w:p>
        </w:tc>
      </w:tr>
      <w:tr w:rsidR="00C13EBB" w:rsidRPr="00EC7D99" w14:paraId="321CEB99" w14:textId="77777777" w:rsidTr="00C07BB8">
        <w:trPr>
          <w:trHeight w:val="696"/>
          <w:jc w:val="center"/>
        </w:trPr>
        <w:tc>
          <w:tcPr>
            <w:tcW w:w="1276" w:type="dxa"/>
          </w:tcPr>
          <w:p w14:paraId="75E8B271"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Yang, Wang [55]</w:t>
            </w:r>
          </w:p>
        </w:tc>
        <w:tc>
          <w:tcPr>
            <w:tcW w:w="1463" w:type="dxa"/>
          </w:tcPr>
          <w:p w14:paraId="7B12823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(3)</w:t>
            </w:r>
          </w:p>
          <w:p w14:paraId="101BABF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 (1)</w:t>
            </w:r>
          </w:p>
          <w:p w14:paraId="10A1E18E"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hideMark/>
          </w:tcPr>
          <w:p w14:paraId="2D56B37E"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7230B75F" w14:textId="77777777" w:rsidR="00C13EBB" w:rsidRPr="00EC7D99" w:rsidRDefault="00C13EBB" w:rsidP="0053218F">
            <w:pPr>
              <w:tabs>
                <w:tab w:val="left" w:pos="369"/>
              </w:tabs>
              <w:ind w:firstLine="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Dynamic Gait Index</w:t>
            </w:r>
            <w:r w:rsidRPr="00EC7D99">
              <w:rPr>
                <w:rFonts w:ascii="Arial" w:eastAsia="Times New Roman" w:hAnsi="Arial" w:cs="Arial"/>
                <w:color w:val="000000"/>
                <w:sz w:val="16"/>
                <w:szCs w:val="16"/>
                <w:lang w:eastAsia="en-CA"/>
              </w:rPr>
              <w:br/>
              <w:t>Global Motor Function</w:t>
            </w:r>
          </w:p>
          <w:p w14:paraId="51F7A61B"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hideMark/>
          </w:tcPr>
          <w:p w14:paraId="24AC378C" w14:textId="77777777" w:rsidR="00C13EBB" w:rsidRPr="00EC7D99" w:rsidRDefault="00C13EBB" w:rsidP="0053218F">
            <w:pPr>
              <w:rPr>
                <w:rFonts w:ascii="Arial" w:eastAsia="Times New Roman" w:hAnsi="Arial" w:cs="Arial"/>
                <w:color w:val="000000"/>
                <w:sz w:val="16"/>
                <w:szCs w:val="16"/>
                <w:lang w:eastAsia="en-CA"/>
              </w:rPr>
            </w:pPr>
          </w:p>
          <w:p w14:paraId="7DDBB24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+0.45 </w:t>
            </w:r>
            <w:r w:rsidRPr="00EC7D99">
              <w:rPr>
                <w:rFonts w:ascii="Arial" w:eastAsia="Times New Roman" w:hAnsi="Arial" w:cs="Arial"/>
                <w:color w:val="000000"/>
                <w:sz w:val="16"/>
                <w:szCs w:val="16"/>
                <w:lang w:eastAsia="en-CA"/>
              </w:rPr>
              <w:br/>
            </w:r>
          </w:p>
          <w:p w14:paraId="70522A8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+0.46 </w:t>
            </w:r>
          </w:p>
        </w:tc>
        <w:tc>
          <w:tcPr>
            <w:tcW w:w="2362" w:type="dxa"/>
            <w:hideMark/>
          </w:tcPr>
          <w:p w14:paraId="1B363877" w14:textId="77777777" w:rsidR="00C13EBB" w:rsidRPr="00EC7D99" w:rsidRDefault="00C13EBB" w:rsidP="0053218F">
            <w:pPr>
              <w:rPr>
                <w:rFonts w:ascii="Arial" w:eastAsia="Times New Roman" w:hAnsi="Arial" w:cs="Arial"/>
                <w:color w:val="000000"/>
                <w:sz w:val="16"/>
                <w:szCs w:val="16"/>
                <w:lang w:eastAsia="en-CA"/>
              </w:rPr>
            </w:pPr>
          </w:p>
          <w:p w14:paraId="0A20E25C" w14:textId="77777777" w:rsidR="00C13EBB" w:rsidRPr="00EC7D99" w:rsidRDefault="00C13EBB" w:rsidP="0053218F">
            <w:pPr>
              <w:rPr>
                <w:rFonts w:ascii="Arial" w:eastAsia="Times New Roman" w:hAnsi="Arial" w:cs="Arial"/>
                <w:color w:val="000000"/>
                <w:sz w:val="16"/>
                <w:szCs w:val="16"/>
                <w:lang w:eastAsia="en-CA"/>
              </w:rPr>
            </w:pPr>
          </w:p>
          <w:p w14:paraId="2A988E95" w14:textId="77777777" w:rsidR="00C13EBB" w:rsidRPr="00EC7D99" w:rsidRDefault="00C13EBB" w:rsidP="0053218F">
            <w:pPr>
              <w:rPr>
                <w:rFonts w:ascii="Arial" w:eastAsia="Times New Roman" w:hAnsi="Arial" w:cs="Arial"/>
                <w:color w:val="000000"/>
                <w:sz w:val="16"/>
                <w:szCs w:val="16"/>
                <w:lang w:eastAsia="en-CA"/>
              </w:rPr>
            </w:pPr>
          </w:p>
          <w:p w14:paraId="39A2B59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-0.40 </w:t>
            </w:r>
          </w:p>
        </w:tc>
      </w:tr>
      <w:tr w:rsidR="00C13EBB" w:rsidRPr="00EC7D99" w14:paraId="4BA0A883" w14:textId="77777777" w:rsidTr="00C07BB8">
        <w:trPr>
          <w:trHeight w:val="189"/>
          <w:jc w:val="center"/>
        </w:trPr>
        <w:tc>
          <w:tcPr>
            <w:tcW w:w="11338" w:type="dxa"/>
            <w:gridSpan w:val="5"/>
          </w:tcPr>
          <w:p w14:paraId="1A87179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Augmented Visual Feedback Treatment vs. Inactive Control Group</w:t>
            </w:r>
          </w:p>
        </w:tc>
      </w:tr>
      <w:tr w:rsidR="00C13EBB" w:rsidRPr="00EC7D99" w14:paraId="2B3E4B85" w14:textId="77777777" w:rsidTr="00C07BB8">
        <w:trPr>
          <w:trHeight w:val="696"/>
          <w:jc w:val="center"/>
        </w:trPr>
        <w:tc>
          <w:tcPr>
            <w:tcW w:w="1276" w:type="dxa"/>
          </w:tcPr>
          <w:p w14:paraId="6D6D8D51"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Liao, Yang [53]</w:t>
            </w:r>
          </w:p>
        </w:tc>
        <w:tc>
          <w:tcPr>
            <w:tcW w:w="1463" w:type="dxa"/>
          </w:tcPr>
          <w:p w14:paraId="1ED3539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(6)</w:t>
            </w:r>
          </w:p>
          <w:p w14:paraId="2C398DF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(6)</w:t>
            </w:r>
          </w:p>
        </w:tc>
        <w:tc>
          <w:tcPr>
            <w:tcW w:w="4394" w:type="dxa"/>
          </w:tcPr>
          <w:p w14:paraId="3707D742"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Impairment</w:t>
            </w:r>
          </w:p>
          <w:p w14:paraId="42D9BDFE" w14:textId="77777777" w:rsidR="00C13EBB" w:rsidRPr="00EC7D99" w:rsidRDefault="00C13EBB" w:rsidP="0053218F">
            <w:pPr>
              <w:tabs>
                <w:tab w:val="left" w:pos="227"/>
              </w:tabs>
              <w:ind w:left="227"/>
              <w:rPr>
                <w:rFonts w:ascii="Arial" w:eastAsia="Times New Roman" w:hAnsi="Arial" w:cs="Arial"/>
                <w:i/>
                <w:sz w:val="16"/>
                <w:szCs w:val="16"/>
                <w:lang w:eastAsia="en-CA"/>
              </w:rPr>
            </w:pPr>
            <w:r w:rsidRPr="00EC7D99">
              <w:rPr>
                <w:rFonts w:ascii="Arial" w:eastAsia="Times New Roman" w:hAnsi="Arial" w:cs="Arial"/>
                <w:i/>
                <w:sz w:val="16"/>
                <w:szCs w:val="16"/>
                <w:lang w:eastAsia="en-CA"/>
              </w:rPr>
              <w:t>Muscle strength</w:t>
            </w:r>
            <w:r w:rsidRPr="00EC7D99">
              <w:rPr>
                <w:rFonts w:ascii="Arial" w:eastAsia="Times New Roman" w:hAnsi="Arial" w:cs="Arial"/>
                <w:i/>
                <w:sz w:val="16"/>
                <w:szCs w:val="16"/>
                <w:lang w:eastAsia="en-CA"/>
              </w:rPr>
              <w:br/>
              <w:t>- hip flexors (f) + extensors (e)</w:t>
            </w:r>
            <w:r w:rsidRPr="00EC7D99">
              <w:rPr>
                <w:rFonts w:ascii="Arial" w:eastAsia="Times New Roman" w:hAnsi="Arial" w:cs="Arial"/>
                <w:i/>
                <w:sz w:val="16"/>
                <w:szCs w:val="16"/>
                <w:lang w:eastAsia="en-CA"/>
              </w:rPr>
              <w:br/>
              <w:t>- knee f + e</w:t>
            </w:r>
            <w:r w:rsidRPr="00EC7D99">
              <w:rPr>
                <w:rFonts w:ascii="Arial" w:eastAsia="Times New Roman" w:hAnsi="Arial" w:cs="Arial"/>
                <w:i/>
                <w:sz w:val="16"/>
                <w:szCs w:val="16"/>
                <w:lang w:eastAsia="en-CA"/>
              </w:rPr>
              <w:br/>
              <w:t>- ankle dorsiflexors (d)+ plantarflexors (p)</w:t>
            </w:r>
          </w:p>
          <w:p w14:paraId="365A89E6"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Activity</w:t>
            </w:r>
          </w:p>
          <w:p w14:paraId="4A69011D"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i/>
                <w:sz w:val="16"/>
                <w:szCs w:val="16"/>
                <w:lang w:eastAsia="en-CA"/>
              </w:rPr>
              <w:t>Gait velocity</w:t>
            </w:r>
            <w:r w:rsidRPr="00EC7D99">
              <w:rPr>
                <w:rFonts w:ascii="Arial" w:eastAsia="Times New Roman" w:hAnsi="Arial" w:cs="Arial"/>
                <w:i/>
                <w:sz w:val="16"/>
                <w:szCs w:val="16"/>
                <w:lang w:eastAsia="en-CA"/>
              </w:rPr>
              <w:br/>
              <w:t>Stride length</w:t>
            </w:r>
            <w:r w:rsidRPr="00EC7D99">
              <w:rPr>
                <w:rFonts w:ascii="Arial" w:eastAsia="Times New Roman" w:hAnsi="Arial" w:cs="Arial"/>
                <w:i/>
                <w:sz w:val="16"/>
                <w:szCs w:val="16"/>
                <w:lang w:eastAsia="en-CA"/>
              </w:rPr>
              <w:br/>
              <w:t>Functional gait assessment</w:t>
            </w:r>
            <w:r w:rsidRPr="00EC7D99">
              <w:rPr>
                <w:rFonts w:ascii="Arial" w:eastAsia="Times New Roman" w:hAnsi="Arial" w:cs="Arial"/>
                <w:i/>
                <w:sz w:val="16"/>
                <w:szCs w:val="16"/>
                <w:lang w:eastAsia="en-CA"/>
              </w:rPr>
              <w:br/>
              <w:t>Sensory Organization Test (somatosensory)</w:t>
            </w:r>
            <w:r w:rsidRPr="00EC7D99">
              <w:rPr>
                <w:rFonts w:ascii="Arial" w:eastAsia="Times New Roman" w:hAnsi="Arial" w:cs="Arial"/>
                <w:i/>
                <w:sz w:val="16"/>
                <w:szCs w:val="16"/>
                <w:lang w:eastAsia="en-CA"/>
              </w:rPr>
              <w:br/>
              <w:t>Sensory Organization Test (vision)</w:t>
            </w:r>
            <w:r w:rsidRPr="00EC7D99">
              <w:rPr>
                <w:rFonts w:ascii="Arial" w:eastAsia="Times New Roman" w:hAnsi="Arial" w:cs="Arial"/>
                <w:i/>
                <w:sz w:val="16"/>
                <w:szCs w:val="16"/>
                <w:lang w:eastAsia="en-CA"/>
              </w:rPr>
              <w:br/>
              <w:t>Sensory Organization Test (vestibular)</w:t>
            </w:r>
          </w:p>
        </w:tc>
        <w:tc>
          <w:tcPr>
            <w:tcW w:w="1843" w:type="dxa"/>
          </w:tcPr>
          <w:p w14:paraId="395C9718" w14:textId="77777777" w:rsidR="00C13EBB" w:rsidRPr="00EC7D99" w:rsidRDefault="00C13EBB" w:rsidP="0053218F">
            <w:pPr>
              <w:rPr>
                <w:rFonts w:ascii="Arial" w:eastAsia="Times New Roman" w:hAnsi="Arial" w:cs="Arial"/>
                <w:b/>
                <w:sz w:val="16"/>
                <w:szCs w:val="16"/>
                <w:lang w:eastAsia="en-CA"/>
              </w:rPr>
            </w:pPr>
          </w:p>
          <w:p w14:paraId="301D3A3A" w14:textId="77777777" w:rsidR="00C13EBB" w:rsidRPr="00EC7D99" w:rsidRDefault="00C13EBB" w:rsidP="0053218F">
            <w:pPr>
              <w:rPr>
                <w:rFonts w:ascii="Arial" w:eastAsia="Times New Roman" w:hAnsi="Arial" w:cs="Arial"/>
                <w:b/>
                <w:sz w:val="16"/>
                <w:szCs w:val="16"/>
                <w:lang w:eastAsia="en-CA"/>
              </w:rPr>
            </w:pPr>
          </w:p>
          <w:p w14:paraId="6C4F99FC" w14:textId="77777777" w:rsidR="00C13EBB" w:rsidRPr="00EC7D99" w:rsidRDefault="00C13EBB" w:rsidP="0053218F">
            <w:pPr>
              <w:rPr>
                <w:rFonts w:ascii="Arial" w:eastAsia="Times New Roman" w:hAnsi="Arial" w:cs="Arial"/>
                <w:b/>
                <w:sz w:val="16"/>
                <w:szCs w:val="16"/>
                <w:lang w:eastAsia="en-CA"/>
              </w:rPr>
            </w:pPr>
            <w:r w:rsidRPr="00EC7D99">
              <w:rPr>
                <w:rFonts w:ascii="Arial" w:eastAsia="Times New Roman" w:hAnsi="Arial" w:cs="Arial"/>
                <w:sz w:val="16"/>
                <w:szCs w:val="16"/>
                <w:lang w:eastAsia="en-CA"/>
              </w:rPr>
              <w:t>+0.68 (f) +1.07 (e)</w:t>
            </w:r>
            <w:r w:rsidRPr="00EC7D99">
              <w:rPr>
                <w:rFonts w:ascii="Arial" w:eastAsia="Times New Roman" w:hAnsi="Arial" w:cs="Arial"/>
                <w:sz w:val="16"/>
                <w:szCs w:val="16"/>
                <w:lang w:eastAsia="en-CA"/>
              </w:rPr>
              <w:br/>
              <w:t>+0.61 (f) +1.13 (e)</w:t>
            </w:r>
            <w:r w:rsidRPr="00EC7D99">
              <w:rPr>
                <w:rFonts w:ascii="Arial" w:eastAsia="Times New Roman" w:hAnsi="Arial" w:cs="Arial"/>
                <w:sz w:val="16"/>
                <w:szCs w:val="16"/>
                <w:lang w:eastAsia="en-CA"/>
              </w:rPr>
              <w:br/>
              <w:t>+1.16 (d) +1.21 (p)</w:t>
            </w:r>
            <w:r w:rsidRPr="00EC7D99">
              <w:rPr>
                <w:rFonts w:ascii="Arial" w:eastAsia="Times New Roman" w:hAnsi="Arial" w:cs="Arial"/>
                <w:sz w:val="16"/>
                <w:szCs w:val="16"/>
                <w:lang w:eastAsia="en-CA"/>
              </w:rPr>
              <w:br/>
            </w:r>
          </w:p>
          <w:p w14:paraId="44D34D5C"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+1.06</w:t>
            </w:r>
          </w:p>
          <w:p w14:paraId="794BA32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sz w:val="16"/>
                <w:szCs w:val="16"/>
                <w:lang w:eastAsia="en-CA"/>
              </w:rPr>
              <w:t>+0.97</w:t>
            </w:r>
            <w:r w:rsidRPr="00EC7D99">
              <w:rPr>
                <w:rFonts w:ascii="Arial" w:eastAsia="Times New Roman" w:hAnsi="Arial" w:cs="Arial"/>
                <w:sz w:val="16"/>
                <w:szCs w:val="16"/>
                <w:lang w:eastAsia="en-CA"/>
              </w:rPr>
              <w:br/>
              <w:t>+1.86</w:t>
            </w:r>
            <w:r w:rsidRPr="00EC7D99">
              <w:rPr>
                <w:rFonts w:ascii="Arial" w:eastAsia="Times New Roman" w:hAnsi="Arial" w:cs="Arial"/>
                <w:sz w:val="16"/>
                <w:szCs w:val="16"/>
                <w:lang w:eastAsia="en-CA"/>
              </w:rPr>
              <w:br/>
              <w:t>+0.58</w:t>
            </w:r>
            <w:r w:rsidRPr="00EC7D99">
              <w:rPr>
                <w:rFonts w:ascii="Arial" w:eastAsia="Times New Roman" w:hAnsi="Arial" w:cs="Arial"/>
                <w:sz w:val="16"/>
                <w:szCs w:val="16"/>
                <w:lang w:eastAsia="en-CA"/>
              </w:rPr>
              <w:br/>
              <w:t>+1.34</w:t>
            </w:r>
            <w:r w:rsidRPr="00EC7D99">
              <w:rPr>
                <w:rFonts w:ascii="Arial" w:eastAsia="Times New Roman" w:hAnsi="Arial" w:cs="Arial"/>
                <w:sz w:val="16"/>
                <w:szCs w:val="16"/>
                <w:lang w:eastAsia="en-CA"/>
              </w:rPr>
              <w:br/>
              <w:t>+1.67</w:t>
            </w:r>
          </w:p>
        </w:tc>
        <w:tc>
          <w:tcPr>
            <w:tcW w:w="2362" w:type="dxa"/>
          </w:tcPr>
          <w:p w14:paraId="65BEFC1D" w14:textId="77777777" w:rsidR="00C13EBB" w:rsidRPr="00EC7D99" w:rsidRDefault="00C13EBB" w:rsidP="0053218F">
            <w:pPr>
              <w:rPr>
                <w:rFonts w:ascii="Arial" w:eastAsia="Times New Roman" w:hAnsi="Arial" w:cs="Arial"/>
                <w:b/>
                <w:sz w:val="16"/>
                <w:szCs w:val="16"/>
                <w:lang w:eastAsia="en-CA"/>
              </w:rPr>
            </w:pPr>
          </w:p>
          <w:p w14:paraId="6ADAC291" w14:textId="77777777" w:rsidR="00C13EBB" w:rsidRPr="00EC7D99" w:rsidRDefault="00C13EBB" w:rsidP="0053218F">
            <w:pPr>
              <w:rPr>
                <w:rFonts w:ascii="Arial" w:eastAsia="Times New Roman" w:hAnsi="Arial" w:cs="Arial"/>
                <w:b/>
                <w:sz w:val="16"/>
                <w:szCs w:val="16"/>
                <w:lang w:eastAsia="en-CA"/>
              </w:rPr>
            </w:pPr>
          </w:p>
          <w:p w14:paraId="6567334D"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+0.71 (f) +0.76 (e)</w:t>
            </w:r>
            <w:r w:rsidRPr="00EC7D99">
              <w:rPr>
                <w:rFonts w:ascii="Arial" w:eastAsia="Times New Roman" w:hAnsi="Arial" w:cs="Arial"/>
                <w:sz w:val="16"/>
                <w:szCs w:val="16"/>
                <w:lang w:eastAsia="en-CA"/>
              </w:rPr>
              <w:br/>
              <w:t>+0.57 (f) +0.91 (e)</w:t>
            </w:r>
            <w:r w:rsidRPr="00EC7D99">
              <w:rPr>
                <w:rFonts w:ascii="Arial" w:eastAsia="Times New Roman" w:hAnsi="Arial" w:cs="Arial"/>
                <w:sz w:val="16"/>
                <w:szCs w:val="16"/>
                <w:lang w:eastAsia="en-CA"/>
              </w:rPr>
              <w:br/>
              <w:t>+1.31 (d) +1.05 (p)</w:t>
            </w:r>
            <w:r w:rsidRPr="00EC7D99">
              <w:rPr>
                <w:rFonts w:ascii="Arial" w:eastAsia="Times New Roman" w:hAnsi="Arial" w:cs="Arial"/>
                <w:sz w:val="16"/>
                <w:szCs w:val="16"/>
                <w:lang w:eastAsia="en-CA"/>
              </w:rPr>
              <w:br/>
            </w:r>
          </w:p>
          <w:p w14:paraId="43281047"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+0.75</w:t>
            </w:r>
            <w:r w:rsidRPr="00EC7D99">
              <w:rPr>
                <w:rFonts w:ascii="Arial" w:eastAsia="Times New Roman" w:hAnsi="Arial" w:cs="Arial"/>
                <w:sz w:val="16"/>
                <w:szCs w:val="16"/>
                <w:lang w:eastAsia="en-CA"/>
              </w:rPr>
              <w:br/>
              <w:t>+0.96</w:t>
            </w:r>
            <w:r w:rsidRPr="00EC7D99">
              <w:rPr>
                <w:rFonts w:ascii="Arial" w:eastAsia="Times New Roman" w:hAnsi="Arial" w:cs="Arial"/>
                <w:sz w:val="16"/>
                <w:szCs w:val="16"/>
                <w:lang w:eastAsia="en-CA"/>
              </w:rPr>
              <w:br/>
              <w:t>+1.83</w:t>
            </w:r>
            <w:r w:rsidRPr="00EC7D99">
              <w:rPr>
                <w:rFonts w:ascii="Arial" w:eastAsia="Times New Roman" w:hAnsi="Arial" w:cs="Arial"/>
                <w:sz w:val="16"/>
                <w:szCs w:val="16"/>
                <w:lang w:eastAsia="en-CA"/>
              </w:rPr>
              <w:br/>
              <w:t>+0.66</w:t>
            </w:r>
            <w:r w:rsidRPr="00EC7D99">
              <w:rPr>
                <w:rFonts w:ascii="Arial" w:eastAsia="Times New Roman" w:hAnsi="Arial" w:cs="Arial"/>
                <w:sz w:val="16"/>
                <w:szCs w:val="16"/>
                <w:lang w:eastAsia="en-CA"/>
              </w:rPr>
              <w:br/>
              <w:t>+1.29</w:t>
            </w:r>
          </w:p>
          <w:p w14:paraId="73053E9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sz w:val="16"/>
                <w:szCs w:val="16"/>
                <w:lang w:eastAsia="en-CA"/>
              </w:rPr>
              <w:t>+1.43</w:t>
            </w:r>
          </w:p>
        </w:tc>
      </w:tr>
      <w:tr w:rsidR="00C13EBB" w:rsidRPr="00EC7D99" w14:paraId="19222EAE" w14:textId="77777777" w:rsidTr="00C07BB8">
        <w:trPr>
          <w:trHeight w:val="500"/>
          <w:jc w:val="center"/>
        </w:trPr>
        <w:tc>
          <w:tcPr>
            <w:tcW w:w="11338" w:type="dxa"/>
            <w:gridSpan w:val="5"/>
          </w:tcPr>
          <w:p w14:paraId="0FE3F72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Note: Only outcome measures with small (d ≥ .2), medium (d ≥ .5) or large effect sizes (d ≥ .8) shown; ‘ + ’ indicates experimental group performance was enhanced compared to control group, and ‘ – ‘ indicates experimental group performance was reduced relative to control group.</w:t>
            </w:r>
          </w:p>
          <w:p w14:paraId="378C36E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 n/a = not applicable; UPDRS = Unified Parkinson’s Disease Rating Scale; Wks = weeks.</w:t>
            </w:r>
          </w:p>
        </w:tc>
      </w:tr>
    </w:tbl>
    <w:p w14:paraId="4F6593FD" w14:textId="77777777" w:rsidR="00C13EBB" w:rsidRPr="00EC7D99" w:rsidRDefault="00C13EBB" w:rsidP="00DE73FB">
      <w:pPr>
        <w:spacing w:line="480" w:lineRule="auto"/>
        <w:rPr>
          <w:rFonts w:cs="Times New Roman"/>
          <w:sz w:val="18"/>
          <w:szCs w:val="18"/>
        </w:rPr>
        <w:sectPr w:rsidR="00C13EBB" w:rsidRPr="00EC7D99" w:rsidSect="00C07BB8">
          <w:pgSz w:w="12240" w:h="15840"/>
          <w:pgMar w:top="709" w:right="425" w:bottom="567" w:left="567" w:header="709" w:footer="709" w:gutter="0"/>
          <w:cols w:space="708"/>
          <w:titlePg/>
          <w:docGrid w:linePitch="360"/>
        </w:sectPr>
      </w:pPr>
    </w:p>
    <w:p w14:paraId="06EB3565" w14:textId="435057FE" w:rsidR="00C13EBB" w:rsidRDefault="00C13EBB" w:rsidP="00DE73FB">
      <w:pPr>
        <w:spacing w:line="480" w:lineRule="auto"/>
        <w:outlineLvl w:val="0"/>
        <w:rPr>
          <w:rFonts w:cs="Times New Roman"/>
          <w:b/>
        </w:rPr>
      </w:pPr>
      <w:r w:rsidRPr="00EC7D99">
        <w:rPr>
          <w:rFonts w:cs="Times New Roman"/>
          <w:b/>
        </w:rPr>
        <w:t>Figure</w:t>
      </w:r>
      <w:r w:rsidR="00BE534D">
        <w:rPr>
          <w:rFonts w:cs="Times New Roman"/>
          <w:b/>
        </w:rPr>
        <w:t xml:space="preserve">s and </w:t>
      </w:r>
      <w:r w:rsidRPr="00EC7D99">
        <w:rPr>
          <w:rFonts w:cs="Times New Roman"/>
          <w:b/>
        </w:rPr>
        <w:t>Captions</w:t>
      </w:r>
    </w:p>
    <w:p w14:paraId="7C4C87CE" w14:textId="2EB54B9A" w:rsidR="00BE534D" w:rsidRPr="00EC7D99" w:rsidRDefault="00BE534D" w:rsidP="00DE73FB">
      <w:pPr>
        <w:spacing w:line="480" w:lineRule="auto"/>
        <w:outlineLvl w:val="0"/>
        <w:rPr>
          <w:rFonts w:cs="Times New Roman"/>
          <w:b/>
        </w:rPr>
      </w:pPr>
      <w:r>
        <w:rPr>
          <w:rFonts w:cs="Times New Roman"/>
          <w:b/>
          <w:noProof/>
        </w:rPr>
        <w:drawing>
          <wp:inline distT="0" distB="0" distL="0" distR="0" wp14:anchorId="7C221C86" wp14:editId="6501597D">
            <wp:extent cx="5537200"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_REVISION.eps"/>
                    <pic:cNvPicPr/>
                  </pic:nvPicPr>
                  <pic:blipFill>
                    <a:blip r:embed="rId10">
                      <a:extLst>
                        <a:ext uri="{28A0092B-C50C-407E-A947-70E740481C1C}">
                          <a14:useLocalDpi xmlns:a14="http://schemas.microsoft.com/office/drawing/2010/main" val="0"/>
                        </a:ext>
                      </a:extLst>
                    </a:blip>
                    <a:stretch>
                      <a:fillRect/>
                    </a:stretch>
                  </pic:blipFill>
                  <pic:spPr>
                    <a:xfrm>
                      <a:off x="0" y="0"/>
                      <a:ext cx="5537200" cy="5334000"/>
                    </a:xfrm>
                    <a:prstGeom prst="rect">
                      <a:avLst/>
                    </a:prstGeom>
                  </pic:spPr>
                </pic:pic>
              </a:graphicData>
            </a:graphic>
          </wp:inline>
        </w:drawing>
      </w:r>
    </w:p>
    <w:p w14:paraId="086C0710" w14:textId="15528436" w:rsidR="00BE534D" w:rsidRDefault="00C13EBB" w:rsidP="00DE73FB">
      <w:pPr>
        <w:spacing w:line="480" w:lineRule="auto"/>
        <w:rPr>
          <w:rFonts w:cs="Times New Roman"/>
        </w:rPr>
      </w:pPr>
      <w:r w:rsidRPr="00EC7D99">
        <w:rPr>
          <w:rFonts w:cs="Times New Roman"/>
          <w:b/>
        </w:rPr>
        <w:t>Figure 1</w:t>
      </w:r>
      <w:r w:rsidRPr="00EC7D99">
        <w:rPr>
          <w:rFonts w:cs="Times New Roman"/>
          <w:b/>
          <w:i/>
        </w:rPr>
        <w:t>.</w:t>
      </w:r>
      <w:r w:rsidRPr="00EC7D99">
        <w:rPr>
          <w:rFonts w:cs="Times New Roman"/>
          <w:i/>
        </w:rPr>
        <w:t xml:space="preserve"> </w:t>
      </w:r>
      <w:r w:rsidRPr="00EC7D99">
        <w:rPr>
          <w:rFonts w:cs="Times New Roman"/>
        </w:rPr>
        <w:t xml:space="preserve">Flow chart illustrating search strategy and screening process. </w:t>
      </w:r>
    </w:p>
    <w:p w14:paraId="19A6C371" w14:textId="77777777" w:rsidR="00BE534D" w:rsidRDefault="00BE534D">
      <w:pPr>
        <w:spacing w:after="200"/>
        <w:rPr>
          <w:rFonts w:cs="Times New Roman"/>
        </w:rPr>
      </w:pPr>
      <w:r>
        <w:rPr>
          <w:rFonts w:cs="Times New Roman"/>
        </w:rPr>
        <w:br w:type="page"/>
      </w:r>
    </w:p>
    <w:p w14:paraId="4FB95DDB" w14:textId="5E0988C5" w:rsidR="00C13EBB" w:rsidRPr="00EC7D99" w:rsidRDefault="00BE534D" w:rsidP="00DE73FB">
      <w:pPr>
        <w:spacing w:line="480" w:lineRule="auto"/>
        <w:rPr>
          <w:rFonts w:cs="Times New Roman"/>
          <w:sz w:val="22"/>
          <w:szCs w:val="22"/>
        </w:rPr>
      </w:pPr>
      <w:r>
        <w:rPr>
          <w:noProof/>
          <w:lang w:eastAsia="en-CA"/>
        </w:rPr>
        <w:drawing>
          <wp:inline distT="0" distB="0" distL="0" distR="0" wp14:anchorId="2ED0CBC1" wp14:editId="5EF018DC">
            <wp:extent cx="5943600" cy="3041015"/>
            <wp:effectExtent l="0" t="0" r="0" b="0"/>
            <wp:docPr id="3" name="Picture 3" descr="C:\Users\yanalab2\Dropbox\1--PhD_2013-2017\Writing\3_PhD_SystematicReview\REVISION 1.0\Figures\Figure2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alab2\Dropbox\1--PhD_2013-2017\Writing\3_PhD_SystematicReview\REVISION 1.0\Figures\Figure2_REVISION.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33579A19" w14:textId="7BCBE2D3" w:rsidR="00BE534D" w:rsidRDefault="00C13EBB" w:rsidP="00DE73FB">
      <w:pPr>
        <w:spacing w:line="480" w:lineRule="auto"/>
        <w:rPr>
          <w:rFonts w:cs="Times New Roman"/>
        </w:rPr>
      </w:pPr>
      <w:r w:rsidRPr="00EC7D99">
        <w:rPr>
          <w:rFonts w:cs="Times New Roman"/>
          <w:b/>
        </w:rPr>
        <w:t>Figure 2.</w:t>
      </w:r>
      <w:r w:rsidRPr="00EC7D99">
        <w:rPr>
          <w:rFonts w:cs="Times New Roman"/>
        </w:rPr>
        <w:t xml:space="preserve"> Distribution of outcome measures by type across all studies. Outcome measures are classified by the core levels of the International Classification of Functioning, Disability, and Health, and global motor function.</w:t>
      </w:r>
    </w:p>
    <w:p w14:paraId="57C9C4B1" w14:textId="77777777" w:rsidR="00BE534D" w:rsidRDefault="00BE534D">
      <w:pPr>
        <w:spacing w:after="200"/>
        <w:rPr>
          <w:rFonts w:cs="Times New Roman"/>
        </w:rPr>
      </w:pPr>
      <w:r>
        <w:rPr>
          <w:rFonts w:cs="Times New Roman"/>
        </w:rPr>
        <w:br w:type="page"/>
      </w:r>
    </w:p>
    <w:p w14:paraId="1BB14C61" w14:textId="5CF1D6CB" w:rsidR="00C13EBB" w:rsidRPr="00EC7D99" w:rsidRDefault="00BE534D" w:rsidP="00DE73FB">
      <w:pPr>
        <w:spacing w:line="480" w:lineRule="auto"/>
        <w:rPr>
          <w:rFonts w:cs="Times New Roman"/>
        </w:rPr>
      </w:pPr>
      <w:r>
        <w:rPr>
          <w:noProof/>
          <w:lang w:eastAsia="en-CA"/>
        </w:rPr>
        <w:drawing>
          <wp:inline distT="0" distB="0" distL="0" distR="0" wp14:anchorId="44CA138B" wp14:editId="2A0D19F2">
            <wp:extent cx="5943600" cy="3041015"/>
            <wp:effectExtent l="0" t="0" r="0" b="0"/>
            <wp:docPr id="4" name="Picture 4" descr="C:\Users\yanalab2\Dropbox\1--PhD_2013-2017\Writing\3_PhD_SystematicReview\REVISION 1.0\Figures\Figure3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alab2\Dropbox\1--PhD_2013-2017\Writing\3_PhD_SystematicReview\REVISION 1.0\Figures\Figure3_REVISION.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42BF8E25" w14:textId="3D69D9CE" w:rsidR="00BE534D" w:rsidRDefault="00C13EBB" w:rsidP="00DE73FB">
      <w:pPr>
        <w:spacing w:line="480" w:lineRule="auto"/>
        <w:rPr>
          <w:rFonts w:eastAsia="Calibri" w:cs="Times New Roman"/>
          <w:lang w:eastAsia="en-CA"/>
        </w:rPr>
      </w:pPr>
      <w:r w:rsidRPr="00EC7D99">
        <w:rPr>
          <w:rFonts w:cs="Times New Roman"/>
          <w:b/>
        </w:rPr>
        <w:t>Figure 3.</w:t>
      </w:r>
      <w:r w:rsidRPr="00EC7D99">
        <w:rPr>
          <w:rFonts w:cs="Times New Roman"/>
        </w:rPr>
        <w:t xml:space="preserve"> The summary of measures showing positive (+), negative (-), or no effect immediately after treatment. Single group studies show effect pre-post treatment; RCT studies show effect compared to (1) active control groups, and (2) inactive control groups. The number of studies with available effect size data is shown in parentheses following study design, </w:t>
      </w:r>
      <w:r w:rsidRPr="00EC7D99">
        <w:rPr>
          <w:rFonts w:eastAsia="Calibri" w:cs="Times New Roman"/>
          <w:lang w:eastAsia="en-CA"/>
        </w:rPr>
        <w:t xml:space="preserve">and the number of included measures is indicated on each bar. </w:t>
      </w:r>
    </w:p>
    <w:p w14:paraId="20D59312" w14:textId="77777777" w:rsidR="00BE534D" w:rsidRDefault="00BE534D">
      <w:pPr>
        <w:spacing w:after="200"/>
        <w:rPr>
          <w:rFonts w:eastAsia="Calibri" w:cs="Times New Roman"/>
          <w:lang w:eastAsia="en-CA"/>
        </w:rPr>
      </w:pPr>
      <w:r>
        <w:rPr>
          <w:rFonts w:eastAsia="Calibri" w:cs="Times New Roman"/>
          <w:lang w:eastAsia="en-CA"/>
        </w:rPr>
        <w:br w:type="page"/>
      </w:r>
    </w:p>
    <w:p w14:paraId="728D9A6A" w14:textId="4DAF33AB" w:rsidR="00C13EBB" w:rsidRPr="00EC7D99" w:rsidRDefault="00BE534D" w:rsidP="00DE73FB">
      <w:pPr>
        <w:spacing w:line="480" w:lineRule="auto"/>
        <w:rPr>
          <w:rFonts w:cs="Times New Roman"/>
        </w:rPr>
      </w:pPr>
      <w:r>
        <w:rPr>
          <w:noProof/>
          <w:lang w:eastAsia="en-CA"/>
        </w:rPr>
        <w:drawing>
          <wp:inline distT="0" distB="0" distL="0" distR="0" wp14:anchorId="555E029C" wp14:editId="441540B0">
            <wp:extent cx="5943600" cy="3041015"/>
            <wp:effectExtent l="0" t="0" r="0" b="0"/>
            <wp:docPr id="5" name="Picture 5" descr="C:\Users\yanalab2\Dropbox\1--PhD_2013-2017\Writing\3_PhD_SystematicReview\REVISION 1.0\Figures\Figure4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alab2\Dropbox\1--PhD_2013-2017\Writing\3_PhD_SystematicReview\REVISION 1.0\Figures\Figure4_REVISION.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49BCEBD8" w14:textId="2015B695" w:rsidR="00BE534D" w:rsidRDefault="00C13EBB" w:rsidP="00DE73FB">
      <w:pPr>
        <w:spacing w:line="480" w:lineRule="auto"/>
        <w:rPr>
          <w:rFonts w:eastAsia="Calibri" w:cs="Times New Roman"/>
          <w:lang w:eastAsia="en-CA"/>
        </w:rPr>
      </w:pPr>
      <w:r w:rsidRPr="00EC7D99">
        <w:rPr>
          <w:rFonts w:cs="Times New Roman"/>
          <w:b/>
        </w:rPr>
        <w:t>Figure 4.</w:t>
      </w:r>
      <w:r w:rsidRPr="00EC7D99">
        <w:rPr>
          <w:rFonts w:cs="Times New Roman"/>
        </w:rPr>
        <w:t xml:space="preserve"> The summary of measures showing positive (+), negative (-), or no effect immediately at follow-up. The measures are grouped by positive (+), negative (-), or no effect. Single group studies show effect pre-treatment to follow-up; RCT studies show effect for visual feedback-based treatment compared to (1) active control groups, and (2) inactive control groups. The number of studies with available effect size data is shown in parentheses following study design, </w:t>
      </w:r>
      <w:r w:rsidRPr="00EC7D99">
        <w:rPr>
          <w:rFonts w:eastAsia="Calibri" w:cs="Times New Roman"/>
          <w:lang w:eastAsia="en-CA"/>
        </w:rPr>
        <w:t xml:space="preserve">and the number of included measures is indicated on each bar. </w:t>
      </w:r>
    </w:p>
    <w:p w14:paraId="7C0A2680" w14:textId="77777777" w:rsidR="00BE534D" w:rsidRDefault="00BE534D">
      <w:pPr>
        <w:spacing w:after="200"/>
        <w:rPr>
          <w:rFonts w:eastAsia="Calibri" w:cs="Times New Roman"/>
          <w:lang w:eastAsia="en-CA"/>
        </w:rPr>
      </w:pPr>
      <w:r>
        <w:rPr>
          <w:rFonts w:eastAsia="Calibri" w:cs="Times New Roman"/>
          <w:lang w:eastAsia="en-CA"/>
        </w:rPr>
        <w:br w:type="page"/>
      </w:r>
    </w:p>
    <w:p w14:paraId="5FFA4AD5" w14:textId="4221ABA7" w:rsidR="00C13EBB" w:rsidRPr="00EC7D99" w:rsidRDefault="00BE534D" w:rsidP="00DE73FB">
      <w:pPr>
        <w:spacing w:line="480" w:lineRule="auto"/>
        <w:rPr>
          <w:rFonts w:cs="Times New Roman"/>
          <w:sz w:val="22"/>
          <w:szCs w:val="22"/>
        </w:rPr>
      </w:pPr>
      <w:r>
        <w:rPr>
          <w:noProof/>
          <w:lang w:eastAsia="en-CA"/>
        </w:rPr>
        <w:drawing>
          <wp:inline distT="0" distB="0" distL="0" distR="0" wp14:anchorId="20C2F64B" wp14:editId="06527B30">
            <wp:extent cx="5943600" cy="7081520"/>
            <wp:effectExtent l="0" t="0" r="0" b="5080"/>
            <wp:docPr id="6" name="Picture 6" descr="C:\Users\yanalab2\Dropbox\1--PhD_2013-2017\Writing\3_PhD_SystematicReview\REVISION 1.0\Figures\Figure5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alab2\Dropbox\1--PhD_2013-2017\Writing\3_PhD_SystematicReview\REVISION 1.0\Figures\Figure5_REVISION.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6FB0A577" w14:textId="77777777" w:rsidR="00C13EBB" w:rsidRPr="00145FD5" w:rsidRDefault="00C13EBB" w:rsidP="00DE73FB">
      <w:pPr>
        <w:spacing w:line="480" w:lineRule="auto"/>
        <w:rPr>
          <w:rFonts w:cs="Times New Roman"/>
          <w:sz w:val="22"/>
          <w:szCs w:val="22"/>
        </w:rPr>
      </w:pPr>
      <w:r w:rsidRPr="00EC7D99">
        <w:rPr>
          <w:rFonts w:eastAsia="Calibri" w:cs="Times New Roman"/>
          <w:b/>
          <w:color w:val="000000"/>
          <w:lang w:eastAsia="en-CA"/>
        </w:rPr>
        <w:t>Figure 5.</w:t>
      </w:r>
      <w:r w:rsidRPr="00EC7D99">
        <w:rPr>
          <w:rFonts w:eastAsia="Calibri" w:cs="Times New Roman"/>
          <w:color w:val="000000"/>
          <w:lang w:eastAsia="en-CA"/>
        </w:rPr>
        <w:t xml:space="preserve"> The summary of measures in RCT studies comparing augmented visual feedback-based treatment to active control intervention immediately after treatment. Measures are grouped by the direction of the effects (positive (+), negative (-), no effect).</w:t>
      </w:r>
      <w:r w:rsidRPr="00EC7D99">
        <w:rPr>
          <w:rFonts w:eastAsia="Calibri" w:cs="Times New Roman"/>
          <w:lang w:eastAsia="en-CA"/>
        </w:rPr>
        <w:t xml:space="preserve"> The number of included measures is indicated on each bar.</w:t>
      </w:r>
    </w:p>
    <w:p w14:paraId="66C8CAED" w14:textId="77777777" w:rsidR="00C07BB8" w:rsidRDefault="00C07BB8" w:rsidP="00DE73FB">
      <w:pPr>
        <w:spacing w:line="480" w:lineRule="auto"/>
      </w:pPr>
    </w:p>
    <w:sectPr w:rsidR="00C07BB8" w:rsidSect="00C07BB8">
      <w:headerReference w:type="default" r:id="rId1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D940D" w14:textId="77777777" w:rsidR="000A1040" w:rsidRDefault="000A1040">
      <w:pPr>
        <w:spacing w:line="240" w:lineRule="auto"/>
      </w:pPr>
      <w:r>
        <w:separator/>
      </w:r>
    </w:p>
  </w:endnote>
  <w:endnote w:type="continuationSeparator" w:id="0">
    <w:p w14:paraId="309C875F" w14:textId="77777777" w:rsidR="000A1040" w:rsidRDefault="000A10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w:panose1 w:val="020B0602030504020204"/>
    <w:charset w:val="4D"/>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CAE7C" w14:textId="77777777" w:rsidR="000A1040" w:rsidRDefault="000A1040">
      <w:pPr>
        <w:spacing w:line="240" w:lineRule="auto"/>
      </w:pPr>
      <w:r>
        <w:separator/>
      </w:r>
    </w:p>
  </w:footnote>
  <w:footnote w:type="continuationSeparator" w:id="0">
    <w:p w14:paraId="13FBF80D" w14:textId="77777777" w:rsidR="000A1040" w:rsidRDefault="000A10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CC801" w14:textId="77777777" w:rsidR="00953CE2" w:rsidRDefault="00953CE2" w:rsidP="00C07B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A19AF0" w14:textId="77777777" w:rsidR="00953CE2" w:rsidRDefault="00953CE2" w:rsidP="00C07B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CCB0E" w14:textId="77777777" w:rsidR="00953CE2" w:rsidRDefault="00953CE2" w:rsidP="00C07B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45D6B0BA" w14:textId="77777777" w:rsidR="00953CE2" w:rsidRDefault="00953CE2" w:rsidP="00C07BB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E9AB5" w14:textId="77777777" w:rsidR="00953CE2" w:rsidRDefault="00953CE2" w:rsidP="00C07BB8">
    <w:pPr>
      <w:pStyle w:val="Header"/>
    </w:pPr>
    <w:r>
      <w:tab/>
    </w:r>
    <w:sdt>
      <w:sdtPr>
        <w:id w:val="-756362652"/>
        <w:docPartObj>
          <w:docPartGallery w:val="Page Numbers (Top of Page)"/>
          <w:docPartUnique/>
        </w:docPartObj>
      </w:sdtPr>
      <w:sdtEndPr>
        <w:rPr>
          <w:noProof/>
        </w:rPr>
      </w:sdtEndPr>
      <w:sdtContent>
        <w:r>
          <w:tab/>
        </w:r>
        <w:r>
          <w:fldChar w:fldCharType="begin"/>
        </w:r>
        <w:r>
          <w:instrText xml:space="preserve"> PAGE   \* MERGEFORMAT </w:instrText>
        </w:r>
        <w:r>
          <w:fldChar w:fldCharType="separate"/>
        </w:r>
        <w:r>
          <w:rPr>
            <w:noProof/>
          </w:rPr>
          <w:t>33</w:t>
        </w:r>
        <w:r>
          <w:rPr>
            <w:noProof/>
          </w:rPr>
          <w:fldChar w:fldCharType="end"/>
        </w:r>
      </w:sdtContent>
    </w:sdt>
  </w:p>
  <w:p w14:paraId="7BF1D9FB" w14:textId="77777777" w:rsidR="00953CE2" w:rsidRDefault="00953C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A8AFD" w14:textId="77777777" w:rsidR="00953CE2" w:rsidRDefault="00953CE2" w:rsidP="00C07B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42</w:t>
    </w:r>
    <w:r>
      <w:rPr>
        <w:rStyle w:val="PageNumber"/>
      </w:rPr>
      <w:fldChar w:fldCharType="end"/>
    </w:r>
  </w:p>
  <w:p w14:paraId="0932D5CB" w14:textId="77777777" w:rsidR="00953CE2" w:rsidRPr="004C1685" w:rsidRDefault="00953CE2" w:rsidP="00C07BB8">
    <w:pPr>
      <w:pStyle w:val="CM2"/>
      <w:ind w:right="360"/>
      <w:rPr>
        <w:rFonts w:ascii="Lucida Sans" w:hAnsi="Lucida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1CD5"/>
    <w:multiLevelType w:val="hybridMultilevel"/>
    <w:tmpl w:val="AC8E6448"/>
    <w:lvl w:ilvl="0" w:tplc="B746823C">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658F8"/>
    <w:multiLevelType w:val="hybridMultilevel"/>
    <w:tmpl w:val="66345972"/>
    <w:lvl w:ilvl="0" w:tplc="43D0FE82">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AC5DD8"/>
    <w:multiLevelType w:val="hybridMultilevel"/>
    <w:tmpl w:val="31AC2016"/>
    <w:lvl w:ilvl="0" w:tplc="CE7C1698">
      <w:start w:val="4"/>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E06D05"/>
    <w:multiLevelType w:val="hybridMultilevel"/>
    <w:tmpl w:val="D3D8BE66"/>
    <w:lvl w:ilvl="0" w:tplc="2DB6F5D6">
      <w:numFmt w:val="bullet"/>
      <w:lvlText w:val="-"/>
      <w:lvlJc w:val="left"/>
      <w:pPr>
        <w:ind w:left="707" w:hanging="360"/>
      </w:pPr>
      <w:rPr>
        <w:rFonts w:ascii="Calibri" w:eastAsia="Times New Roman" w:hAnsi="Calibri" w:cs="Times New Roman" w:hint="default"/>
      </w:rPr>
    </w:lvl>
    <w:lvl w:ilvl="1" w:tplc="04090003" w:tentative="1">
      <w:start w:val="1"/>
      <w:numFmt w:val="bullet"/>
      <w:lvlText w:val="o"/>
      <w:lvlJc w:val="left"/>
      <w:pPr>
        <w:ind w:left="1427" w:hanging="360"/>
      </w:pPr>
      <w:rPr>
        <w:rFonts w:ascii="Courier New" w:hAnsi="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4" w15:restartNumberingAfterBreak="0">
    <w:nsid w:val="25CD6061"/>
    <w:multiLevelType w:val="hybridMultilevel"/>
    <w:tmpl w:val="5F76B858"/>
    <w:lvl w:ilvl="0" w:tplc="08A4BDFE">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3A06D9"/>
    <w:multiLevelType w:val="hybridMultilevel"/>
    <w:tmpl w:val="302A1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A2AC6"/>
    <w:multiLevelType w:val="hybridMultilevel"/>
    <w:tmpl w:val="D5E0A1C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32A1163F"/>
    <w:multiLevelType w:val="hybridMultilevel"/>
    <w:tmpl w:val="3FFC2402"/>
    <w:lvl w:ilvl="0" w:tplc="0F80DC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24D3D"/>
    <w:multiLevelType w:val="hybridMultilevel"/>
    <w:tmpl w:val="D2E2CF0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423E0CAB"/>
    <w:multiLevelType w:val="hybridMultilevel"/>
    <w:tmpl w:val="7BAA8D8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496D2B6C"/>
    <w:multiLevelType w:val="hybridMultilevel"/>
    <w:tmpl w:val="9B22F118"/>
    <w:lvl w:ilvl="0" w:tplc="4E5A535E">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EFD00B5"/>
    <w:multiLevelType w:val="hybridMultilevel"/>
    <w:tmpl w:val="EE4C7CE6"/>
    <w:lvl w:ilvl="0" w:tplc="A7BC80E2">
      <w:start w:val="3"/>
      <w:numFmt w:val="bullet"/>
      <w:lvlText w:val="-"/>
      <w:lvlJc w:val="left"/>
      <w:pPr>
        <w:ind w:left="720" w:hanging="360"/>
      </w:pPr>
      <w:rPr>
        <w:rFonts w:ascii="Calibri" w:eastAsiaTheme="minorHAns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C3D5473"/>
    <w:multiLevelType w:val="hybridMultilevel"/>
    <w:tmpl w:val="911EAD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B43FA4"/>
    <w:multiLevelType w:val="hybridMultilevel"/>
    <w:tmpl w:val="E5022BF2"/>
    <w:lvl w:ilvl="0" w:tplc="A014AE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EF75F6"/>
    <w:multiLevelType w:val="hybridMultilevel"/>
    <w:tmpl w:val="FA98244E"/>
    <w:lvl w:ilvl="0" w:tplc="9EDE12C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5C7DD6"/>
    <w:multiLevelType w:val="hybridMultilevel"/>
    <w:tmpl w:val="9782F4A4"/>
    <w:lvl w:ilvl="0" w:tplc="B746823C">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657242"/>
    <w:multiLevelType w:val="hybridMultilevel"/>
    <w:tmpl w:val="2004B3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D61375E"/>
    <w:multiLevelType w:val="hybridMultilevel"/>
    <w:tmpl w:val="95D45A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6"/>
  </w:num>
  <w:num w:numId="4">
    <w:abstractNumId w:val="12"/>
  </w:num>
  <w:num w:numId="5">
    <w:abstractNumId w:val="8"/>
  </w:num>
  <w:num w:numId="6">
    <w:abstractNumId w:val="4"/>
  </w:num>
  <w:num w:numId="7">
    <w:abstractNumId w:val="10"/>
  </w:num>
  <w:num w:numId="8">
    <w:abstractNumId w:val="1"/>
  </w:num>
  <w:num w:numId="9">
    <w:abstractNumId w:val="14"/>
  </w:num>
  <w:num w:numId="10">
    <w:abstractNumId w:val="7"/>
  </w:num>
  <w:num w:numId="11">
    <w:abstractNumId w:val="5"/>
  </w:num>
  <w:num w:numId="12">
    <w:abstractNumId w:val="17"/>
  </w:num>
  <w:num w:numId="13">
    <w:abstractNumId w:val="2"/>
  </w:num>
  <w:num w:numId="14">
    <w:abstractNumId w:val="0"/>
  </w:num>
  <w:num w:numId="15">
    <w:abstractNumId w:val="15"/>
  </w:num>
  <w:num w:numId="16">
    <w:abstractNumId w:val="3"/>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13EBB"/>
    <w:rsid w:val="00050702"/>
    <w:rsid w:val="000A1040"/>
    <w:rsid w:val="00145931"/>
    <w:rsid w:val="0016063A"/>
    <w:rsid w:val="00164917"/>
    <w:rsid w:val="002008BC"/>
    <w:rsid w:val="00290058"/>
    <w:rsid w:val="00392ADC"/>
    <w:rsid w:val="00477D5F"/>
    <w:rsid w:val="00496147"/>
    <w:rsid w:val="004D198F"/>
    <w:rsid w:val="00507F89"/>
    <w:rsid w:val="005250CD"/>
    <w:rsid w:val="0053218F"/>
    <w:rsid w:val="00570787"/>
    <w:rsid w:val="005E470F"/>
    <w:rsid w:val="00652E3A"/>
    <w:rsid w:val="007571C6"/>
    <w:rsid w:val="007C04BC"/>
    <w:rsid w:val="00951FBC"/>
    <w:rsid w:val="00953CE2"/>
    <w:rsid w:val="00973E32"/>
    <w:rsid w:val="009D21F5"/>
    <w:rsid w:val="00A15431"/>
    <w:rsid w:val="00AD03F2"/>
    <w:rsid w:val="00AF6C92"/>
    <w:rsid w:val="00B22B4E"/>
    <w:rsid w:val="00BC2328"/>
    <w:rsid w:val="00BD2946"/>
    <w:rsid w:val="00BE534D"/>
    <w:rsid w:val="00C07BB8"/>
    <w:rsid w:val="00C13EBB"/>
    <w:rsid w:val="00C63F7A"/>
    <w:rsid w:val="00C86076"/>
    <w:rsid w:val="00CD32DB"/>
    <w:rsid w:val="00D12A33"/>
    <w:rsid w:val="00DE73FB"/>
    <w:rsid w:val="00DE7AF5"/>
    <w:rsid w:val="00EC7D99"/>
    <w:rsid w:val="00EF5995"/>
    <w:rsid w:val="00F57A87"/>
    <w:rsid w:val="00F72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EEE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13EBB"/>
    <w:pPr>
      <w:spacing w:after="0"/>
    </w:pPr>
    <w:rPr>
      <w:rFonts w:ascii="Times New Roman" w:hAnsi="Times New Roman"/>
      <w:sz w:val="24"/>
      <w:szCs w:val="24"/>
    </w:rPr>
  </w:style>
  <w:style w:type="paragraph" w:styleId="Heading1">
    <w:name w:val="heading 1"/>
    <w:basedOn w:val="Normal"/>
    <w:next w:val="Normal"/>
    <w:link w:val="Heading1Char"/>
    <w:uiPriority w:val="9"/>
    <w:qFormat/>
    <w:rsid w:val="00C13E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EB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13E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3EBB"/>
    <w:pPr>
      <w:tabs>
        <w:tab w:val="center" w:pos="4680"/>
        <w:tab w:val="right" w:pos="9360"/>
      </w:tabs>
      <w:spacing w:line="240" w:lineRule="auto"/>
    </w:pPr>
  </w:style>
  <w:style w:type="character" w:customStyle="1" w:styleId="HeaderChar">
    <w:name w:val="Header Char"/>
    <w:basedOn w:val="DefaultParagraphFont"/>
    <w:link w:val="Header"/>
    <w:uiPriority w:val="99"/>
    <w:rsid w:val="00C13EBB"/>
    <w:rPr>
      <w:rFonts w:ascii="Times New Roman" w:hAnsi="Times New Roman"/>
      <w:sz w:val="24"/>
      <w:szCs w:val="24"/>
    </w:rPr>
  </w:style>
  <w:style w:type="paragraph" w:styleId="Footer">
    <w:name w:val="footer"/>
    <w:basedOn w:val="Normal"/>
    <w:link w:val="FooterChar"/>
    <w:uiPriority w:val="99"/>
    <w:unhideWhenUsed/>
    <w:rsid w:val="00C13EBB"/>
    <w:pPr>
      <w:tabs>
        <w:tab w:val="center" w:pos="4680"/>
        <w:tab w:val="right" w:pos="9360"/>
      </w:tabs>
      <w:spacing w:line="240" w:lineRule="auto"/>
    </w:pPr>
  </w:style>
  <w:style w:type="character" w:customStyle="1" w:styleId="FooterChar">
    <w:name w:val="Footer Char"/>
    <w:basedOn w:val="DefaultParagraphFont"/>
    <w:link w:val="Footer"/>
    <w:uiPriority w:val="99"/>
    <w:rsid w:val="00C13EBB"/>
    <w:rPr>
      <w:rFonts w:ascii="Times New Roman" w:hAnsi="Times New Roman"/>
      <w:sz w:val="24"/>
      <w:szCs w:val="24"/>
    </w:rPr>
  </w:style>
  <w:style w:type="paragraph" w:styleId="BalloonText">
    <w:name w:val="Balloon Text"/>
    <w:basedOn w:val="Normal"/>
    <w:link w:val="BalloonTextChar"/>
    <w:uiPriority w:val="99"/>
    <w:semiHidden/>
    <w:unhideWhenUsed/>
    <w:rsid w:val="00C13E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3EBB"/>
    <w:rPr>
      <w:rFonts w:ascii="Tahoma" w:hAnsi="Tahoma" w:cs="Tahoma"/>
      <w:sz w:val="16"/>
      <w:szCs w:val="16"/>
    </w:rPr>
  </w:style>
  <w:style w:type="paragraph" w:styleId="ListParagraph">
    <w:name w:val="List Paragraph"/>
    <w:basedOn w:val="Normal"/>
    <w:uiPriority w:val="34"/>
    <w:qFormat/>
    <w:rsid w:val="00C13EBB"/>
    <w:pPr>
      <w:ind w:left="720"/>
      <w:contextualSpacing/>
    </w:pPr>
  </w:style>
  <w:style w:type="character" w:styleId="Strong">
    <w:name w:val="Strong"/>
    <w:basedOn w:val="DefaultParagraphFont"/>
    <w:uiPriority w:val="22"/>
    <w:qFormat/>
    <w:rsid w:val="00C13EBB"/>
    <w:rPr>
      <w:b/>
      <w:bCs/>
    </w:rPr>
  </w:style>
  <w:style w:type="character" w:styleId="CommentReference">
    <w:name w:val="annotation reference"/>
    <w:basedOn w:val="DefaultParagraphFont"/>
    <w:uiPriority w:val="99"/>
    <w:semiHidden/>
    <w:unhideWhenUsed/>
    <w:rsid w:val="00C13EBB"/>
    <w:rPr>
      <w:sz w:val="18"/>
      <w:szCs w:val="18"/>
    </w:rPr>
  </w:style>
  <w:style w:type="paragraph" w:styleId="CommentText">
    <w:name w:val="annotation text"/>
    <w:basedOn w:val="Normal"/>
    <w:link w:val="CommentTextChar"/>
    <w:uiPriority w:val="99"/>
    <w:semiHidden/>
    <w:unhideWhenUsed/>
    <w:rsid w:val="00C13EBB"/>
    <w:pPr>
      <w:spacing w:line="240" w:lineRule="auto"/>
    </w:pPr>
  </w:style>
  <w:style w:type="character" w:customStyle="1" w:styleId="CommentTextChar">
    <w:name w:val="Comment Text Char"/>
    <w:basedOn w:val="DefaultParagraphFont"/>
    <w:link w:val="CommentText"/>
    <w:uiPriority w:val="99"/>
    <w:semiHidden/>
    <w:rsid w:val="00C13EBB"/>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C13EBB"/>
    <w:rPr>
      <w:b/>
      <w:bCs/>
      <w:sz w:val="20"/>
      <w:szCs w:val="20"/>
    </w:rPr>
  </w:style>
  <w:style w:type="character" w:customStyle="1" w:styleId="CommentSubjectChar">
    <w:name w:val="Comment Subject Char"/>
    <w:basedOn w:val="CommentTextChar"/>
    <w:link w:val="CommentSubject"/>
    <w:uiPriority w:val="99"/>
    <w:semiHidden/>
    <w:rsid w:val="00C13EBB"/>
    <w:rPr>
      <w:rFonts w:ascii="Times New Roman" w:hAnsi="Times New Roman"/>
      <w:b/>
      <w:bCs/>
      <w:sz w:val="20"/>
      <w:szCs w:val="20"/>
    </w:rPr>
  </w:style>
  <w:style w:type="table" w:styleId="LightShading">
    <w:name w:val="Light Shading"/>
    <w:basedOn w:val="TableNormal"/>
    <w:uiPriority w:val="60"/>
    <w:rsid w:val="00C13EBB"/>
    <w:pPr>
      <w:spacing w:after="0" w:line="240" w:lineRule="auto"/>
    </w:pPr>
    <w:rPr>
      <w:rFonts w:ascii="Times New Roman" w:hAnsi="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13EBB"/>
    <w:pPr>
      <w:spacing w:after="0" w:line="240" w:lineRule="auto"/>
    </w:pPr>
    <w:rPr>
      <w:rFonts w:ascii="Times New Roman" w:hAnsi="Times New Roman"/>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
    <w:name w:val="Medium List 2"/>
    <w:basedOn w:val="TableNormal"/>
    <w:uiPriority w:val="66"/>
    <w:rsid w:val="00C13EBB"/>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EndNoteBibliographyTitle">
    <w:name w:val="EndNote Bibliography Title"/>
    <w:basedOn w:val="Normal"/>
    <w:rsid w:val="00C13EBB"/>
    <w:pPr>
      <w:jc w:val="center"/>
    </w:pPr>
    <w:rPr>
      <w:rFonts w:cs="Times New Roman"/>
      <w:lang w:val="en-US"/>
    </w:rPr>
  </w:style>
  <w:style w:type="paragraph" w:customStyle="1" w:styleId="EndNoteBibliography">
    <w:name w:val="EndNote Bibliography"/>
    <w:basedOn w:val="Normal"/>
    <w:rsid w:val="00C13EBB"/>
    <w:pPr>
      <w:spacing w:line="480" w:lineRule="auto"/>
    </w:pPr>
    <w:rPr>
      <w:rFonts w:cs="Times New Roman"/>
      <w:lang w:val="en-US"/>
    </w:rPr>
  </w:style>
  <w:style w:type="character" w:styleId="PageNumber">
    <w:name w:val="page number"/>
    <w:basedOn w:val="DefaultParagraphFont"/>
    <w:uiPriority w:val="99"/>
    <w:semiHidden/>
    <w:unhideWhenUsed/>
    <w:rsid w:val="00C13EBB"/>
  </w:style>
  <w:style w:type="paragraph" w:styleId="NormalWeb">
    <w:name w:val="Normal (Web)"/>
    <w:basedOn w:val="Normal"/>
    <w:uiPriority w:val="99"/>
    <w:semiHidden/>
    <w:unhideWhenUsed/>
    <w:rsid w:val="00C13EBB"/>
    <w:pPr>
      <w:spacing w:before="100" w:beforeAutospacing="1" w:after="100" w:afterAutospacing="1" w:line="240" w:lineRule="auto"/>
    </w:pPr>
    <w:rPr>
      <w:rFonts w:ascii="Times" w:hAnsi="Times" w:cs="Times New Roman"/>
      <w:sz w:val="20"/>
      <w:szCs w:val="20"/>
    </w:rPr>
  </w:style>
  <w:style w:type="table" w:customStyle="1" w:styleId="TableGrid1">
    <w:name w:val="Table Grid1"/>
    <w:basedOn w:val="TableNormal"/>
    <w:next w:val="TableGrid"/>
    <w:uiPriority w:val="59"/>
    <w:rsid w:val="00C13EBB"/>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3EBB"/>
    <w:rPr>
      <w:color w:val="0000FF" w:themeColor="hyperlink"/>
      <w:u w:val="single"/>
    </w:rPr>
  </w:style>
  <w:style w:type="character" w:styleId="LineNumber">
    <w:name w:val="line number"/>
    <w:basedOn w:val="DefaultParagraphFont"/>
    <w:uiPriority w:val="99"/>
    <w:semiHidden/>
    <w:unhideWhenUsed/>
    <w:rsid w:val="00C13EBB"/>
  </w:style>
  <w:style w:type="paragraph" w:customStyle="1" w:styleId="Default">
    <w:name w:val="Default"/>
    <w:rsid w:val="00C13EBB"/>
    <w:pPr>
      <w:widowControl w:val="0"/>
      <w:autoSpaceDE w:val="0"/>
      <w:autoSpaceDN w:val="0"/>
      <w:adjustRightInd w:val="0"/>
      <w:spacing w:after="0" w:line="240" w:lineRule="auto"/>
    </w:pPr>
    <w:rPr>
      <w:rFonts w:ascii="Calibri" w:eastAsia="Times New Roman" w:hAnsi="Calibri" w:cs="Calibri"/>
      <w:color w:val="000000"/>
      <w:sz w:val="24"/>
      <w:szCs w:val="24"/>
      <w:lang w:eastAsia="en-CA"/>
    </w:rPr>
  </w:style>
  <w:style w:type="paragraph" w:customStyle="1" w:styleId="CM1">
    <w:name w:val="CM1"/>
    <w:basedOn w:val="Default"/>
    <w:next w:val="Default"/>
    <w:rsid w:val="00C13EBB"/>
    <w:rPr>
      <w:rFonts w:cs="Times New Roman"/>
      <w:color w:val="auto"/>
    </w:rPr>
  </w:style>
  <w:style w:type="paragraph" w:customStyle="1" w:styleId="CM2">
    <w:name w:val="CM2"/>
    <w:basedOn w:val="Default"/>
    <w:next w:val="Default"/>
    <w:rsid w:val="00C13EBB"/>
    <w:pPr>
      <w:spacing w:after="373"/>
    </w:pPr>
    <w:rPr>
      <w:rFonts w:cs="Times New Roman"/>
      <w:color w:val="auto"/>
    </w:rPr>
  </w:style>
  <w:style w:type="paragraph" w:styleId="DocumentMap">
    <w:name w:val="Document Map"/>
    <w:basedOn w:val="Normal"/>
    <w:link w:val="DocumentMapChar"/>
    <w:uiPriority w:val="99"/>
    <w:semiHidden/>
    <w:unhideWhenUsed/>
    <w:rsid w:val="00C13EBB"/>
    <w:pPr>
      <w:spacing w:line="240" w:lineRule="auto"/>
    </w:pPr>
    <w:rPr>
      <w:rFonts w:cs="Times New Roman"/>
    </w:rPr>
  </w:style>
  <w:style w:type="character" w:customStyle="1" w:styleId="DocumentMapChar">
    <w:name w:val="Document Map Char"/>
    <w:basedOn w:val="DefaultParagraphFont"/>
    <w:link w:val="DocumentMap"/>
    <w:uiPriority w:val="99"/>
    <w:semiHidden/>
    <w:rsid w:val="00C13EBB"/>
    <w:rPr>
      <w:rFonts w:ascii="Times New Roman" w:hAnsi="Times New Roman" w:cs="Times New Roman"/>
      <w:sz w:val="24"/>
      <w:szCs w:val="24"/>
    </w:rPr>
  </w:style>
  <w:style w:type="paragraph" w:styleId="Revision">
    <w:name w:val="Revision"/>
    <w:hidden/>
    <w:uiPriority w:val="99"/>
    <w:semiHidden/>
    <w:rsid w:val="00C13EBB"/>
    <w:pPr>
      <w:spacing w:after="0" w:line="240" w:lineRule="auto"/>
    </w:pPr>
    <w:rPr>
      <w:rFonts w:ascii="Times New Roman" w:hAnsi="Times New Roman"/>
      <w:sz w:val="24"/>
      <w:szCs w:val="24"/>
    </w:rPr>
  </w:style>
  <w:style w:type="paragraph" w:customStyle="1" w:styleId="p1">
    <w:name w:val="p1"/>
    <w:basedOn w:val="Normal"/>
    <w:rsid w:val="00C13EBB"/>
    <w:pPr>
      <w:spacing w:line="240" w:lineRule="auto"/>
    </w:pPr>
    <w:rPr>
      <w:rFonts w:ascii="Helvetica" w:hAnsi="Helvetica"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70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11508</Words>
  <Characters>65598</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Elaine Kearney</dc:creator>
  <cp:lastModifiedBy>Elaine Kearney</cp:lastModifiedBy>
  <cp:revision>8</cp:revision>
  <cp:lastPrinted>2018-07-28T03:49:00Z</cp:lastPrinted>
  <dcterms:created xsi:type="dcterms:W3CDTF">2018-07-28T03:49:00Z</dcterms:created>
  <dcterms:modified xsi:type="dcterms:W3CDTF">2020-08-09T14:34:00Z</dcterms:modified>
</cp:coreProperties>
</file>