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9D5B"/>
          <w:sz w:val="48"/>
        </w:rPr>
        <w:t>PRO7 — Omnisend paskyros auditas</w:t>
      </w:r>
    </w:p>
    <w:p>
      <w:pPr>
        <w:jc w:val="center"/>
      </w:pPr>
      <w:r>
        <w:rPr>
          <w:i/>
          <w:color w:val="666666"/>
          <w:sz w:val="22"/>
        </w:rPr>
        <w:t>pro7.lt · valymo priemonės · LT · Data: 2026-08-31 · Parengė: eLaiškai</w:t>
      </w:r>
    </w:p>
    <w:p/>
    <w:p>
      <w:pPr>
        <w:spacing w:before="200" w:after="80"/>
      </w:pPr>
      <w:r>
        <w:rPr>
          <w:b/>
          <w:color w:val="2E9D5B"/>
          <w:sz w:val="32"/>
        </w:rPr>
        <w:t>Santrauka (TL;DR)</w:t>
      </w:r>
    </w:p>
    <w:p>
      <w:r>
        <w:rPr>
          <w:b w:val="0"/>
          <w:color w:val="222222"/>
        </w:rPr>
        <w:t>PRO7 turi brandų el. pašto istoriją (nuo 2019, 421 kampanija) ir gana pilną automatikų rinkinį, bet paskyra netvarkinga ir be analitikos matomumo. Pagrindinės problemos: buvusios agentūros palikta netvarka automatikose (dubliai, miskonfigūracijos), 40% kontaktų be marketing sutikimo, nekonsistentiškas siuntėjo vardas ir kelios „broken" siuntos. Potencialas didelis — reikia išvalymo, re-permission strategijos ir engagement segmentavimo.</w:t>
      </w:r>
    </w:p>
    <w:p>
      <w:r>
        <w:rPr>
          <w:b/>
          <w:color w:val="C0392B"/>
        </w:rPr>
        <w:t>SVARBU: Omnisend viešas API neatiduoda open/click/revenue rodiklių per kampaniją (Reports = tik UI). Realiems atidarymų rodikliams reikia UI eksporto. Šis auditas remiasi struktūriniais duomenimis (kadencija, subject'ai, automatikų būsenos, segmentai, kontaktų statusai).</w:t>
      </w:r>
    </w:p>
    <w:p>
      <w:pPr>
        <w:spacing w:before="200" w:after="80"/>
      </w:pPr>
      <w:r>
        <w:rPr>
          <w:b/>
          <w:color w:val="2E9D5B"/>
          <w:sz w:val="32"/>
        </w:rPr>
        <w:t>1. Paskyros apžvalga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Brand ID</w:t>
            </w:r>
          </w:p>
        </w:tc>
        <w:tc>
          <w:tcPr>
            <w:tcW w:type="dxa" w:w="4320"/>
          </w:tcPr>
          <w:p>
            <w:r>
              <w:t>5da6f28c8653ed5178228023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Svetainė</w:t>
            </w:r>
          </w:p>
        </w:tc>
        <w:tc>
          <w:tcPr>
            <w:tcW w:type="dxa" w:w="4320"/>
          </w:tcPr>
          <w:p>
            <w:r>
              <w:t>https://www.pro7.lt/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Nišà</w:t>
            </w:r>
          </w:p>
        </w:tc>
        <w:tc>
          <w:tcPr>
            <w:tcW w:type="dxa" w:w="4320"/>
          </w:tcPr>
          <w:p>
            <w:r>
              <w:t>Profesionalios valymo/švaros priemonės namams ir verslui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Kalba</w:t>
            </w:r>
          </w:p>
        </w:tc>
        <w:tc>
          <w:tcPr>
            <w:tcW w:type="dxa" w:w="4320"/>
          </w:tcPr>
          <w:p>
            <w:r>
              <w:t>LT (lt_LT)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Siuntėjas</w:t>
            </w:r>
          </w:p>
        </w:tc>
        <w:tc>
          <w:tcPr>
            <w:tcW w:type="dxa" w:w="4320"/>
          </w:tcPr>
          <w:p>
            <w:r>
              <w:t>info@pro7.lt (vardas nekonsistentiškas — žr. 2 sk.)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El. pašto istorija</w:t>
            </w:r>
          </w:p>
        </w:tc>
        <w:tc>
          <w:tcPr>
            <w:tcW w:type="dxa" w:w="4320"/>
          </w:tcPr>
          <w:p>
            <w:r>
              <w:t>nuo 2019-11</w:t>
            </w:r>
          </w:p>
        </w:tc>
      </w:tr>
    </w:tbl>
    <w:p>
      <w:pPr>
        <w:spacing w:before="200" w:after="80"/>
      </w:pPr>
      <w:r>
        <w:rPr>
          <w:b/>
          <w:color w:val="2E9D5B"/>
          <w:sz w:val="32"/>
        </w:rPr>
        <w:t>2. Kampanijos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Viso kampanijų</w:t>
            </w:r>
          </w:p>
        </w:tc>
        <w:tc>
          <w:tcPr>
            <w:tcW w:type="dxa" w:w="4320"/>
          </w:tcPr>
          <w:p>
            <w:r>
              <w:t>421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Išsiųsta (sent)</w:t>
            </w:r>
          </w:p>
        </w:tc>
        <w:tc>
          <w:tcPr>
            <w:tcW w:type="dxa" w:w="4320"/>
          </w:tcPr>
          <w:p>
            <w:r>
              <w:t>387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Juodraščiai (draft)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Kadencija dabar</w:t>
            </w:r>
          </w:p>
        </w:tc>
        <w:tc>
          <w:tcPr>
            <w:tcW w:type="dxa" w:w="4320"/>
          </w:tcPr>
          <w:p>
            <w:r>
              <w:t>~4–6 / mėn (maždaug savaitinė)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Kadencija 2022–2023</w:t>
            </w:r>
          </w:p>
        </w:tc>
        <w:tc>
          <w:tcPr>
            <w:tcW w:type="dxa" w:w="4320"/>
          </w:tcPr>
          <w:p>
            <w:r>
              <w:t>8–12 / mėn (dabar sumažėjusi)</w:t>
            </w:r>
          </w:p>
        </w:tc>
      </w:tr>
    </w:tbl>
    <w:p>
      <w:r>
        <w:rPr>
          <w:b/>
          <w:color w:val="222222"/>
        </w:rPr>
        <w:t>Kadencija metams (išsiųstos kampanijos):</w:t>
      </w:r>
    </w:p>
    <w:p>
      <w:pPr>
        <w:pStyle w:val="ListBullet"/>
      </w:pPr>
      <w:r>
        <w:rPr>
          <w:color w:val="222222"/>
        </w:rPr>
        <w:t>2022: ~78 · 2023: ~110 (pikas) · 2024: ~72 · 2025: ~58 · 2026 (iki rugpj.): ~37</w:t>
      </w:r>
    </w:p>
    <w:p>
      <w:r>
        <w:rPr>
          <w:b/>
          <w:color w:val="C0392B"/>
        </w:rPr>
        <w:t>Nustatytos problemos:</w:t>
      </w:r>
    </w:p>
    <w:p>
      <w:pPr>
        <w:pStyle w:val="ListBullet"/>
      </w:pPr>
      <w:r>
        <w:rPr>
          <w:color w:val="222222"/>
        </w:rPr>
        <w:t>Tušti subject'ai kelete siuntų: 2026-06-16, 2025-11-27, 2025-02-04, 2023-10-27 („D").</w:t>
      </w:r>
    </w:p>
    <w:p>
      <w:pPr>
        <w:pStyle w:val="ListBullet"/>
      </w:pPr>
      <w:r>
        <w:rPr>
          <w:color w:val="222222"/>
        </w:rPr>
        <w:t>Raw merge tag subject'e: 2025-11-21 rodė „[[contact.email]]" — sugedusi personalizacija.</w:t>
      </w:r>
    </w:p>
    <w:p>
      <w:pPr>
        <w:pStyle w:val="ListBullet"/>
      </w:pPr>
      <w:r>
        <w:rPr>
          <w:color w:val="222222"/>
        </w:rPr>
        <w:t>2026-07-07 išsiųstas atsiprašymo laiškas („Atsiprašome dėl klaidos") — reiškia prieš tai buvo klaidinga siunta.</w:t>
      </w:r>
    </w:p>
    <w:p>
      <w:pPr>
        <w:pStyle w:val="ListBullet"/>
      </w:pPr>
      <w:r>
        <w:rPr>
          <w:color w:val="222222"/>
        </w:rPr>
        <w:t>Siuntėjo vardas nekonsistentiškas: „PRO7", „PRO7.LT", „Deividas iš PRO7".</w:t>
      </w:r>
    </w:p>
    <w:p>
      <w:pPr>
        <w:pStyle w:val="ListBullet"/>
      </w:pPr>
      <w:r>
        <w:rPr>
          <w:color w:val="222222"/>
        </w:rPr>
        <w:t>Dažni rankiniai to-non-openers pakartojimai kitą dieną — geriau daryti per booster segmentą.</w:t>
      </w:r>
    </w:p>
    <w:p>
      <w:r>
        <w:rPr>
          <w:b/>
          <w:color w:val="2E9D5B"/>
        </w:rPr>
        <w:t>Kas gerai:</w:t>
      </w:r>
    </w:p>
    <w:p>
      <w:pPr>
        <w:pStyle w:val="ListBullet"/>
      </w:pPr>
      <w:r>
        <w:rPr>
          <w:color w:val="222222"/>
        </w:rPr>
        <w:t>Subject'ai naudos ir klausimų principu, gyvi, sezoniniai — apskritai stiprūs.</w:t>
      </w:r>
    </w:p>
    <w:p>
      <w:pPr>
        <w:pStyle w:val="ListBullet"/>
      </w:pPr>
      <w:r>
        <w:rPr>
          <w:color w:val="222222"/>
        </w:rPr>
        <w:t>Reguliarus sezoninis ritmas (Žolinės, Tėvo diena, gimtadienis, Black Friday, Velykos).</w:t>
      </w:r>
    </w:p>
    <w:p>
      <w:pPr>
        <w:pStyle w:val="ListBullet"/>
      </w:pPr>
      <w:r>
        <w:rPr>
          <w:color w:val="222222"/>
        </w:rPr>
        <w:t>Edukacinių ir akcinių laiškų mišinys — sveika struktūra.</w:t>
      </w:r>
    </w:p>
    <w:p>
      <w:pPr>
        <w:spacing w:before="200" w:after="80"/>
      </w:pPr>
      <w:r>
        <w:rPr>
          <w:b/>
          <w:color w:val="2E9D5B"/>
          <w:sz w:val="32"/>
        </w:rPr>
        <w:t>3. Kontaktų bazė (list health)</w:t>
      </w:r>
    </w:p>
    <w:p>
      <w:r>
        <w:rPr>
          <w:b w:val="0"/>
          <w:color w:val="222222"/>
        </w:rPr>
        <w:t>Imtis: 2000 naujausių kontaktų (el. pašto statusas):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Kiekis (imtis)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Dalis</w:t>
            </w:r>
          </w:p>
        </w:tc>
      </w:tr>
      <w:tr>
        <w:tc>
          <w:tcPr>
            <w:tcW w:type="dxa" w:w="2880"/>
          </w:tcPr>
          <w:p>
            <w:r>
              <w:t>subscribed</w:t>
            </w:r>
          </w:p>
        </w:tc>
        <w:tc>
          <w:tcPr>
            <w:tcW w:type="dxa" w:w="2880"/>
          </w:tcPr>
          <w:p>
            <w:r>
              <w:t>1056</w:t>
            </w:r>
          </w:p>
        </w:tc>
        <w:tc>
          <w:tcPr>
            <w:tcW w:type="dxa" w:w="2880"/>
          </w:tcPr>
          <w:p>
            <w:r>
              <w:t>53%</w:t>
            </w:r>
          </w:p>
        </w:tc>
      </w:tr>
      <w:tr>
        <w:tc>
          <w:tcPr>
            <w:tcW w:type="dxa" w:w="2880"/>
          </w:tcPr>
          <w:p>
            <w:r>
              <w:t>nonSubscribed</w:t>
            </w:r>
          </w:p>
        </w:tc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unsubscribed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</w:tbl>
    <w:p>
      <w:r>
        <w:rPr>
          <w:b w:val="0"/>
          <w:color w:val="222222"/>
        </w:rPr>
      </w:r>
    </w:p>
    <w:p>
      <w:r>
        <w:rPr>
          <w:b/>
          <w:color w:val="C0392B"/>
        </w:rPr>
        <w:t>🚩 40% nonSubscribed — kritinis. Tai kontaktai, surinkti be marketing sutikimo: jiems nesiunčiama, todėl prarandama vertė, o bandymas siųsti keltų deliverability riziką. Reikia re-permission (double opt-in) strategijos arba švaraus atskyrimo.</w:t>
      </w:r>
    </w:p>
    <w:p>
      <w:pPr>
        <w:spacing w:before="200" w:after="80"/>
      </w:pPr>
      <w:r>
        <w:rPr>
          <w:b/>
          <w:color w:val="2E9D5B"/>
          <w:sz w:val="32"/>
        </w:rPr>
        <w:t>4. Automatikos (flows)</w:t>
      </w:r>
    </w:p>
    <w:p>
      <w:r>
        <w:rPr>
          <w:b w:val="0"/>
          <w:color w:val="222222"/>
        </w:rPr>
        <w:t>Iš viso 16 automatikų: 10 įjungtos (ON), 6 išjungtos (OFF). Visos pavadintos „(Maily)" — paveldėtos iš buvusios agentūros/įrankio ir niekada neišvalytos.</w:t>
      </w:r>
    </w:p>
    <w:p>
      <w:r>
        <w:rPr>
          <w:b/>
          <w:color w:val="2E9D5B"/>
        </w:rPr>
        <w:t>Įjungtos (ON):</w:t>
      </w:r>
    </w:p>
    <w:p>
      <w:pPr>
        <w:pStyle w:val="ListBullet"/>
      </w:pPr>
      <w:r>
        <w:rPr>
          <w:color w:val="222222"/>
        </w:rPr>
        <w:t>Welcome (pagrindinis)</w:t>
      </w:r>
    </w:p>
    <w:p>
      <w:pPr>
        <w:pStyle w:val="ListBullet"/>
      </w:pPr>
      <w:r>
        <w:rPr>
          <w:color w:val="222222"/>
        </w:rPr>
        <w:t>Abandoned Cart</w:t>
      </w:r>
    </w:p>
    <w:p>
      <w:pPr>
        <w:pStyle w:val="ListBullet"/>
      </w:pPr>
      <w:r>
        <w:rPr>
          <w:color w:val="222222"/>
        </w:rPr>
        <w:t>Abandoned checkout</w:t>
      </w:r>
    </w:p>
    <w:p>
      <w:pPr>
        <w:pStyle w:val="ListBullet"/>
      </w:pPr>
      <w:r>
        <w:rPr>
          <w:color w:val="222222"/>
        </w:rPr>
        <w:t>Browse Abandonment</w:t>
      </w:r>
    </w:p>
    <w:p>
      <w:pPr>
        <w:pStyle w:val="ListBullet"/>
      </w:pPr>
      <w:r>
        <w:rPr>
          <w:color w:val="222222"/>
        </w:rPr>
        <w:t>After 1st purchase</w:t>
      </w:r>
    </w:p>
    <w:p>
      <w:pPr>
        <w:pStyle w:val="ListBullet"/>
      </w:pPr>
      <w:r>
        <w:rPr>
          <w:color w:val="222222"/>
        </w:rPr>
        <w:t>After 2nd purchase</w:t>
      </w:r>
    </w:p>
    <w:p>
      <w:pPr>
        <w:pStyle w:val="ListBullet"/>
      </w:pPr>
      <w:r>
        <w:rPr>
          <w:color w:val="222222"/>
        </w:rPr>
        <w:t>No Purchase 30 dienų</w:t>
      </w:r>
    </w:p>
    <w:p>
      <w:pPr>
        <w:pStyle w:val="ListBullet"/>
      </w:pPr>
      <w:r>
        <w:rPr>
          <w:color w:val="222222"/>
        </w:rPr>
        <w:t>No Purchase 60 dienų</w:t>
      </w:r>
    </w:p>
    <w:p>
      <w:pPr>
        <w:pStyle w:val="ListBullet"/>
      </w:pPr>
      <w:r>
        <w:rPr>
          <w:color w:val="222222"/>
        </w:rPr>
        <w:t>Anniversary</w:t>
      </w:r>
    </w:p>
    <w:p>
      <w:pPr>
        <w:pStyle w:val="ListBullet"/>
      </w:pPr>
      <w:r>
        <w:rPr>
          <w:color w:val="222222"/>
        </w:rPr>
        <w:t>Top Produktų Apklausa</w:t>
      </w:r>
    </w:p>
    <w:p>
      <w:r>
        <w:rPr>
          <w:b/>
          <w:color w:val="222222"/>
        </w:rPr>
        <w:t>Išjungtos (OFF):</w:t>
      </w:r>
    </w:p>
    <w:p>
      <w:pPr>
        <w:pStyle w:val="ListBullet"/>
      </w:pPr>
      <w:r>
        <w:rPr>
          <w:color w:val="222222"/>
        </w:rPr>
        <w:t>Welcome: Black Friday</w:t>
      </w:r>
    </w:p>
    <w:p>
      <w:pPr>
        <w:pStyle w:val="ListBullet"/>
      </w:pPr>
      <w:r>
        <w:rPr>
          <w:color w:val="222222"/>
        </w:rPr>
        <w:t>Welcome [BIG atidarymas]</w:t>
      </w:r>
    </w:p>
    <w:p>
      <w:pPr>
        <w:pStyle w:val="ListBullet"/>
      </w:pPr>
      <w:r>
        <w:rPr>
          <w:color w:val="222222"/>
        </w:rPr>
        <w:t>Abandoned Checkout (DUBLIS)</w:t>
      </w:r>
    </w:p>
    <w:p>
      <w:pPr>
        <w:pStyle w:val="ListBullet"/>
      </w:pPr>
      <w:r>
        <w:rPr>
          <w:color w:val="222222"/>
        </w:rPr>
        <w:t>Black Friday 1: warm-up</w:t>
      </w:r>
    </w:p>
    <w:p>
      <w:pPr>
        <w:pStyle w:val="ListBullet"/>
      </w:pPr>
      <w:r>
        <w:rPr>
          <w:color w:val="222222"/>
        </w:rPr>
        <w:t>Product Abandonment</w:t>
      </w:r>
    </w:p>
    <w:p>
      <w:r>
        <w:rPr>
          <w:b/>
          <w:color w:val="C0392B"/>
        </w:rPr>
        <w:t>Problemos:</w:t>
      </w:r>
    </w:p>
    <w:p>
      <w:pPr>
        <w:pStyle w:val="ListBullet"/>
      </w:pPr>
      <w:r>
        <w:rPr>
          <w:color w:val="222222"/>
        </w:rPr>
        <w:t>3 skirtingos welcome flow versijos (1 ON, 2 OFF) — reikia sujungti į vieną.</w:t>
      </w:r>
    </w:p>
    <w:p>
      <w:pPr>
        <w:pStyle w:val="ListBullet"/>
      </w:pPr>
      <w:r>
        <w:rPr>
          <w:color w:val="222222"/>
        </w:rPr>
        <w:t>Abandoned Checkout dubliuotas (vienas ON, vienas OFF).</w:t>
      </w:r>
    </w:p>
    <w:p>
      <w:pPr>
        <w:pStyle w:val="ListBullet"/>
      </w:pPr>
      <w:r>
        <w:rPr>
          <w:color w:val="222222"/>
        </w:rPr>
        <w:t>„Product Abandonment" miskonfigūruotas — trigeris „placed order" (tai post-purchase logika, ne abandonment).</w:t>
      </w:r>
    </w:p>
    <w:p>
      <w:pPr>
        <w:pStyle w:val="ListBullet"/>
      </w:pPr>
      <w:r>
        <w:rPr>
          <w:color w:val="222222"/>
        </w:rPr>
        <w:t>Nėra dedikuoto atsiliepimų/įvertinimo (review) flow — yra tik viena apklausa.</w:t>
      </w:r>
    </w:p>
    <w:p>
      <w:pPr>
        <w:pStyle w:val="ListBullet"/>
      </w:pPr>
      <w:r>
        <w:rPr>
          <w:color w:val="222222"/>
        </w:rPr>
        <w:t>Visi pavadinimai „(Maily)" — netvarka, sunku administruoti.</w:t>
      </w:r>
    </w:p>
    <w:p>
      <w:r>
        <w:rPr>
          <w:b/>
          <w:color w:val="2E9D5B"/>
        </w:rPr>
        <w:t>Kas gerai:</w:t>
      </w:r>
    </w:p>
    <w:p>
      <w:pPr>
        <w:pStyle w:val="ListBullet"/>
      </w:pPr>
      <w:r>
        <w:rPr>
          <w:color w:val="222222"/>
        </w:rPr>
        <w:t>Coverage brandus: welcome, cart, checkout, browse, post-purchase (1st/2nd), winback (30/60 d.), anniversary — beveik visas gyvavimo ciklas padengtas.</w:t>
      </w:r>
    </w:p>
    <w:p>
      <w:pPr>
        <w:spacing w:before="200" w:after="80"/>
      </w:pPr>
      <w:r>
        <w:rPr>
          <w:b/>
          <w:color w:val="2E9D5B"/>
          <w:sz w:val="32"/>
        </w:rPr>
        <w:t>5. Segmentai</w:t>
      </w:r>
    </w:p>
    <w:p>
      <w:r>
        <w:rPr>
          <w:b w:val="0"/>
          <w:color w:val="222222"/>
        </w:rPr>
        <w:t>Iš viso 11 segmentų — daugiausia automatikų aptarnavimui (No Purchase 30/60, Purchase=1/2, Anniversary, apklausa). Tik vienas „Active email subscribers".</w:t>
      </w:r>
    </w:p>
    <w:p>
      <w:r>
        <w:rPr>
          <w:b/>
          <w:color w:val="C0392B"/>
        </w:rPr>
        <w:t>Trūksta:</w:t>
      </w:r>
    </w:p>
    <w:p>
      <w:pPr>
        <w:pStyle w:val="ListBullet"/>
      </w:pPr>
      <w:r>
        <w:rPr>
          <w:color w:val="222222"/>
        </w:rPr>
        <w:t>Engagement segmentų (atidarę per 30/60/90 d.) — būtini deliverability ir taikymui.</w:t>
      </w:r>
    </w:p>
    <w:p>
      <w:pPr>
        <w:pStyle w:val="ListBullet"/>
      </w:pPr>
      <w:r>
        <w:rPr>
          <w:color w:val="222222"/>
        </w:rPr>
        <w:t>VIP / didelės vertės pirkėjų segmento.</w:t>
      </w:r>
    </w:p>
    <w:p>
      <w:pPr>
        <w:pStyle w:val="ListBullet"/>
      </w:pPr>
      <w:r>
        <w:rPr>
          <w:color w:val="222222"/>
        </w:rPr>
        <w:t>nonSubscribed re-permission segmento.</w:t>
      </w:r>
    </w:p>
    <w:p>
      <w:pPr>
        <w:pStyle w:val="ListBullet"/>
      </w:pPr>
      <w:r>
        <w:rPr>
          <w:color w:val="222222"/>
        </w:rPr>
        <w:t>Sunset policy neaktyviems (neatidarę 90–180 d.) — apsaugo reputaciją.</w:t>
      </w:r>
    </w:p>
    <w:p>
      <w:pPr>
        <w:spacing w:before="200" w:after="80"/>
      </w:pPr>
      <w:r>
        <w:rPr>
          <w:b/>
          <w:color w:val="2E9D5B"/>
          <w:sz w:val="32"/>
        </w:rPr>
        <w:t>6. Rekomendacijos (prioriteto tvarka)</w:t>
      </w:r>
    </w:p>
    <w:p>
      <w:r>
        <w:rPr>
          <w:b/>
          <w:color w:val="2E9D5B"/>
        </w:rPr>
        <w:t>1. Gauti realų performance baseline</w:t>
      </w:r>
    </w:p>
    <w:p>
      <w:r>
        <w:rPr>
          <w:b w:val="0"/>
          <w:color w:val="222222"/>
        </w:rPr>
        <w:t>Iš Omnisend UI eksportuoti open/CTR/revenue (API neduoda). Be to nematome, kas realiai veikia.</w:t>
      </w:r>
    </w:p>
    <w:p>
      <w:r>
        <w:rPr>
          <w:b/>
          <w:color w:val="2E9D5B"/>
        </w:rPr>
        <w:t>2. Išvalyti automatikas</w:t>
      </w:r>
    </w:p>
    <w:p>
      <w:r>
        <w:rPr>
          <w:b w:val="0"/>
          <w:color w:val="222222"/>
        </w:rPr>
        <w:t>Pašalinti/sujungti welcome dublius, ištrinti Abandoned Checkout dublį, pataisyti Product Abandonment trigerį, pervadinti be „(Maily)".</w:t>
      </w:r>
    </w:p>
    <w:p>
      <w:r>
        <w:rPr>
          <w:b/>
          <w:color w:val="2E9D5B"/>
        </w:rPr>
        <w:t>3. Standartizuoti siuntėją</w:t>
      </w:r>
    </w:p>
    <w:p>
      <w:r>
        <w:rPr>
          <w:b w:val="0"/>
          <w:color w:val="222222"/>
        </w:rPr>
        <w:t>Vienas nuoseklus vardas (pvz. „PRO7") + info@pro7.lt visur.</w:t>
      </w:r>
    </w:p>
    <w:p>
      <w:r>
        <w:rPr>
          <w:b/>
          <w:color w:val="2E9D5B"/>
        </w:rPr>
        <w:t>4. Re-permission 40% nonSubscribed</w:t>
      </w:r>
    </w:p>
    <w:p>
      <w:r>
        <w:rPr>
          <w:b w:val="0"/>
          <w:color w:val="222222"/>
        </w:rPr>
        <w:t>Double opt-in kampanija arba švarus atskyrimas — atgauti dalį bazės saugiai.</w:t>
      </w:r>
    </w:p>
    <w:p>
      <w:r>
        <w:rPr>
          <w:b/>
          <w:color w:val="2E9D5B"/>
        </w:rPr>
        <w:t>5. Engagement segmentai + sunset policy</w:t>
      </w:r>
    </w:p>
    <w:p>
      <w:r>
        <w:rPr>
          <w:b w:val="0"/>
          <w:color w:val="222222"/>
        </w:rPr>
        <w:t>Sukurti openers 30/60/90 d., VIP, neaktyvių segmentus; nustoti siųsti seniai neatidarantiems.</w:t>
      </w:r>
    </w:p>
    <w:p>
      <w:r>
        <w:rPr>
          <w:b/>
          <w:color w:val="2E9D5B"/>
        </w:rPr>
        <w:t>6. QA prieš siuntimą</w:t>
      </w:r>
    </w:p>
    <w:p>
      <w:r>
        <w:rPr>
          <w:b w:val="0"/>
          <w:color w:val="222222"/>
        </w:rPr>
        <w:t>Checklist: subject netuščias, merge tag'ai atsivaizduoja, nuoroda/kodas veikia — kad nesikartotų „broken" siuntos.</w:t>
      </w:r>
    </w:p>
    <w:p>
      <w:r>
        <w:rPr>
          <w:b/>
          <w:color w:val="2E9D5B"/>
        </w:rPr>
        <w:t>7. Dedikuotas review/atsiliepimų flow</w:t>
      </w:r>
    </w:p>
    <w:p>
      <w:r>
        <w:rPr>
          <w:b w:val="0"/>
          <w:color w:val="222222"/>
        </w:rPr>
        <w:t>Po pristatymo prašyti įvertinimo — social proof + retention.</w:t>
      </w:r>
    </w:p>
    <w:p/>
    <w:p>
      <w:r>
        <w:rPr>
          <w:i/>
          <w:color w:val="888888"/>
          <w:sz w:val="18"/>
        </w:rPr>
        <w:t>Pastaba: šis auditas paremtas Omnisend API struktūriniais duomenimis (2026-08-31). Atidarymų/paspaudimų rodikliai bus pridėti gavus UI eksportą.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