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D021F">
      <w:pPr>
        <w:spacing w:after="200"/>
        <w:rPr>
          <w:rFonts w:hint="default" w:ascii="Times New Roman" w:hAnsi="Times New Roman" w:cs="Times New Roman"/>
        </w:rPr>
      </w:pPr>
    </w:p>
    <w:p w14:paraId="3943D74E">
      <w:pPr>
        <w:spacing w:after="100"/>
        <w:jc w:val="center"/>
        <w:rPr>
          <w:rFonts w:hint="default" w:ascii="Times New Roman" w:hAnsi="Times New Roman" w:cs="Times New Roman"/>
        </w:rPr>
      </w:pPr>
      <w:r>
        <w:rPr>
          <w:rFonts w:hint="default" w:ascii="Times New Roman" w:hAnsi="Times New Roman" w:cs="Times New Roman"/>
          <w:b/>
          <w:bCs/>
          <w:color w:val="1F3864"/>
          <w:sz w:val="28"/>
          <w:szCs w:val="28"/>
        </w:rPr>
        <w:t>DATA STRUCTURES AND ALGORITHMS</w:t>
      </w:r>
    </w:p>
    <w:p w14:paraId="74DD81D1">
      <w:pPr>
        <w:spacing w:after="400"/>
        <w:jc w:val="center"/>
        <w:rPr>
          <w:rFonts w:hint="default" w:ascii="Times New Roman" w:hAnsi="Times New Roman" w:cs="Times New Roman"/>
          <w:lang w:val="en-IN"/>
        </w:rPr>
      </w:pPr>
      <w:r>
        <w:rPr>
          <w:rFonts w:hint="default" w:ascii="Times New Roman" w:hAnsi="Times New Roman" w:cs="Times New Roman"/>
          <w:b/>
          <w:bCs/>
          <w:color w:val="1F3864"/>
          <w:sz w:val="40"/>
          <w:szCs w:val="40"/>
        </w:rPr>
        <w:t>Ass</w:t>
      </w:r>
      <w:r>
        <w:rPr>
          <w:rFonts w:hint="default" w:ascii="Times New Roman" w:hAnsi="Times New Roman" w:cs="Times New Roman"/>
          <w:b/>
          <w:bCs/>
          <w:color w:val="1F3864"/>
          <w:sz w:val="40"/>
          <w:szCs w:val="40"/>
          <w:lang w:val="en-IN"/>
        </w:rPr>
        <w:t>essment CO4-AT1</w:t>
      </w:r>
    </w:p>
    <w:p w14:paraId="186A839C">
      <w:pPr>
        <w:pBdr>
          <w:bottom w:val="single" w:color="2E74B5" w:sz="12" w:space="8"/>
        </w:pBdr>
        <w:spacing w:after="60"/>
        <w:jc w:val="center"/>
        <w:rPr>
          <w:rFonts w:hint="default" w:ascii="Times New Roman" w:hAnsi="Times New Roman" w:cs="Times New Roman"/>
        </w:rPr>
      </w:pPr>
      <w:r>
        <w:rPr>
          <w:rFonts w:hint="default" w:ascii="Times New Roman" w:hAnsi="Times New Roman" w:cs="Times New Roman"/>
          <w:sz w:val="4"/>
          <w:szCs w:val="4"/>
        </w:rPr>
        <w:t xml:space="preserve"> </w:t>
      </w:r>
    </w:p>
    <w:p w14:paraId="5B5D9883">
      <w:pPr>
        <w:spacing w:after="500"/>
        <w:ind w:left="900" w:right="900"/>
        <w:jc w:val="left"/>
        <w:rPr>
          <w:rFonts w:hint="default" w:ascii="Times New Roman" w:hAnsi="Times New Roman" w:cs="Times New Roman"/>
        </w:rPr>
      </w:pPr>
      <w:r>
        <w:rPr>
          <w:rFonts w:hint="default" w:ascii="Times New Roman" w:hAnsi="Times New Roman" w:cs="Times New Roman"/>
          <w:i/>
          <w:iCs/>
          <w:sz w:val="22"/>
          <w:szCs w:val="22"/>
          <w:lang w:val="en-IN"/>
        </w:rPr>
        <w:t>9.</w:t>
      </w:r>
      <w:r>
        <w:rPr>
          <w:rFonts w:hint="default" w:ascii="Times New Roman" w:hAnsi="Times New Roman" w:cs="Times New Roman"/>
          <w:i/>
          <w:iCs/>
          <w:sz w:val="22"/>
          <w:szCs w:val="22"/>
        </w:rPr>
        <w:t>Compare quick sort and merge sort for sorting a large linked list of 10 million nodes. Analyze memory requirements (in-place vs. extra space), cache behavior, and time complexity. Which algorithm is preferable for linked lists and why? How does the answer change for arrays?</w:t>
      </w:r>
    </w:p>
    <w:p w14:paraId="60576B85">
      <w:pPr>
        <w:spacing w:before="800" w:after="0"/>
        <w:rPr>
          <w:rFonts w:hint="default" w:ascii="Times New Roman" w:hAnsi="Times New Roman" w:cs="Times New Roman"/>
        </w:rPr>
      </w:pPr>
      <w:bookmarkStart w:id="0" w:name="_GoBack"/>
      <w:bookmarkEnd w:id="0"/>
    </w:p>
    <w:p w14:paraId="601F3B73">
      <w:pPr>
        <w:spacing w:after="120"/>
        <w:jc w:val="center"/>
        <w:rPr>
          <w:rFonts w:hint="default" w:ascii="Times New Roman" w:hAnsi="Times New Roman" w:cs="Times New Roman"/>
        </w:rPr>
      </w:pPr>
      <w:r>
        <w:rPr>
          <w:rFonts w:hint="default" w:ascii="Times New Roman" w:hAnsi="Times New Roman" w:cs="Times New Roman"/>
          <w:b/>
          <w:bCs/>
          <w:sz w:val="24"/>
          <w:szCs w:val="24"/>
        </w:rPr>
        <w:t xml:space="preserve">Name: </w:t>
      </w:r>
      <w:r>
        <w:rPr>
          <w:rFonts w:hint="default" w:ascii="Times New Roman" w:hAnsi="Times New Roman" w:cs="Times New Roman"/>
          <w:sz w:val="24"/>
          <w:szCs w:val="24"/>
        </w:rPr>
        <w:t>Elakati Renu Sree</w:t>
      </w:r>
    </w:p>
    <w:p w14:paraId="2DAE70D7">
      <w:pPr>
        <w:spacing w:after="120"/>
        <w:jc w:val="center"/>
        <w:rPr>
          <w:rFonts w:hint="default" w:ascii="Times New Roman" w:hAnsi="Times New Roman" w:cs="Times New Roman"/>
        </w:rPr>
      </w:pPr>
      <w:r>
        <w:rPr>
          <w:rFonts w:hint="default" w:ascii="Times New Roman" w:hAnsi="Times New Roman" w:cs="Times New Roman"/>
          <w:b/>
          <w:bCs/>
          <w:sz w:val="24"/>
          <w:szCs w:val="24"/>
        </w:rPr>
        <w:t xml:space="preserve">Registration Number: </w:t>
      </w:r>
      <w:r>
        <w:rPr>
          <w:rFonts w:hint="default" w:ascii="Times New Roman" w:hAnsi="Times New Roman" w:cs="Times New Roman"/>
          <w:sz w:val="24"/>
          <w:szCs w:val="24"/>
        </w:rPr>
        <w:t>192511035</w:t>
      </w:r>
    </w:p>
    <w:p w14:paraId="79671AD6">
      <w:pPr>
        <w:spacing w:before="300" w:after="150"/>
        <w:rPr>
          <w:rFonts w:hint="default" w:ascii="Times New Roman" w:hAnsi="Times New Roman" w:cs="Times New Roman"/>
        </w:rPr>
      </w:pPr>
      <w:r>
        <w:rPr>
          <w:rFonts w:hint="default" w:ascii="Times New Roman" w:hAnsi="Times New Roman" w:cs="Times New Roman"/>
          <w:b/>
          <w:bCs/>
          <w:color w:val="1F3864"/>
          <w:sz w:val="24"/>
          <w:szCs w:val="24"/>
        </w:rPr>
        <w:t>Assessment Rubric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2000"/>
        <w:gridCol w:w="1800"/>
        <w:gridCol w:w="1800"/>
        <w:gridCol w:w="1800"/>
      </w:tblGrid>
      <w:tr w14:paraId="06D9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100" w:type="dxa"/>
              <w:left w:w="120" w:type="dxa"/>
              <w:bottom w:w="100" w:type="dxa"/>
              <w:right w:w="120" w:type="dxa"/>
            </w:tcMar>
            <w:vAlign w:val="center"/>
          </w:tcPr>
          <w:p w14:paraId="75B6D006">
            <w:pPr>
              <w:jc w:val="center"/>
              <w:rPr>
                <w:rFonts w:hint="default" w:ascii="Times New Roman" w:hAnsi="Times New Roman" w:cs="Times New Roman"/>
              </w:rPr>
            </w:pPr>
            <w:r>
              <w:rPr>
                <w:rFonts w:hint="default" w:ascii="Times New Roman" w:hAnsi="Times New Roman" w:cs="Times New Roman"/>
                <w:b/>
                <w:bCs/>
                <w:color w:val="FFFFFF"/>
                <w:sz w:val="18"/>
                <w:szCs w:val="18"/>
              </w:rPr>
              <w:t>Criteria</w:t>
            </w:r>
          </w:p>
        </w:tc>
        <w:tc>
          <w:tcPr>
            <w:tcW w:w="1100" w:type="dxa"/>
            <w:shd w:val="clear" w:color="auto" w:fill="1F3864"/>
            <w:tcMar>
              <w:top w:w="100" w:type="dxa"/>
              <w:left w:w="120" w:type="dxa"/>
              <w:bottom w:w="100" w:type="dxa"/>
              <w:right w:w="120" w:type="dxa"/>
            </w:tcMar>
            <w:vAlign w:val="center"/>
          </w:tcPr>
          <w:p w14:paraId="6AC5957A">
            <w:pPr>
              <w:jc w:val="center"/>
              <w:rPr>
                <w:rFonts w:hint="default" w:ascii="Times New Roman" w:hAnsi="Times New Roman" w:cs="Times New Roman"/>
              </w:rPr>
            </w:pPr>
            <w:r>
              <w:rPr>
                <w:rFonts w:hint="default" w:ascii="Times New Roman" w:hAnsi="Times New Roman" w:cs="Times New Roman"/>
                <w:b/>
                <w:bCs/>
                <w:color w:val="FFFFFF"/>
                <w:sz w:val="18"/>
                <w:szCs w:val="18"/>
              </w:rPr>
              <w:t>Weightage</w:t>
            </w:r>
          </w:p>
        </w:tc>
        <w:tc>
          <w:tcPr>
            <w:tcW w:w="2000" w:type="dxa"/>
            <w:shd w:val="clear" w:color="auto" w:fill="1F3864"/>
            <w:tcMar>
              <w:top w:w="100" w:type="dxa"/>
              <w:left w:w="120" w:type="dxa"/>
              <w:bottom w:w="100" w:type="dxa"/>
              <w:right w:w="120" w:type="dxa"/>
            </w:tcMar>
            <w:vAlign w:val="center"/>
          </w:tcPr>
          <w:p w14:paraId="2E72A538">
            <w:pPr>
              <w:jc w:val="center"/>
              <w:rPr>
                <w:rFonts w:hint="default" w:ascii="Times New Roman" w:hAnsi="Times New Roman" w:cs="Times New Roman"/>
              </w:rPr>
            </w:pPr>
            <w:r>
              <w:rPr>
                <w:rFonts w:hint="default" w:ascii="Times New Roman" w:hAnsi="Times New Roman" w:cs="Times New Roman"/>
                <w:b/>
                <w:bCs/>
                <w:color w:val="FFFFFF"/>
                <w:sz w:val="18"/>
                <w:szCs w:val="18"/>
              </w:rPr>
              <w:t>Level 4 – Exemplary</w:t>
            </w:r>
          </w:p>
        </w:tc>
        <w:tc>
          <w:tcPr>
            <w:tcW w:w="1800" w:type="dxa"/>
            <w:shd w:val="clear" w:color="auto" w:fill="1F3864"/>
            <w:tcMar>
              <w:top w:w="100" w:type="dxa"/>
              <w:left w:w="120" w:type="dxa"/>
              <w:bottom w:w="100" w:type="dxa"/>
              <w:right w:w="120" w:type="dxa"/>
            </w:tcMar>
            <w:vAlign w:val="center"/>
          </w:tcPr>
          <w:p w14:paraId="74AB39BA">
            <w:pPr>
              <w:jc w:val="center"/>
              <w:rPr>
                <w:rFonts w:hint="default" w:ascii="Times New Roman" w:hAnsi="Times New Roman" w:cs="Times New Roman"/>
              </w:rPr>
            </w:pPr>
            <w:r>
              <w:rPr>
                <w:rFonts w:hint="default" w:ascii="Times New Roman" w:hAnsi="Times New Roman" w:cs="Times New Roman"/>
                <w:b/>
                <w:bCs/>
                <w:color w:val="FFFFFF"/>
                <w:sz w:val="18"/>
                <w:szCs w:val="18"/>
              </w:rPr>
              <w:t>Level 3 – Proficient</w:t>
            </w:r>
          </w:p>
        </w:tc>
        <w:tc>
          <w:tcPr>
            <w:tcW w:w="1800" w:type="dxa"/>
            <w:shd w:val="clear" w:color="auto" w:fill="1F3864"/>
            <w:tcMar>
              <w:top w:w="100" w:type="dxa"/>
              <w:left w:w="120" w:type="dxa"/>
              <w:bottom w:w="100" w:type="dxa"/>
              <w:right w:w="120" w:type="dxa"/>
            </w:tcMar>
            <w:vAlign w:val="center"/>
          </w:tcPr>
          <w:p w14:paraId="2E39FE90">
            <w:pPr>
              <w:jc w:val="center"/>
              <w:rPr>
                <w:rFonts w:hint="default" w:ascii="Times New Roman" w:hAnsi="Times New Roman" w:cs="Times New Roman"/>
              </w:rPr>
            </w:pPr>
            <w:r>
              <w:rPr>
                <w:rFonts w:hint="default" w:ascii="Times New Roman" w:hAnsi="Times New Roman" w:cs="Times New Roman"/>
                <w:b/>
                <w:bCs/>
                <w:color w:val="FFFFFF"/>
                <w:sz w:val="18"/>
                <w:szCs w:val="18"/>
              </w:rPr>
              <w:t>Level 2 – Developing</w:t>
            </w:r>
          </w:p>
        </w:tc>
        <w:tc>
          <w:tcPr>
            <w:tcW w:w="1800" w:type="dxa"/>
            <w:shd w:val="clear" w:color="auto" w:fill="1F3864"/>
            <w:tcMar>
              <w:top w:w="100" w:type="dxa"/>
              <w:left w:w="120" w:type="dxa"/>
              <w:bottom w:w="100" w:type="dxa"/>
              <w:right w:w="120" w:type="dxa"/>
            </w:tcMar>
            <w:vAlign w:val="center"/>
          </w:tcPr>
          <w:p w14:paraId="5ABC6424">
            <w:pPr>
              <w:jc w:val="center"/>
              <w:rPr>
                <w:rFonts w:hint="default" w:ascii="Times New Roman" w:hAnsi="Times New Roman" w:cs="Times New Roman"/>
              </w:rPr>
            </w:pPr>
            <w:r>
              <w:rPr>
                <w:rFonts w:hint="default" w:ascii="Times New Roman" w:hAnsi="Times New Roman" w:cs="Times New Roman"/>
                <w:b/>
                <w:bCs/>
                <w:color w:val="FFFFFF"/>
                <w:sz w:val="18"/>
                <w:szCs w:val="18"/>
              </w:rPr>
              <w:t>Level 1 – Beginning</w:t>
            </w:r>
          </w:p>
        </w:tc>
      </w:tr>
      <w:tr w14:paraId="7F92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6FB"/>
            <w:tcMar>
              <w:top w:w="100" w:type="dxa"/>
              <w:left w:w="120" w:type="dxa"/>
              <w:bottom w:w="100" w:type="dxa"/>
              <w:right w:w="120" w:type="dxa"/>
            </w:tcMar>
            <w:vAlign w:val="center"/>
          </w:tcPr>
          <w:p w14:paraId="7737F49F">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Scope of Items</w:t>
            </w:r>
          </w:p>
        </w:tc>
        <w:tc>
          <w:tcPr>
            <w:tcW w:w="1100" w:type="dxa"/>
            <w:shd w:val="clear" w:color="auto" w:fill="F2F6FB"/>
            <w:tcMar>
              <w:top w:w="100" w:type="dxa"/>
              <w:left w:w="120" w:type="dxa"/>
              <w:bottom w:w="100" w:type="dxa"/>
              <w:right w:w="120" w:type="dxa"/>
            </w:tcMar>
            <w:vAlign w:val="center"/>
          </w:tcPr>
          <w:p w14:paraId="46A4C2F7">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20%</w:t>
            </w:r>
          </w:p>
        </w:tc>
        <w:tc>
          <w:tcPr>
            <w:tcW w:w="2000" w:type="dxa"/>
            <w:shd w:val="clear" w:color="auto" w:fill="F2F6FB"/>
            <w:tcMar>
              <w:top w:w="100" w:type="dxa"/>
              <w:left w:w="120" w:type="dxa"/>
              <w:bottom w:w="100" w:type="dxa"/>
              <w:right w:w="120" w:type="dxa"/>
            </w:tcMar>
            <w:vAlign w:val="center"/>
          </w:tcPr>
          <w:p w14:paraId="12B91D9E">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Selects highly relevant items with clear scope and justification</w:t>
            </w:r>
          </w:p>
        </w:tc>
        <w:tc>
          <w:tcPr>
            <w:tcW w:w="1800" w:type="dxa"/>
            <w:shd w:val="clear" w:color="auto" w:fill="F2F6FB"/>
            <w:tcMar>
              <w:top w:w="100" w:type="dxa"/>
              <w:left w:w="120" w:type="dxa"/>
              <w:bottom w:w="100" w:type="dxa"/>
              <w:right w:w="120" w:type="dxa"/>
            </w:tcMar>
            <w:vAlign w:val="center"/>
          </w:tcPr>
          <w:p w14:paraId="7A6370A2">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Selects appropriate items with minor gaps</w:t>
            </w:r>
          </w:p>
        </w:tc>
        <w:tc>
          <w:tcPr>
            <w:tcW w:w="1800" w:type="dxa"/>
            <w:shd w:val="clear" w:color="auto" w:fill="F2F6FB"/>
            <w:tcMar>
              <w:top w:w="100" w:type="dxa"/>
              <w:left w:w="120" w:type="dxa"/>
              <w:bottom w:w="100" w:type="dxa"/>
              <w:right w:w="120" w:type="dxa"/>
            </w:tcMar>
            <w:vAlign w:val="center"/>
          </w:tcPr>
          <w:p w14:paraId="6B872EEA">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Selection is limited or partially relevant</w:t>
            </w:r>
          </w:p>
        </w:tc>
        <w:tc>
          <w:tcPr>
            <w:tcW w:w="1800" w:type="dxa"/>
            <w:shd w:val="clear" w:color="auto" w:fill="F2F6FB"/>
            <w:tcMar>
              <w:top w:w="100" w:type="dxa"/>
              <w:left w:w="120" w:type="dxa"/>
              <w:bottom w:w="100" w:type="dxa"/>
              <w:right w:w="120" w:type="dxa"/>
            </w:tcMar>
            <w:vAlign w:val="center"/>
          </w:tcPr>
          <w:p w14:paraId="02542013">
            <w:pPr>
              <w:jc w:val="left"/>
              <w:rPr>
                <w:rFonts w:hint="default" w:ascii="Times New Roman" w:hAnsi="Times New Roman" w:cs="Times New Roman"/>
              </w:rPr>
            </w:pPr>
            <w:r>
              <w:rPr>
                <w:rFonts w:hint="default" w:ascii="Times New Roman" w:hAnsi="Times New Roman" w:cs="Times New Roman"/>
                <w:b w:val="0"/>
                <w:bCs w:val="0"/>
                <w:color w:val="000000"/>
                <w:sz w:val="17"/>
                <w:szCs w:val="17"/>
              </w:rPr>
              <w:t>Items are unclear or not relevant</w:t>
            </w:r>
          </w:p>
        </w:tc>
      </w:tr>
      <w:tr w14:paraId="56A2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100" w:type="dxa"/>
              <w:left w:w="120" w:type="dxa"/>
              <w:bottom w:w="100" w:type="dxa"/>
              <w:right w:w="120" w:type="dxa"/>
            </w:tcMar>
            <w:vAlign w:val="center"/>
          </w:tcPr>
          <w:p w14:paraId="5D0180FA">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Comparison Depth</w:t>
            </w:r>
          </w:p>
        </w:tc>
        <w:tc>
          <w:tcPr>
            <w:tcW w:w="1100" w:type="dxa"/>
            <w:shd w:val="clear" w:color="auto" w:fill="FFFFFF"/>
            <w:tcMar>
              <w:top w:w="100" w:type="dxa"/>
              <w:left w:w="120" w:type="dxa"/>
              <w:bottom w:w="100" w:type="dxa"/>
              <w:right w:w="120" w:type="dxa"/>
            </w:tcMar>
            <w:vAlign w:val="center"/>
          </w:tcPr>
          <w:p w14:paraId="7BFFE5D3">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25%</w:t>
            </w:r>
          </w:p>
        </w:tc>
        <w:tc>
          <w:tcPr>
            <w:tcW w:w="2000" w:type="dxa"/>
            <w:shd w:val="clear" w:color="auto" w:fill="FFFFFF"/>
            <w:tcMar>
              <w:top w:w="100" w:type="dxa"/>
              <w:left w:w="120" w:type="dxa"/>
              <w:bottom w:w="100" w:type="dxa"/>
              <w:right w:w="120" w:type="dxa"/>
            </w:tcMar>
            <w:vAlign w:val="center"/>
          </w:tcPr>
          <w:p w14:paraId="135E76FF">
            <w:pPr>
              <w:jc w:val="left"/>
              <w:rPr>
                <w:rFonts w:hint="default" w:ascii="Times New Roman" w:hAnsi="Times New Roman" w:cs="Times New Roman"/>
              </w:rPr>
            </w:pPr>
            <w:r>
              <w:rPr>
                <w:rFonts w:hint="default" w:ascii="Times New Roman" w:hAnsi="Times New Roman" w:cs="Times New Roman"/>
                <w:b w:val="0"/>
                <w:bCs w:val="0"/>
                <w:color w:val="000000"/>
                <w:sz w:val="17"/>
                <w:szCs w:val="17"/>
              </w:rPr>
              <w:t>Provides detailed and comprehensive comparison across multiple aspects</w:t>
            </w:r>
          </w:p>
        </w:tc>
        <w:tc>
          <w:tcPr>
            <w:tcW w:w="1800" w:type="dxa"/>
            <w:shd w:val="clear" w:color="auto" w:fill="FFFFFF"/>
            <w:tcMar>
              <w:top w:w="100" w:type="dxa"/>
              <w:left w:w="120" w:type="dxa"/>
              <w:bottom w:w="100" w:type="dxa"/>
              <w:right w:w="120" w:type="dxa"/>
            </w:tcMar>
            <w:vAlign w:val="center"/>
          </w:tcPr>
          <w:p w14:paraId="0F7DAFAE">
            <w:pPr>
              <w:jc w:val="left"/>
              <w:rPr>
                <w:rFonts w:hint="default" w:ascii="Times New Roman" w:hAnsi="Times New Roman" w:cs="Times New Roman"/>
              </w:rPr>
            </w:pPr>
            <w:r>
              <w:rPr>
                <w:rFonts w:hint="default" w:ascii="Times New Roman" w:hAnsi="Times New Roman" w:cs="Times New Roman"/>
                <w:b w:val="0"/>
                <w:bCs w:val="0"/>
                <w:color w:val="000000"/>
                <w:sz w:val="17"/>
                <w:szCs w:val="17"/>
              </w:rPr>
              <w:t>Provides adequate comparison with some depth</w:t>
            </w:r>
          </w:p>
        </w:tc>
        <w:tc>
          <w:tcPr>
            <w:tcW w:w="1800" w:type="dxa"/>
            <w:shd w:val="clear" w:color="auto" w:fill="FFFFFF"/>
            <w:tcMar>
              <w:top w:w="100" w:type="dxa"/>
              <w:left w:w="120" w:type="dxa"/>
              <w:bottom w:w="100" w:type="dxa"/>
              <w:right w:w="120" w:type="dxa"/>
            </w:tcMar>
            <w:vAlign w:val="center"/>
          </w:tcPr>
          <w:p w14:paraId="5C5D93D9">
            <w:pPr>
              <w:jc w:val="left"/>
              <w:rPr>
                <w:rFonts w:hint="default" w:ascii="Times New Roman" w:hAnsi="Times New Roman" w:cs="Times New Roman"/>
              </w:rPr>
            </w:pPr>
            <w:r>
              <w:rPr>
                <w:rFonts w:hint="default" w:ascii="Times New Roman" w:hAnsi="Times New Roman" w:cs="Times New Roman"/>
                <w:b w:val="0"/>
                <w:bCs w:val="0"/>
                <w:color w:val="000000"/>
                <w:sz w:val="17"/>
                <w:szCs w:val="17"/>
              </w:rPr>
              <w:t>Limited comparison with few aspects</w:t>
            </w:r>
          </w:p>
        </w:tc>
        <w:tc>
          <w:tcPr>
            <w:tcW w:w="1800" w:type="dxa"/>
            <w:shd w:val="clear" w:color="auto" w:fill="FFFFFF"/>
            <w:tcMar>
              <w:top w:w="100" w:type="dxa"/>
              <w:left w:w="120" w:type="dxa"/>
              <w:bottom w:w="100" w:type="dxa"/>
              <w:right w:w="120" w:type="dxa"/>
            </w:tcMar>
            <w:vAlign w:val="center"/>
          </w:tcPr>
          <w:p w14:paraId="01D3BDBC">
            <w:pPr>
              <w:jc w:val="left"/>
              <w:rPr>
                <w:rFonts w:hint="default" w:ascii="Times New Roman" w:hAnsi="Times New Roman" w:cs="Times New Roman"/>
              </w:rPr>
            </w:pPr>
            <w:r>
              <w:rPr>
                <w:rFonts w:hint="default" w:ascii="Times New Roman" w:hAnsi="Times New Roman" w:cs="Times New Roman"/>
                <w:b w:val="0"/>
                <w:bCs w:val="0"/>
                <w:color w:val="000000"/>
                <w:sz w:val="17"/>
                <w:szCs w:val="17"/>
              </w:rPr>
              <w:t>Very minimal or no comparison</w:t>
            </w:r>
          </w:p>
        </w:tc>
      </w:tr>
      <w:tr w14:paraId="7F62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6FB"/>
            <w:tcMar>
              <w:top w:w="100" w:type="dxa"/>
              <w:left w:w="120" w:type="dxa"/>
              <w:bottom w:w="100" w:type="dxa"/>
              <w:right w:w="120" w:type="dxa"/>
            </w:tcMar>
            <w:vAlign w:val="center"/>
          </w:tcPr>
          <w:p w14:paraId="5DE0628D">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Use of Evidence</w:t>
            </w:r>
          </w:p>
        </w:tc>
        <w:tc>
          <w:tcPr>
            <w:tcW w:w="1100" w:type="dxa"/>
            <w:shd w:val="clear" w:color="auto" w:fill="F2F6FB"/>
            <w:tcMar>
              <w:top w:w="100" w:type="dxa"/>
              <w:left w:w="120" w:type="dxa"/>
              <w:bottom w:w="100" w:type="dxa"/>
              <w:right w:w="120" w:type="dxa"/>
            </w:tcMar>
            <w:vAlign w:val="center"/>
          </w:tcPr>
          <w:p w14:paraId="5C079218">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20%</w:t>
            </w:r>
          </w:p>
        </w:tc>
        <w:tc>
          <w:tcPr>
            <w:tcW w:w="2000" w:type="dxa"/>
            <w:shd w:val="clear" w:color="auto" w:fill="F2F6FB"/>
            <w:tcMar>
              <w:top w:w="100" w:type="dxa"/>
              <w:left w:w="120" w:type="dxa"/>
              <w:bottom w:w="100" w:type="dxa"/>
              <w:right w:w="120" w:type="dxa"/>
            </w:tcMar>
            <w:vAlign w:val="center"/>
          </w:tcPr>
          <w:p w14:paraId="2EC96E15">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Supports comparison with accurate data, examples, or references</w:t>
            </w:r>
          </w:p>
        </w:tc>
        <w:tc>
          <w:tcPr>
            <w:tcW w:w="1800" w:type="dxa"/>
            <w:shd w:val="clear" w:color="auto" w:fill="F2F6FB"/>
            <w:tcMar>
              <w:top w:w="100" w:type="dxa"/>
              <w:left w:w="120" w:type="dxa"/>
              <w:bottom w:w="100" w:type="dxa"/>
              <w:right w:w="120" w:type="dxa"/>
            </w:tcMar>
            <w:vAlign w:val="center"/>
          </w:tcPr>
          <w:p w14:paraId="36AD2310">
            <w:pPr>
              <w:jc w:val="left"/>
              <w:rPr>
                <w:rFonts w:hint="default" w:ascii="Times New Roman" w:hAnsi="Times New Roman" w:cs="Times New Roman"/>
              </w:rPr>
            </w:pPr>
            <w:r>
              <w:rPr>
                <w:rFonts w:hint="default" w:ascii="Times New Roman" w:hAnsi="Times New Roman" w:cs="Times New Roman"/>
                <w:b w:val="0"/>
                <w:bCs w:val="0"/>
                <w:color w:val="000000"/>
                <w:sz w:val="17"/>
                <w:szCs w:val="17"/>
              </w:rPr>
              <w:t>Uses some supporting evidence with minor gaps</w:t>
            </w:r>
          </w:p>
        </w:tc>
        <w:tc>
          <w:tcPr>
            <w:tcW w:w="1800" w:type="dxa"/>
            <w:shd w:val="clear" w:color="auto" w:fill="F2F6FB"/>
            <w:tcMar>
              <w:top w:w="100" w:type="dxa"/>
              <w:left w:w="120" w:type="dxa"/>
              <w:bottom w:w="100" w:type="dxa"/>
              <w:right w:w="120" w:type="dxa"/>
            </w:tcMar>
            <w:vAlign w:val="center"/>
          </w:tcPr>
          <w:p w14:paraId="3B41DEA4">
            <w:pPr>
              <w:jc w:val="left"/>
              <w:rPr>
                <w:rFonts w:hint="default" w:ascii="Times New Roman" w:hAnsi="Times New Roman" w:cs="Times New Roman"/>
              </w:rPr>
            </w:pPr>
            <w:r>
              <w:rPr>
                <w:rFonts w:hint="default" w:ascii="Times New Roman" w:hAnsi="Times New Roman" w:cs="Times New Roman"/>
                <w:b w:val="0"/>
                <w:bCs w:val="0"/>
                <w:color w:val="000000"/>
                <w:sz w:val="17"/>
                <w:szCs w:val="17"/>
              </w:rPr>
              <w:t>Limited or weak supporting evidence</w:t>
            </w:r>
          </w:p>
        </w:tc>
        <w:tc>
          <w:tcPr>
            <w:tcW w:w="1800" w:type="dxa"/>
            <w:shd w:val="clear" w:color="auto" w:fill="F2F6FB"/>
            <w:tcMar>
              <w:top w:w="100" w:type="dxa"/>
              <w:left w:w="120" w:type="dxa"/>
              <w:bottom w:w="100" w:type="dxa"/>
              <w:right w:w="120" w:type="dxa"/>
            </w:tcMar>
            <w:vAlign w:val="center"/>
          </w:tcPr>
          <w:p w14:paraId="59785808">
            <w:pPr>
              <w:jc w:val="left"/>
              <w:rPr>
                <w:rFonts w:hint="default" w:ascii="Times New Roman" w:hAnsi="Times New Roman" w:cs="Times New Roman"/>
              </w:rPr>
            </w:pPr>
            <w:r>
              <w:rPr>
                <w:rFonts w:hint="default" w:ascii="Times New Roman" w:hAnsi="Times New Roman" w:cs="Times New Roman"/>
                <w:b w:val="0"/>
                <w:bCs w:val="0"/>
                <w:color w:val="000000"/>
                <w:sz w:val="17"/>
                <w:szCs w:val="17"/>
              </w:rPr>
              <w:t>No supporting evidence provided</w:t>
            </w:r>
          </w:p>
        </w:tc>
      </w:tr>
      <w:tr w14:paraId="675B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100" w:type="dxa"/>
              <w:left w:w="120" w:type="dxa"/>
              <w:bottom w:w="100" w:type="dxa"/>
              <w:right w:w="120" w:type="dxa"/>
            </w:tcMar>
            <w:vAlign w:val="center"/>
          </w:tcPr>
          <w:p w14:paraId="1BE652F3">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Critical Thinking</w:t>
            </w:r>
          </w:p>
        </w:tc>
        <w:tc>
          <w:tcPr>
            <w:tcW w:w="1100" w:type="dxa"/>
            <w:shd w:val="clear" w:color="auto" w:fill="FFFFFF"/>
            <w:tcMar>
              <w:top w:w="100" w:type="dxa"/>
              <w:left w:w="120" w:type="dxa"/>
              <w:bottom w:w="100" w:type="dxa"/>
              <w:right w:w="120" w:type="dxa"/>
            </w:tcMar>
            <w:vAlign w:val="center"/>
          </w:tcPr>
          <w:p w14:paraId="3FA0ECAF">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20%</w:t>
            </w:r>
          </w:p>
        </w:tc>
        <w:tc>
          <w:tcPr>
            <w:tcW w:w="2000" w:type="dxa"/>
            <w:shd w:val="clear" w:color="auto" w:fill="FFFFFF"/>
            <w:tcMar>
              <w:top w:w="100" w:type="dxa"/>
              <w:left w:w="120" w:type="dxa"/>
              <w:bottom w:w="100" w:type="dxa"/>
              <w:right w:w="120" w:type="dxa"/>
            </w:tcMar>
            <w:vAlign w:val="center"/>
          </w:tcPr>
          <w:p w14:paraId="73B1B60E">
            <w:pPr>
              <w:jc w:val="left"/>
              <w:rPr>
                <w:rFonts w:hint="default" w:ascii="Times New Roman" w:hAnsi="Times New Roman" w:cs="Times New Roman"/>
              </w:rPr>
            </w:pPr>
            <w:r>
              <w:rPr>
                <w:rFonts w:hint="default" w:ascii="Times New Roman" w:hAnsi="Times New Roman" w:cs="Times New Roman"/>
                <w:b w:val="0"/>
                <w:bCs w:val="0"/>
                <w:color w:val="000000"/>
                <w:sz w:val="17"/>
                <w:szCs w:val="17"/>
              </w:rPr>
              <w:t>Demonstrates strong critical thinking with clear interpretation and reasoning</w:t>
            </w:r>
          </w:p>
        </w:tc>
        <w:tc>
          <w:tcPr>
            <w:tcW w:w="1800" w:type="dxa"/>
            <w:shd w:val="clear" w:color="auto" w:fill="FFFFFF"/>
            <w:tcMar>
              <w:top w:w="100" w:type="dxa"/>
              <w:left w:w="120" w:type="dxa"/>
              <w:bottom w:w="100" w:type="dxa"/>
              <w:right w:w="120" w:type="dxa"/>
            </w:tcMar>
            <w:vAlign w:val="center"/>
          </w:tcPr>
          <w:p w14:paraId="14449B4D">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Shows reasonable interpretation with minor gaps</w:t>
            </w:r>
          </w:p>
        </w:tc>
        <w:tc>
          <w:tcPr>
            <w:tcW w:w="1800" w:type="dxa"/>
            <w:shd w:val="clear" w:color="auto" w:fill="FFFFFF"/>
            <w:tcMar>
              <w:top w:w="100" w:type="dxa"/>
              <w:left w:w="120" w:type="dxa"/>
              <w:bottom w:w="100" w:type="dxa"/>
              <w:right w:w="120" w:type="dxa"/>
            </w:tcMar>
            <w:vAlign w:val="center"/>
          </w:tcPr>
          <w:p w14:paraId="7461C126">
            <w:pPr>
              <w:jc w:val="left"/>
              <w:rPr>
                <w:rFonts w:hint="default" w:ascii="Times New Roman" w:hAnsi="Times New Roman" w:cs="Times New Roman"/>
              </w:rPr>
            </w:pPr>
            <w:r>
              <w:rPr>
                <w:rFonts w:hint="default" w:ascii="Times New Roman" w:hAnsi="Times New Roman" w:cs="Times New Roman"/>
                <w:b w:val="0"/>
                <w:bCs w:val="0"/>
                <w:color w:val="000000"/>
                <w:sz w:val="17"/>
                <w:szCs w:val="17"/>
              </w:rPr>
              <w:t>Basic interpretation; lacks depth</w:t>
            </w:r>
          </w:p>
        </w:tc>
        <w:tc>
          <w:tcPr>
            <w:tcW w:w="1800" w:type="dxa"/>
            <w:shd w:val="clear" w:color="auto" w:fill="FFFFFF"/>
            <w:tcMar>
              <w:top w:w="100" w:type="dxa"/>
              <w:left w:w="120" w:type="dxa"/>
              <w:bottom w:w="100" w:type="dxa"/>
              <w:right w:w="120" w:type="dxa"/>
            </w:tcMar>
            <w:vAlign w:val="center"/>
          </w:tcPr>
          <w:p w14:paraId="4E432902">
            <w:pPr>
              <w:jc w:val="left"/>
              <w:rPr>
                <w:rFonts w:hint="default" w:ascii="Times New Roman" w:hAnsi="Times New Roman" w:cs="Times New Roman"/>
              </w:rPr>
            </w:pPr>
            <w:r>
              <w:rPr>
                <w:rFonts w:hint="default" w:ascii="Times New Roman" w:hAnsi="Times New Roman" w:cs="Times New Roman"/>
                <w:b w:val="0"/>
                <w:bCs w:val="0"/>
                <w:color w:val="000000"/>
                <w:sz w:val="17"/>
                <w:szCs w:val="17"/>
              </w:rPr>
              <w:t>No meaningful interpretation</w:t>
            </w:r>
          </w:p>
        </w:tc>
      </w:tr>
      <w:tr w14:paraId="6425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6FB"/>
            <w:tcMar>
              <w:top w:w="100" w:type="dxa"/>
              <w:left w:w="120" w:type="dxa"/>
              <w:bottom w:w="100" w:type="dxa"/>
              <w:right w:w="120" w:type="dxa"/>
            </w:tcMar>
            <w:vAlign w:val="center"/>
          </w:tcPr>
          <w:p w14:paraId="44A590A8">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Clarity of Presentation</w:t>
            </w:r>
          </w:p>
        </w:tc>
        <w:tc>
          <w:tcPr>
            <w:tcW w:w="1100" w:type="dxa"/>
            <w:shd w:val="clear" w:color="auto" w:fill="F2F6FB"/>
            <w:tcMar>
              <w:top w:w="100" w:type="dxa"/>
              <w:left w:w="120" w:type="dxa"/>
              <w:bottom w:w="100" w:type="dxa"/>
              <w:right w:w="120" w:type="dxa"/>
            </w:tcMar>
            <w:vAlign w:val="center"/>
          </w:tcPr>
          <w:p w14:paraId="27716E0E">
            <w:pPr>
              <w:jc w:val="center"/>
              <w:rPr>
                <w:rFonts w:hint="default" w:ascii="Times New Roman" w:hAnsi="Times New Roman" w:cs="Times New Roman"/>
              </w:rPr>
            </w:pPr>
            <w:r>
              <w:rPr>
                <w:rFonts w:hint="default" w:ascii="Times New Roman" w:hAnsi="Times New Roman" w:cs="Times New Roman"/>
                <w:b w:val="0"/>
                <w:bCs w:val="0"/>
                <w:color w:val="000000"/>
                <w:sz w:val="17"/>
                <w:szCs w:val="17"/>
              </w:rPr>
              <w:t>15%</w:t>
            </w:r>
          </w:p>
        </w:tc>
        <w:tc>
          <w:tcPr>
            <w:tcW w:w="2000" w:type="dxa"/>
            <w:shd w:val="clear" w:color="auto" w:fill="F2F6FB"/>
            <w:tcMar>
              <w:top w:w="100" w:type="dxa"/>
              <w:left w:w="120" w:type="dxa"/>
              <w:bottom w:w="100" w:type="dxa"/>
              <w:right w:w="120" w:type="dxa"/>
            </w:tcMar>
            <w:vAlign w:val="center"/>
          </w:tcPr>
          <w:p w14:paraId="439008B5">
            <w:pPr>
              <w:jc w:val="left"/>
              <w:rPr>
                <w:rFonts w:hint="default" w:ascii="Times New Roman" w:hAnsi="Times New Roman" w:cs="Times New Roman"/>
              </w:rPr>
            </w:pPr>
            <w:r>
              <w:rPr>
                <w:rFonts w:hint="default" w:ascii="Times New Roman" w:hAnsi="Times New Roman" w:cs="Times New Roman"/>
                <w:b w:val="0"/>
                <w:bCs w:val="0"/>
                <w:color w:val="000000"/>
                <w:sz w:val="17"/>
                <w:szCs w:val="17"/>
              </w:rPr>
              <w:t>Well-organized, clear, and logically structured presentation</w:t>
            </w:r>
          </w:p>
        </w:tc>
        <w:tc>
          <w:tcPr>
            <w:tcW w:w="1800" w:type="dxa"/>
            <w:shd w:val="clear" w:color="auto" w:fill="F2F6FB"/>
            <w:tcMar>
              <w:top w:w="100" w:type="dxa"/>
              <w:left w:w="120" w:type="dxa"/>
              <w:bottom w:w="100" w:type="dxa"/>
              <w:right w:w="120" w:type="dxa"/>
            </w:tcMar>
            <w:vAlign w:val="center"/>
          </w:tcPr>
          <w:p w14:paraId="184188A1">
            <w:pPr>
              <w:jc w:val="left"/>
              <w:rPr>
                <w:rFonts w:hint="default" w:ascii="Times New Roman" w:hAnsi="Times New Roman" w:cs="Times New Roman"/>
              </w:rPr>
            </w:pPr>
            <w:r>
              <w:rPr>
                <w:rFonts w:hint="default" w:ascii="Times New Roman" w:hAnsi="Times New Roman" w:cs="Times New Roman"/>
                <w:b w:val="0"/>
                <w:bCs w:val="0"/>
                <w:color w:val="000000"/>
                <w:sz w:val="17"/>
                <w:szCs w:val="17"/>
              </w:rPr>
              <w:t>Generally clear with minor issues</w:t>
            </w:r>
          </w:p>
        </w:tc>
        <w:tc>
          <w:tcPr>
            <w:tcW w:w="1800" w:type="dxa"/>
            <w:shd w:val="clear" w:color="auto" w:fill="F2F6FB"/>
            <w:tcMar>
              <w:top w:w="100" w:type="dxa"/>
              <w:left w:w="120" w:type="dxa"/>
              <w:bottom w:w="100" w:type="dxa"/>
              <w:right w:w="120" w:type="dxa"/>
            </w:tcMar>
            <w:vAlign w:val="center"/>
          </w:tcPr>
          <w:p w14:paraId="40A72C56">
            <w:pPr>
              <w:jc w:val="left"/>
              <w:rPr>
                <w:rFonts w:hint="default" w:ascii="Times New Roman" w:hAnsi="Times New Roman" w:cs="Times New Roman"/>
              </w:rPr>
            </w:pPr>
            <w:r>
              <w:rPr>
                <w:rFonts w:hint="default" w:ascii="Times New Roman" w:hAnsi="Times New Roman" w:cs="Times New Roman"/>
                <w:b w:val="0"/>
                <w:bCs w:val="0"/>
                <w:color w:val="000000"/>
                <w:sz w:val="17"/>
                <w:szCs w:val="17"/>
              </w:rPr>
              <w:t>Somewhat unclear or poorly structured</w:t>
            </w:r>
          </w:p>
        </w:tc>
        <w:tc>
          <w:tcPr>
            <w:tcW w:w="1800" w:type="dxa"/>
            <w:shd w:val="clear" w:color="auto" w:fill="F2F6FB"/>
            <w:tcMar>
              <w:top w:w="100" w:type="dxa"/>
              <w:left w:w="120" w:type="dxa"/>
              <w:bottom w:w="100" w:type="dxa"/>
              <w:right w:w="120" w:type="dxa"/>
            </w:tcMar>
            <w:vAlign w:val="center"/>
          </w:tcPr>
          <w:p w14:paraId="33CDC02A">
            <w:pPr>
              <w:jc w:val="left"/>
              <w:rPr>
                <w:rFonts w:hint="default" w:ascii="Times New Roman" w:hAnsi="Times New Roman" w:cs="Times New Roman"/>
              </w:rPr>
            </w:pPr>
            <w:r>
              <w:rPr>
                <w:rFonts w:hint="default" w:ascii="Times New Roman" w:hAnsi="Times New Roman" w:cs="Times New Roman"/>
                <w:b w:val="0"/>
                <w:bCs w:val="0"/>
                <w:color w:val="000000"/>
                <w:sz w:val="17"/>
                <w:szCs w:val="17"/>
              </w:rPr>
              <w:t>Disorganized and difficult to understand</w:t>
            </w:r>
          </w:p>
        </w:tc>
      </w:tr>
    </w:tbl>
    <w:p w14:paraId="4131E56E">
      <w:pPr>
        <w:rPr>
          <w:rFonts w:hint="default" w:ascii="Times New Roman" w:hAnsi="Times New Roman" w:cs="Times New Roman"/>
        </w:rPr>
      </w:pPr>
      <w:r>
        <w:rPr>
          <w:rFonts w:hint="default" w:ascii="Times New Roman" w:hAnsi="Times New Roman" w:cs="Times New Roman"/>
        </w:rPr>
        <w:br w:type="page"/>
      </w:r>
    </w:p>
    <w:p w14:paraId="39865289">
      <w:pPr>
        <w:rPr>
          <w:rFonts w:hint="default" w:ascii="Times New Roman" w:hAnsi="Times New Roman" w:cs="Times New Roman"/>
        </w:rPr>
        <w:sectPr>
          <w:pgSz w:w="12240" w:h="15840"/>
          <w:pgMar w:top="1080" w:right="1080" w:bottom="1080" w:left="1080" w:header="708" w:footer="708" w:gutter="0"/>
          <w:cols w:space="720" w:num="1"/>
          <w:docGrid w:linePitch="360" w:charSpace="0"/>
        </w:sectPr>
      </w:pPr>
    </w:p>
    <w:p w14:paraId="26A3D87A">
      <w:pPr>
        <w:spacing w:after="300"/>
        <w:jc w:val="center"/>
        <w:rPr>
          <w:rFonts w:hint="default" w:ascii="Times New Roman" w:hAnsi="Times New Roman" w:cs="Times New Roman"/>
        </w:rPr>
      </w:pPr>
      <w:r>
        <w:rPr>
          <w:rFonts w:hint="default" w:ascii="Times New Roman" w:hAnsi="Times New Roman" w:cs="Times New Roman"/>
          <w:b/>
          <w:bCs/>
          <w:color w:val="1F3864"/>
          <w:sz w:val="30"/>
          <w:szCs w:val="30"/>
        </w:rPr>
        <w:t>Quick Sort vs. Merge Sort for a Large Linked List of 10 Million Nodes</w:t>
      </w:r>
    </w:p>
    <w:p w14:paraId="0531BBAC">
      <w:pPr>
        <w:pStyle w:val="2"/>
        <w:spacing w:before="320" w:after="160"/>
        <w:rPr>
          <w:rFonts w:hint="default" w:ascii="Times New Roman" w:hAnsi="Times New Roman" w:cs="Times New Roman"/>
        </w:rPr>
      </w:pPr>
      <w:r>
        <w:rPr>
          <w:rFonts w:hint="default" w:ascii="Times New Roman" w:hAnsi="Times New Roman" w:cs="Times New Roman"/>
          <w:b/>
          <w:bCs/>
          <w:color w:val="1F3864"/>
        </w:rPr>
        <w:t>1. Introduction</w:t>
      </w:r>
    </w:p>
    <w:p w14:paraId="7538BD80">
      <w:pPr>
        <w:spacing w:after="160" w:line="300" w:lineRule="auto"/>
        <w:jc w:val="both"/>
        <w:rPr>
          <w:rFonts w:hint="default" w:ascii="Times New Roman" w:hAnsi="Times New Roman" w:cs="Times New Roman"/>
        </w:rPr>
      </w:pPr>
      <w:r>
        <w:rPr>
          <w:rFonts w:hint="default" w:ascii="Times New Roman" w:hAnsi="Times New Roman" w:cs="Times New Roman"/>
        </w:rPr>
        <w:t>Sorting a linked list of ten million nodes is a demanding task, and the choice of algorithm has a real impact on runtime, memory footprint, and reliability. Quick sort and merge sort both achieve an average time complexity of O(n log n), but they behave very differently once the underlying data structure is a singly or doubly linked list instead of a contiguous array. This report analyzes both algorithms across memory requirements, cache behavior, and time complexity, and concludes with a recommendation for linked lists as well as a discussion of how that recommendation changes for arrays.</w:t>
      </w:r>
    </w:p>
    <w:p w14:paraId="6120A49D">
      <w:pPr>
        <w:pStyle w:val="2"/>
        <w:spacing w:before="320" w:after="160"/>
        <w:rPr>
          <w:rFonts w:hint="default" w:ascii="Times New Roman" w:hAnsi="Times New Roman" w:cs="Times New Roman"/>
        </w:rPr>
      </w:pPr>
      <w:r>
        <w:rPr>
          <w:rFonts w:hint="default" w:ascii="Times New Roman" w:hAnsi="Times New Roman" w:cs="Times New Roman"/>
          <w:b/>
          <w:bCs/>
          <w:color w:val="1F3864"/>
        </w:rPr>
        <w:t>2. Quick Sort on a Linked List</w:t>
      </w:r>
    </w:p>
    <w:p w14:paraId="5AB6D833">
      <w:pPr>
        <w:spacing w:after="160" w:line="300" w:lineRule="auto"/>
        <w:jc w:val="both"/>
        <w:rPr>
          <w:rFonts w:hint="default" w:ascii="Times New Roman" w:hAnsi="Times New Roman" w:cs="Times New Roman"/>
        </w:rPr>
      </w:pPr>
      <w:r>
        <w:rPr>
          <w:rFonts w:hint="default" w:ascii="Times New Roman" w:hAnsi="Times New Roman" w:cs="Times New Roman"/>
        </w:rPr>
        <w:t>Quick sort is a divide-and-conquer algorithm that selects a pivot, partitions the remaining elements into those smaller and those greater than the pivot, and recursively sorts each partition. On arrays, partitioning is efficient because any element can be accessed in O(1) time using an index. On a linked list, however, there is no random access: reaching the middle element, or any arbitrary element for pivot selection, requires traversing pointers from the head, which costs O(n) in the worst case.</w:t>
      </w:r>
    </w:p>
    <w:p w14:paraId="7CE5E49C">
      <w:pPr>
        <w:spacing w:after="160" w:line="300" w:lineRule="auto"/>
        <w:jc w:val="both"/>
        <w:rPr>
          <w:rFonts w:hint="default" w:ascii="Times New Roman" w:hAnsi="Times New Roman" w:cs="Times New Roman"/>
        </w:rPr>
      </w:pPr>
      <w:r>
        <w:rPr>
          <w:rFonts w:hint="default" w:ascii="Times New Roman" w:hAnsi="Times New Roman" w:cs="Times New Roman"/>
        </w:rPr>
        <w:t>In practice, quick sort on a linked list is adapted by choosing the head node (or the first node of the current sublist) as the pivot, then walking through the list once to build two sublists — nodes less than the pivot and nodes greater than or equal to it — by relinking next pointers. This partitioning step does not require any auxiliary array; it only rewires existing nodes, so it is 'in-place' with respect to node storage.</w:t>
      </w:r>
    </w:p>
    <w:p w14:paraId="7CE05E0C">
      <w:pPr>
        <w:pStyle w:val="2"/>
        <w:spacing w:before="320" w:after="160"/>
        <w:rPr>
          <w:rFonts w:hint="default" w:ascii="Times New Roman" w:hAnsi="Times New Roman" w:cs="Times New Roman"/>
        </w:rPr>
      </w:pPr>
      <w:r>
        <w:rPr>
          <w:rFonts w:hint="default" w:ascii="Times New Roman" w:hAnsi="Times New Roman" w:cs="Times New Roman"/>
          <w:b/>
          <w:bCs/>
          <w:color w:val="1F3864"/>
        </w:rPr>
        <w:t>3. Merge Sort on a Linked List</w:t>
      </w:r>
    </w:p>
    <w:p w14:paraId="0786CBC7">
      <w:pPr>
        <w:spacing w:after="160" w:line="300" w:lineRule="auto"/>
        <w:jc w:val="both"/>
        <w:rPr>
          <w:rFonts w:hint="default" w:ascii="Times New Roman" w:hAnsi="Times New Roman" w:cs="Times New Roman"/>
        </w:rPr>
      </w:pPr>
      <w:r>
        <w:rPr>
          <w:rFonts w:hint="default" w:ascii="Times New Roman" w:hAnsi="Times New Roman" w:cs="Times New Roman"/>
        </w:rPr>
        <w:t>Merge sort splits the list into two halves, recursively sorts each half, and merges the two sorted halves back together. Finding the midpoint of a linked list is done with the classic slow/fast pointer technique in O(n) time for each level of recursion. The key advantage of merge sort on linked lists is the merge step itself: merging two sorted linked lists only requires comparing the head nodes and relinking next pointers — no new nodes and no auxiliary array are needed. This is very different from merging two sorted arrays, which inherently requires a separate O(n) buffer because array elements cannot be relinked the way list nodes can.</w:t>
      </w:r>
    </w:p>
    <w:p w14:paraId="189AABF5">
      <w:pPr>
        <w:pStyle w:val="2"/>
        <w:spacing w:before="320" w:after="160"/>
        <w:rPr>
          <w:rFonts w:hint="default" w:ascii="Times New Roman" w:hAnsi="Times New Roman" w:cs="Times New Roman"/>
        </w:rPr>
      </w:pPr>
      <w:r>
        <w:rPr>
          <w:rFonts w:hint="default" w:ascii="Times New Roman" w:hAnsi="Times New Roman" w:cs="Times New Roman"/>
          <w:b/>
          <w:bCs/>
          <w:color w:val="1F3864"/>
        </w:rPr>
        <w:t>4. Memory Requirements: In-Place vs. Extra Space</w:t>
      </w:r>
    </w:p>
    <w:p w14:paraId="65451682">
      <w:pPr>
        <w:spacing w:after="160" w:line="300" w:lineRule="auto"/>
        <w:jc w:val="both"/>
        <w:rPr>
          <w:rFonts w:hint="default" w:ascii="Times New Roman" w:hAnsi="Times New Roman" w:cs="Times New Roman"/>
        </w:rPr>
      </w:pPr>
      <w:r>
        <w:rPr>
          <w:rFonts w:hint="default" w:ascii="Times New Roman" w:hAnsi="Times New Roman" w:cs="Times New Roman"/>
        </w:rPr>
        <w:t>For linked lists, both algorithms avoid allocating a large auxiliary array, because rearrangement happens purely by pointer manipulation. The memory difference instead comes from the recursion (call) stack:</w:t>
      </w:r>
    </w:p>
    <w:p w14:paraId="253C011D">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Quick sort: recursion depth is O(log n) on average when partitions are balanced, but degrades to O(n) in the worst case (e.g., an already sorted or reverse-sorted list combined with head-as-pivot selection). For 10 million nodes, an O(n) stack depth risks stack overflow.</w:t>
      </w:r>
    </w:p>
    <w:p w14:paraId="7E07C4C9">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Merge sort: recursion depth is always O(log n), because the list is always split into two equal (or near-equal) halves regardless of the input order. This guarantees a predictable, bounded stack usage of about log2(10,000,000) ≈ 24 levels.</w:t>
      </w:r>
    </w:p>
    <w:p w14:paraId="10E89E85">
      <w:pPr>
        <w:spacing w:after="160" w:line="300" w:lineRule="auto"/>
        <w:jc w:val="both"/>
        <w:rPr>
          <w:rFonts w:hint="default" w:ascii="Times New Roman" w:hAnsi="Times New Roman" w:cs="Times New Roman"/>
        </w:rPr>
      </w:pPr>
      <w:r>
        <w:rPr>
          <w:rFonts w:hint="default" w:ascii="Times New Roman" w:hAnsi="Times New Roman" w:cs="Times New Roman"/>
        </w:rPr>
        <w:t>Consequently, merge sort on a linked list is at least as memory-efficient as quick sort, and strictly more predictable, since it never needs an O(n) auxiliary buffer (unlike array-based merge sort) and its recursion stack is bounded logarithmically regardless of input order.</w:t>
      </w:r>
    </w:p>
    <w:p w14:paraId="0CFF03A5">
      <w:pPr>
        <w:pStyle w:val="2"/>
        <w:spacing w:before="320" w:after="160"/>
        <w:rPr>
          <w:rFonts w:hint="default" w:ascii="Times New Roman" w:hAnsi="Times New Roman" w:cs="Times New Roman"/>
        </w:rPr>
      </w:pPr>
      <w:r>
        <w:rPr>
          <w:rFonts w:hint="default" w:ascii="Times New Roman" w:hAnsi="Times New Roman" w:cs="Times New Roman"/>
          <w:b/>
          <w:bCs/>
          <w:color w:val="1F3864"/>
        </w:rPr>
        <w:t>5. Cache Behavior</w:t>
      </w:r>
    </w:p>
    <w:p w14:paraId="65D95E2C">
      <w:pPr>
        <w:spacing w:after="160" w:line="300" w:lineRule="auto"/>
        <w:jc w:val="both"/>
        <w:rPr>
          <w:rFonts w:hint="default" w:ascii="Times New Roman" w:hAnsi="Times New Roman" w:cs="Times New Roman"/>
        </w:rPr>
      </w:pPr>
      <w:r>
        <w:rPr>
          <w:rFonts w:hint="default" w:ascii="Times New Roman" w:hAnsi="Times New Roman" w:cs="Times New Roman"/>
        </w:rPr>
        <w:t>Linked lists store nodes at scattered, non-contiguous memory addresses, so traversing a list means chasing pointers across memory — this generally produces poor cache locality for any linked-list algorithm, unlike arrays where sequential access is highly cache-friendly.</w:t>
      </w:r>
    </w:p>
    <w:p w14:paraId="7F57706A">
      <w:pPr>
        <w:spacing w:after="160" w:line="300" w:lineRule="auto"/>
        <w:jc w:val="both"/>
        <w:rPr>
          <w:rFonts w:hint="default" w:ascii="Times New Roman" w:hAnsi="Times New Roman" w:cs="Times New Roman"/>
        </w:rPr>
      </w:pPr>
      <w:r>
        <w:rPr>
          <w:rFonts w:hint="default" w:ascii="Times New Roman" w:hAnsi="Times New Roman" w:cs="Times New Roman"/>
        </w:rPr>
        <w:t>This matters more for quick sort than for merge sort. On arrays, quick sort's biggest practical advantage over merge sort is its excellent cache behavior during in-place partitioning (sequential scanning and swapping within contiguous memory). On a linked list, that advantage disappears entirely: partitioning still requires pointer chasing to visit nodes in list order, so quick sort loses much of the performance edge it normally has on arrays.</w:t>
      </w:r>
    </w:p>
    <w:p w14:paraId="50595771">
      <w:pPr>
        <w:spacing w:after="160" w:line="300" w:lineRule="auto"/>
        <w:jc w:val="both"/>
        <w:rPr>
          <w:rFonts w:hint="default" w:ascii="Times New Roman" w:hAnsi="Times New Roman" w:cs="Times New Roman"/>
        </w:rPr>
      </w:pPr>
      <w:r>
        <w:rPr>
          <w:rFonts w:hint="default" w:ascii="Times New Roman" w:hAnsi="Times New Roman" w:cs="Times New Roman"/>
        </w:rPr>
        <w:t>Merge sort was never as reliant on contiguous memory for its core operation. Its merge step naturally proceeds node-by-node through two lists, which is a pattern already suited to pointer chasing. As a result, merge sort's relative cache disadvantage compared to array-based versions is smaller — it 'loses less' than quick sort does when moving from arrays to linked lists.</w:t>
      </w:r>
    </w:p>
    <w:p w14:paraId="47D30A18">
      <w:pPr>
        <w:pStyle w:val="2"/>
        <w:spacing w:before="320" w:after="160"/>
        <w:rPr>
          <w:rFonts w:hint="default" w:ascii="Times New Roman" w:hAnsi="Times New Roman" w:cs="Times New Roman"/>
        </w:rPr>
      </w:pPr>
      <w:r>
        <w:rPr>
          <w:rFonts w:hint="default" w:ascii="Times New Roman" w:hAnsi="Times New Roman" w:cs="Times New Roman"/>
          <w:b/>
          <w:bCs/>
          <w:color w:val="1F3864"/>
        </w:rPr>
        <w:t>6. Time Complexity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400"/>
      </w:tblGrid>
      <w:tr w14:paraId="78AA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2E74B5"/>
            <w:tcMar>
              <w:top w:w="100" w:type="dxa"/>
              <w:left w:w="120" w:type="dxa"/>
              <w:bottom w:w="100" w:type="dxa"/>
              <w:right w:w="120" w:type="dxa"/>
            </w:tcMar>
            <w:vAlign w:val="center"/>
          </w:tcPr>
          <w:p w14:paraId="651325EA">
            <w:pPr>
              <w:jc w:val="center"/>
              <w:rPr>
                <w:rFonts w:hint="default" w:ascii="Times New Roman" w:hAnsi="Times New Roman" w:cs="Times New Roman"/>
              </w:rPr>
            </w:pPr>
            <w:r>
              <w:rPr>
                <w:rFonts w:hint="default" w:ascii="Times New Roman" w:hAnsi="Times New Roman" w:cs="Times New Roman"/>
                <w:b/>
                <w:bCs/>
                <w:color w:val="FFFFFF"/>
                <w:sz w:val="19"/>
                <w:szCs w:val="19"/>
              </w:rPr>
              <w:t>Aspect</w:t>
            </w:r>
          </w:p>
        </w:tc>
        <w:tc>
          <w:tcPr>
            <w:tcW w:w="3600" w:type="dxa"/>
            <w:shd w:val="clear" w:color="auto" w:fill="2E74B5"/>
            <w:tcMar>
              <w:top w:w="100" w:type="dxa"/>
              <w:left w:w="120" w:type="dxa"/>
              <w:bottom w:w="100" w:type="dxa"/>
              <w:right w:w="120" w:type="dxa"/>
            </w:tcMar>
            <w:vAlign w:val="center"/>
          </w:tcPr>
          <w:p w14:paraId="31CD7260">
            <w:pPr>
              <w:jc w:val="center"/>
              <w:rPr>
                <w:rFonts w:hint="default" w:ascii="Times New Roman" w:hAnsi="Times New Roman" w:cs="Times New Roman"/>
              </w:rPr>
            </w:pPr>
            <w:r>
              <w:rPr>
                <w:rFonts w:hint="default" w:ascii="Times New Roman" w:hAnsi="Times New Roman" w:cs="Times New Roman"/>
                <w:b/>
                <w:bCs/>
                <w:color w:val="FFFFFF"/>
                <w:sz w:val="19"/>
                <w:szCs w:val="19"/>
              </w:rPr>
              <w:t>Quick Sort (Linked List)</w:t>
            </w:r>
          </w:p>
        </w:tc>
        <w:tc>
          <w:tcPr>
            <w:tcW w:w="3400" w:type="dxa"/>
            <w:shd w:val="clear" w:color="auto" w:fill="2E74B5"/>
            <w:tcMar>
              <w:top w:w="100" w:type="dxa"/>
              <w:left w:w="120" w:type="dxa"/>
              <w:bottom w:w="100" w:type="dxa"/>
              <w:right w:w="120" w:type="dxa"/>
            </w:tcMar>
            <w:vAlign w:val="center"/>
          </w:tcPr>
          <w:p w14:paraId="094A92B4">
            <w:pPr>
              <w:jc w:val="center"/>
              <w:rPr>
                <w:rFonts w:hint="default" w:ascii="Times New Roman" w:hAnsi="Times New Roman" w:cs="Times New Roman"/>
              </w:rPr>
            </w:pPr>
            <w:r>
              <w:rPr>
                <w:rFonts w:hint="default" w:ascii="Times New Roman" w:hAnsi="Times New Roman" w:cs="Times New Roman"/>
                <w:b/>
                <w:bCs/>
                <w:color w:val="FFFFFF"/>
                <w:sz w:val="19"/>
                <w:szCs w:val="19"/>
              </w:rPr>
              <w:t>Merge Sort (Linked List)</w:t>
            </w:r>
          </w:p>
        </w:tc>
      </w:tr>
      <w:tr w14:paraId="75FC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0B445DCA">
            <w:pPr>
              <w:jc w:val="left"/>
              <w:rPr>
                <w:rFonts w:hint="default" w:ascii="Times New Roman" w:hAnsi="Times New Roman" w:cs="Times New Roman"/>
              </w:rPr>
            </w:pPr>
            <w:r>
              <w:rPr>
                <w:rFonts w:hint="default" w:ascii="Times New Roman" w:hAnsi="Times New Roman" w:cs="Times New Roman"/>
                <w:b w:val="0"/>
                <w:bCs w:val="0"/>
                <w:color w:val="000000"/>
                <w:sz w:val="18"/>
                <w:szCs w:val="18"/>
              </w:rPr>
              <w:t>Best case</w:t>
            </w:r>
          </w:p>
        </w:tc>
        <w:tc>
          <w:tcPr>
            <w:tcW w:w="3600" w:type="dxa"/>
            <w:shd w:val="clear" w:color="auto" w:fill="DCE6F1"/>
            <w:tcMar>
              <w:top w:w="100" w:type="dxa"/>
              <w:left w:w="120" w:type="dxa"/>
              <w:bottom w:w="100" w:type="dxa"/>
              <w:right w:w="120" w:type="dxa"/>
            </w:tcMar>
            <w:vAlign w:val="center"/>
          </w:tcPr>
          <w:p w14:paraId="61F3F4AF">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c>
          <w:tcPr>
            <w:tcW w:w="3400" w:type="dxa"/>
            <w:shd w:val="clear" w:color="auto" w:fill="DCE6F1"/>
            <w:tcMar>
              <w:top w:w="100" w:type="dxa"/>
              <w:left w:w="120" w:type="dxa"/>
              <w:bottom w:w="100" w:type="dxa"/>
              <w:right w:w="120" w:type="dxa"/>
            </w:tcMar>
            <w:vAlign w:val="center"/>
          </w:tcPr>
          <w:p w14:paraId="12523BBE">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r>
      <w:tr w14:paraId="7CCF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2934285B">
            <w:pPr>
              <w:jc w:val="left"/>
              <w:rPr>
                <w:rFonts w:hint="default" w:ascii="Times New Roman" w:hAnsi="Times New Roman" w:cs="Times New Roman"/>
              </w:rPr>
            </w:pPr>
            <w:r>
              <w:rPr>
                <w:rFonts w:hint="default" w:ascii="Times New Roman" w:hAnsi="Times New Roman" w:cs="Times New Roman"/>
                <w:b w:val="0"/>
                <w:bCs w:val="0"/>
                <w:color w:val="000000"/>
                <w:sz w:val="18"/>
                <w:szCs w:val="18"/>
              </w:rPr>
              <w:t>Average case</w:t>
            </w:r>
          </w:p>
        </w:tc>
        <w:tc>
          <w:tcPr>
            <w:tcW w:w="3600" w:type="dxa"/>
            <w:shd w:val="clear" w:color="auto" w:fill="FFFFFF"/>
            <w:tcMar>
              <w:top w:w="100" w:type="dxa"/>
              <w:left w:w="120" w:type="dxa"/>
              <w:bottom w:w="100" w:type="dxa"/>
              <w:right w:w="120" w:type="dxa"/>
            </w:tcMar>
            <w:vAlign w:val="center"/>
          </w:tcPr>
          <w:p w14:paraId="1824624A">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c>
          <w:tcPr>
            <w:tcW w:w="3400" w:type="dxa"/>
            <w:shd w:val="clear" w:color="auto" w:fill="FFFFFF"/>
            <w:tcMar>
              <w:top w:w="100" w:type="dxa"/>
              <w:left w:w="120" w:type="dxa"/>
              <w:bottom w:w="100" w:type="dxa"/>
              <w:right w:w="120" w:type="dxa"/>
            </w:tcMar>
            <w:vAlign w:val="center"/>
          </w:tcPr>
          <w:p w14:paraId="0B088E2A">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r>
      <w:tr w14:paraId="5679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643297E7">
            <w:pPr>
              <w:jc w:val="left"/>
              <w:rPr>
                <w:rFonts w:hint="default" w:ascii="Times New Roman" w:hAnsi="Times New Roman" w:cs="Times New Roman"/>
              </w:rPr>
            </w:pPr>
            <w:r>
              <w:rPr>
                <w:rFonts w:hint="default" w:ascii="Times New Roman" w:hAnsi="Times New Roman" w:cs="Times New Roman"/>
                <w:b w:val="0"/>
                <w:bCs w:val="0"/>
                <w:color w:val="000000"/>
                <w:sz w:val="18"/>
                <w:szCs w:val="18"/>
              </w:rPr>
              <w:t>Worst case</w:t>
            </w:r>
          </w:p>
        </w:tc>
        <w:tc>
          <w:tcPr>
            <w:tcW w:w="3600" w:type="dxa"/>
            <w:shd w:val="clear" w:color="auto" w:fill="DCE6F1"/>
            <w:tcMar>
              <w:top w:w="100" w:type="dxa"/>
              <w:left w:w="120" w:type="dxa"/>
              <w:bottom w:w="100" w:type="dxa"/>
              <w:right w:w="120" w:type="dxa"/>
            </w:tcMar>
            <w:vAlign w:val="center"/>
          </w:tcPr>
          <w:p w14:paraId="3C814B8F">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O(n^2)</w:t>
            </w:r>
          </w:p>
        </w:tc>
        <w:tc>
          <w:tcPr>
            <w:tcW w:w="3400" w:type="dxa"/>
            <w:shd w:val="clear" w:color="auto" w:fill="DCE6F1"/>
            <w:tcMar>
              <w:top w:w="100" w:type="dxa"/>
              <w:left w:w="120" w:type="dxa"/>
              <w:bottom w:w="100" w:type="dxa"/>
              <w:right w:w="120" w:type="dxa"/>
            </w:tcMar>
            <w:vAlign w:val="center"/>
          </w:tcPr>
          <w:p w14:paraId="748B42EF">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r>
      <w:tr w14:paraId="217B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2DA86E48">
            <w:pPr>
              <w:jc w:val="left"/>
              <w:rPr>
                <w:rFonts w:hint="default" w:ascii="Times New Roman" w:hAnsi="Times New Roman" w:cs="Times New Roman"/>
              </w:rPr>
            </w:pPr>
            <w:r>
              <w:rPr>
                <w:rFonts w:hint="default" w:ascii="Times New Roman" w:hAnsi="Times New Roman" w:cs="Times New Roman"/>
                <w:b w:val="0"/>
                <w:bCs w:val="0"/>
                <w:color w:val="000000"/>
                <w:sz w:val="18"/>
                <w:szCs w:val="18"/>
              </w:rPr>
              <w:t>Cause of worst case</w:t>
            </w:r>
          </w:p>
        </w:tc>
        <w:tc>
          <w:tcPr>
            <w:tcW w:w="3600" w:type="dxa"/>
            <w:shd w:val="clear" w:color="auto" w:fill="FFFFFF"/>
            <w:tcMar>
              <w:top w:w="100" w:type="dxa"/>
              <w:left w:w="120" w:type="dxa"/>
              <w:bottom w:w="100" w:type="dxa"/>
              <w:right w:w="120" w:type="dxa"/>
            </w:tcMar>
            <w:vAlign w:val="center"/>
          </w:tcPr>
          <w:p w14:paraId="15197AF2">
            <w:pPr>
              <w:jc w:val="left"/>
              <w:rPr>
                <w:rFonts w:hint="default" w:ascii="Times New Roman" w:hAnsi="Times New Roman" w:cs="Times New Roman"/>
              </w:rPr>
            </w:pPr>
            <w:r>
              <w:rPr>
                <w:rFonts w:hint="default" w:ascii="Times New Roman" w:hAnsi="Times New Roman" w:cs="Times New Roman"/>
                <w:b w:val="0"/>
                <w:bCs w:val="0"/>
                <w:color w:val="000000"/>
                <w:sz w:val="18"/>
                <w:szCs w:val="18"/>
              </w:rPr>
              <w:t>Poor pivot choice (e.g., sorted/reverse-sorted input with head-as-pivot)</w:t>
            </w:r>
          </w:p>
        </w:tc>
        <w:tc>
          <w:tcPr>
            <w:tcW w:w="3400" w:type="dxa"/>
            <w:shd w:val="clear" w:color="auto" w:fill="FFFFFF"/>
            <w:tcMar>
              <w:top w:w="100" w:type="dxa"/>
              <w:left w:w="120" w:type="dxa"/>
              <w:bottom w:w="100" w:type="dxa"/>
              <w:right w:w="120" w:type="dxa"/>
            </w:tcMar>
            <w:vAlign w:val="center"/>
          </w:tcPr>
          <w:p w14:paraId="10648367">
            <w:pPr>
              <w:jc w:val="left"/>
              <w:rPr>
                <w:rFonts w:hint="default" w:ascii="Times New Roman" w:hAnsi="Times New Roman" w:cs="Times New Roman"/>
              </w:rPr>
            </w:pPr>
            <w:r>
              <w:rPr>
                <w:rFonts w:hint="default" w:ascii="Times New Roman" w:hAnsi="Times New Roman" w:cs="Times New Roman"/>
                <w:b w:val="0"/>
                <w:bCs w:val="0"/>
                <w:color w:val="000000"/>
                <w:sz w:val="18"/>
                <w:szCs w:val="18"/>
              </w:rPr>
              <w:t>Cannot occur — the list is always halved evenly</w:t>
            </w:r>
          </w:p>
        </w:tc>
      </w:tr>
      <w:tr w14:paraId="3869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2B03C5B6">
            <w:pPr>
              <w:jc w:val="left"/>
              <w:rPr>
                <w:rFonts w:hint="default" w:ascii="Times New Roman" w:hAnsi="Times New Roman" w:cs="Times New Roman"/>
              </w:rPr>
            </w:pPr>
            <w:r>
              <w:rPr>
                <w:rFonts w:hint="default" w:ascii="Times New Roman" w:hAnsi="Times New Roman" w:cs="Times New Roman"/>
                <w:b w:val="0"/>
                <w:bCs w:val="0"/>
                <w:color w:val="000000"/>
                <w:sz w:val="18"/>
                <w:szCs w:val="18"/>
              </w:rPr>
              <w:t>Extra space (linked list)</w:t>
            </w:r>
          </w:p>
        </w:tc>
        <w:tc>
          <w:tcPr>
            <w:tcW w:w="3600" w:type="dxa"/>
            <w:shd w:val="clear" w:color="auto" w:fill="DCE6F1"/>
            <w:tcMar>
              <w:top w:w="100" w:type="dxa"/>
              <w:left w:w="120" w:type="dxa"/>
              <w:bottom w:w="100" w:type="dxa"/>
              <w:right w:w="120" w:type="dxa"/>
            </w:tcMar>
            <w:vAlign w:val="center"/>
          </w:tcPr>
          <w:p w14:paraId="5C6FDC2E">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O(log n) avg stack, O(n) worst-case stack</w:t>
            </w:r>
          </w:p>
        </w:tc>
        <w:tc>
          <w:tcPr>
            <w:tcW w:w="3400" w:type="dxa"/>
            <w:shd w:val="clear" w:color="auto" w:fill="DCE6F1"/>
            <w:tcMar>
              <w:top w:w="100" w:type="dxa"/>
              <w:left w:w="120" w:type="dxa"/>
              <w:bottom w:w="100" w:type="dxa"/>
              <w:right w:w="120" w:type="dxa"/>
            </w:tcMar>
            <w:vAlign w:val="center"/>
          </w:tcPr>
          <w:p w14:paraId="226569D3">
            <w:pPr>
              <w:jc w:val="left"/>
              <w:rPr>
                <w:rFonts w:hint="default" w:ascii="Times New Roman" w:hAnsi="Times New Roman" w:cs="Times New Roman"/>
              </w:rPr>
            </w:pPr>
            <w:r>
              <w:rPr>
                <w:rFonts w:hint="default" w:ascii="Times New Roman" w:hAnsi="Times New Roman" w:cs="Times New Roman"/>
                <w:b w:val="0"/>
                <w:bCs w:val="0"/>
                <w:color w:val="000000"/>
                <w:sz w:val="18"/>
                <w:szCs w:val="18"/>
              </w:rPr>
              <w:t>O(log n) stack, no auxiliary array</w:t>
            </w:r>
          </w:p>
        </w:tc>
      </w:tr>
      <w:tr w14:paraId="5C1E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49434E91">
            <w:pPr>
              <w:jc w:val="left"/>
              <w:rPr>
                <w:rFonts w:hint="default" w:ascii="Times New Roman" w:hAnsi="Times New Roman" w:cs="Times New Roman"/>
              </w:rPr>
            </w:pPr>
            <w:r>
              <w:rPr>
                <w:rFonts w:hint="default" w:ascii="Times New Roman" w:hAnsi="Times New Roman" w:cs="Times New Roman"/>
                <w:b w:val="0"/>
                <w:bCs w:val="0"/>
                <w:color w:val="000000"/>
                <w:sz w:val="18"/>
                <w:szCs w:val="18"/>
              </w:rPr>
              <w:t>Stability</w:t>
            </w:r>
          </w:p>
        </w:tc>
        <w:tc>
          <w:tcPr>
            <w:tcW w:w="3600" w:type="dxa"/>
            <w:shd w:val="clear" w:color="auto" w:fill="FFFFFF"/>
            <w:tcMar>
              <w:top w:w="100" w:type="dxa"/>
              <w:left w:w="120" w:type="dxa"/>
              <w:bottom w:w="100" w:type="dxa"/>
              <w:right w:w="120" w:type="dxa"/>
            </w:tcMar>
            <w:vAlign w:val="center"/>
          </w:tcPr>
          <w:p w14:paraId="7E1B867F">
            <w:pPr>
              <w:jc w:val="left"/>
              <w:rPr>
                <w:rFonts w:hint="default" w:ascii="Times New Roman" w:hAnsi="Times New Roman" w:cs="Times New Roman"/>
              </w:rPr>
            </w:pPr>
            <w:r>
              <w:rPr>
                <w:rFonts w:hint="default" w:ascii="Times New Roman" w:hAnsi="Times New Roman" w:cs="Times New Roman"/>
                <w:b w:val="0"/>
                <w:bCs w:val="0"/>
                <w:color w:val="000000"/>
                <w:sz w:val="18"/>
                <w:szCs w:val="18"/>
              </w:rPr>
              <w:t>Not stable</w:t>
            </w:r>
          </w:p>
        </w:tc>
        <w:tc>
          <w:tcPr>
            <w:tcW w:w="3400" w:type="dxa"/>
            <w:shd w:val="clear" w:color="auto" w:fill="FFFFFF"/>
            <w:tcMar>
              <w:top w:w="100" w:type="dxa"/>
              <w:left w:w="120" w:type="dxa"/>
              <w:bottom w:w="100" w:type="dxa"/>
              <w:right w:w="120" w:type="dxa"/>
            </w:tcMar>
            <w:vAlign w:val="center"/>
          </w:tcPr>
          <w:p w14:paraId="3E515ABA">
            <w:pPr>
              <w:jc w:val="left"/>
              <w:rPr>
                <w:rFonts w:hint="default" w:ascii="Times New Roman" w:hAnsi="Times New Roman" w:cs="Times New Roman"/>
              </w:rPr>
            </w:pPr>
            <w:r>
              <w:rPr>
                <w:rFonts w:hint="default" w:ascii="Times New Roman" w:hAnsi="Times New Roman" w:cs="Times New Roman"/>
                <w:b w:val="0"/>
                <w:bCs w:val="0"/>
                <w:color w:val="000000"/>
                <w:sz w:val="18"/>
                <w:szCs w:val="18"/>
              </w:rPr>
              <w:t>Stable</w:t>
            </w:r>
          </w:p>
        </w:tc>
      </w:tr>
    </w:tbl>
    <w:p w14:paraId="29EA0448">
      <w:pPr>
        <w:spacing w:after="160" w:line="300" w:lineRule="auto"/>
        <w:jc w:val="both"/>
        <w:rPr>
          <w:rFonts w:hint="default" w:ascii="Times New Roman" w:hAnsi="Times New Roman" w:cs="Times New Roman"/>
        </w:rPr>
      </w:pPr>
      <w:r>
        <w:rPr>
          <w:rFonts w:hint="default" w:ascii="Times New Roman" w:hAnsi="Times New Roman" w:cs="Times New Roman"/>
        </w:rPr>
        <w:t>For 10 million nodes, the gap between O(n log n) and O(n^2) is enormous — roughly 2.3 x 10^8 operations versus 10^14 operations — so a worst-case quick sort run is not a minor inefficiency but a practical failure. Because pivot selection on a linked list is constrained (efficient random access to a 'median' element is not available), the probability of repeatedly hitting poor pivots is higher than on arrays, where median-of-three or randomized pivoting is cheap and effective. Merge sort's O(n log n) bound holds unconditionally, independent of the input's initial order.</w:t>
      </w:r>
    </w:p>
    <w:p w14:paraId="518D5DC7">
      <w:pPr>
        <w:pStyle w:val="2"/>
        <w:spacing w:before="320" w:after="160"/>
        <w:rPr>
          <w:rFonts w:hint="default" w:ascii="Times New Roman" w:hAnsi="Times New Roman" w:cs="Times New Roman"/>
        </w:rPr>
      </w:pPr>
      <w:r>
        <w:rPr>
          <w:rFonts w:hint="default" w:ascii="Times New Roman" w:hAnsi="Times New Roman" w:cs="Times New Roman"/>
          <w:b/>
          <w:bCs/>
          <w:color w:val="1F3864"/>
        </w:rPr>
        <w:t>7. Which Algorithm Is Preferable for Linked Lists, and Why</w:t>
      </w:r>
    </w:p>
    <w:p w14:paraId="49EE7182">
      <w:pPr>
        <w:spacing w:after="160" w:line="300" w:lineRule="auto"/>
        <w:jc w:val="both"/>
        <w:rPr>
          <w:rFonts w:hint="default" w:ascii="Times New Roman" w:hAnsi="Times New Roman" w:cs="Times New Roman"/>
        </w:rPr>
      </w:pPr>
      <w:r>
        <w:rPr>
          <w:rFonts w:hint="default" w:ascii="Times New Roman" w:hAnsi="Times New Roman" w:cs="Times New Roman"/>
        </w:rPr>
        <w:t>Merge sort is clearly preferable for sorting a large linked list such as one with 10 million nodes. The reasons are:</w:t>
      </w:r>
    </w:p>
    <w:p w14:paraId="4EB34FC7">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Guaranteed O(n log n) performance regardless of the initial ordering of the data, eliminating the risk of an O(n^2) worst case that quick sort can hit on a linked list.</w:t>
      </w:r>
    </w:p>
    <w:p w14:paraId="75522090">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No auxiliary array is required — the merge step is done purely through pointer relinking, so merge sort loses its usual array-based memory disadvantage (the O(n) buffer) when applied to linked lists.</w:t>
      </w:r>
    </w:p>
    <w:p w14:paraId="71EB3F30">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Bounded, predictable recursion depth of O(log n), which avoids stack-overflow risk on very large inputs.</w:t>
      </w:r>
    </w:p>
    <w:p w14:paraId="2E08C1EB">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Merge sort is naturally suited to sequential, pointer-based access patterns, which is exactly how linked lists must be traversed; quick sort's main real-world strength — cache-friendly in-place partitioning — depends on random access that linked lists do not provide.</w:t>
      </w:r>
    </w:p>
    <w:p w14:paraId="7E4D20CE">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Stability, which can be a secondary but useful benefit when equal keys must preserve their relative order.</w:t>
      </w:r>
    </w:p>
    <w:p w14:paraId="6A9E7786">
      <w:pPr>
        <w:spacing w:after="160" w:line="300" w:lineRule="auto"/>
        <w:jc w:val="both"/>
        <w:rPr>
          <w:rFonts w:hint="default" w:ascii="Times New Roman" w:hAnsi="Times New Roman" w:cs="Times New Roman"/>
        </w:rPr>
      </w:pPr>
      <w:r>
        <w:rPr>
          <w:rFonts w:hint="default" w:ascii="Times New Roman" w:hAnsi="Times New Roman" w:cs="Times New Roman"/>
        </w:rPr>
        <w:t>In short, linked lists remove quick sort's biggest advantage (cache-friendly, low-overhead in-place partitioning via indexing) while simultaneously removing merge sort's biggest disadvantage (the need for O(n) extra array space during merging). This shifts the balance decisively toward merge sort for linked lists.</w:t>
      </w:r>
    </w:p>
    <w:p w14:paraId="19172E66">
      <w:pPr>
        <w:pStyle w:val="2"/>
        <w:spacing w:before="320" w:after="160"/>
        <w:rPr>
          <w:rFonts w:hint="default" w:ascii="Times New Roman" w:hAnsi="Times New Roman" w:cs="Times New Roman"/>
        </w:rPr>
      </w:pPr>
      <w:r>
        <w:rPr>
          <w:rFonts w:hint="default" w:ascii="Times New Roman" w:hAnsi="Times New Roman" w:cs="Times New Roman"/>
          <w:b/>
          <w:bCs/>
          <w:color w:val="1F3864"/>
        </w:rPr>
        <w:t>8. How the Answer Changes for Arrays</w:t>
      </w:r>
    </w:p>
    <w:p w14:paraId="243392BC">
      <w:pPr>
        <w:spacing w:after="160" w:line="300" w:lineRule="auto"/>
        <w:jc w:val="both"/>
        <w:rPr>
          <w:rFonts w:hint="default" w:ascii="Times New Roman" w:hAnsi="Times New Roman" w:cs="Times New Roman"/>
        </w:rPr>
      </w:pPr>
      <w:r>
        <w:rPr>
          <w:rFonts w:hint="default" w:ascii="Times New Roman" w:hAnsi="Times New Roman" w:cs="Times New Roman"/>
        </w:rPr>
        <w:t>For arrays, the trade-offs reverse considerably, and quick sort is generally preferred in practice for large, in-memory array sorting:</w:t>
      </w:r>
    </w:p>
    <w:p w14:paraId="7BAFA5BF">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Random access lets quick sort use efficient pivot strategies (median-of-three, randomized pivot) that keep partitions balanced and make the O(n^2) worst case extremely unlikely in practice.</w:t>
      </w:r>
    </w:p>
    <w:p w14:paraId="5B8D1668">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Quick sort partitions arrays truly in-place, needing only O(log n) auxiliary stack space, whereas merge sort on arrays needs a full O(n) auxiliary buffer to merge — for 10 million integers this can mean tens of megabytes of extra memory.</w:t>
      </w:r>
    </w:p>
    <w:p w14:paraId="1E405E41">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Contiguous array storage gives quick sort's sequential scanning and swapping excellent cache locality, which is usually its single biggest real-world performance advantage over merge sort on arrays.</w:t>
      </w:r>
    </w:p>
    <w:p w14:paraId="63071711">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Consequently, most general-purpose library sort routines for arrays (e.g., introsort, used in C++'s std::sort) are quick-sort-based hybrids, switching to heap sort only to bound the worst case, and switching to insertion sort for small partitions.</w:t>
      </w:r>
    </w:p>
    <w:p w14:paraId="28E29206">
      <w:pPr>
        <w:pStyle w:val="16"/>
        <w:numPr>
          <w:ilvl w:val="0"/>
          <w:numId w:val="1"/>
        </w:numPr>
        <w:spacing w:after="100" w:line="300" w:lineRule="auto"/>
        <w:rPr>
          <w:rFonts w:hint="default" w:ascii="Times New Roman" w:hAnsi="Times New Roman" w:cs="Times New Roman"/>
        </w:rPr>
      </w:pPr>
      <w:r>
        <w:rPr>
          <w:rFonts w:hint="default" w:ascii="Times New Roman" w:hAnsi="Times New Roman" w:cs="Times New Roman"/>
        </w:rPr>
        <w:t>Merge sort remains preferable for arrays when stability is required, when worst-case guarantees are mandatory (e.g., real-time systems), or when the data is too large to fit in memory and must be sorted externally, since merge sort adapts naturally to external, chunk-based merging.</w:t>
      </w:r>
    </w:p>
    <w:p w14:paraId="23B274D6">
      <w:pPr>
        <w:spacing w:after="160" w:line="300" w:lineRule="auto"/>
        <w:jc w:val="both"/>
        <w:rPr>
          <w:rFonts w:hint="default" w:ascii="Times New Roman" w:hAnsi="Times New Roman" w:cs="Times New Roman"/>
        </w:rPr>
      </w:pPr>
      <w:r>
        <w:rPr>
          <w:rFonts w:hint="default" w:ascii="Times New Roman" w:hAnsi="Times New Roman" w:cs="Times New Roman"/>
        </w:rPr>
        <w:t>In summary, the deciding factors flip when moving from linked lists to arrays: linked lists remove quick sort's cache/indexing advantage and remove merge sort's extra-space penalty, favoring merge sort; arrays restore quick sort's cache-friendly, low-memory in-place partitioning while imposing a real O(n) memory cost on merge sort, favoring quick sort in most general-purpose situations.</w:t>
      </w:r>
    </w:p>
    <w:p w14:paraId="6E15F8AE">
      <w:pPr>
        <w:pStyle w:val="2"/>
        <w:spacing w:before="320" w:after="160"/>
        <w:rPr>
          <w:rFonts w:hint="default" w:ascii="Times New Roman" w:hAnsi="Times New Roman" w:cs="Times New Roman"/>
        </w:rPr>
      </w:pPr>
      <w:r>
        <w:rPr>
          <w:rFonts w:hint="default" w:ascii="Times New Roman" w:hAnsi="Times New Roman" w:cs="Times New Roman"/>
          <w:b/>
          <w:bCs/>
          <w:color w:val="1F3864"/>
        </w:rPr>
        <w:t>9. Conclusion</w:t>
      </w:r>
    </w:p>
    <w:p w14:paraId="15FA5530">
      <w:pPr>
        <w:spacing w:after="160" w:line="300" w:lineRule="auto"/>
        <w:jc w:val="both"/>
        <w:rPr>
          <w:rFonts w:hint="default" w:ascii="Times New Roman" w:hAnsi="Times New Roman" w:cs="Times New Roman"/>
        </w:rPr>
      </w:pPr>
      <w:r>
        <w:rPr>
          <w:rFonts w:hint="default" w:ascii="Times New Roman" w:hAnsi="Times New Roman" w:cs="Times New Roman"/>
        </w:rPr>
        <w:t>For a large linked list of 10 million nodes, merge sort is the preferable algorithm: it guarantees O(n log n) time regardless of input order, needs no auxiliary array because merging is done via pointer relinking, and keeps recursion depth bounded to O(log n). Quick sort, while theoretically competitive on average, risks O(n^2) behavior on linked lists because efficient pivot selection is hampered by the lack of random access, and it loses its main practical advantage — cache-friendly in-place partitioning — once data is no longer contiguous in memory. For arrays, however, quick sort typically regains the advantage due to true in-place partitioning, strong cache locality, and low memory overhead, making it the more common choice in general-purpose array sorting, while merge sort is reserved for cases needing stability, guaranteed worst-case performance, or external sorting.</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503B">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6BCA7">
    <w:pPr>
      <w:jc w:val="right"/>
    </w:pPr>
    <w:r>
      <w:rPr>
        <w:color w:val="888888"/>
        <w:sz w:val="16"/>
        <w:szCs w:val="16"/>
      </w:rPr>
      <w:t>Elakati Renu Sree | 192511035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09213310"/>
    <w:rsid w:val="1E281D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959</Words>
  <Characters>5207</Characters>
  <TotalTime>1</TotalTime>
  <ScaleCrop>false</ScaleCrop>
  <LinksUpToDate>false</LinksUpToDate>
  <CharactersWithSpaces>6098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2026-08-18T04:28:00Z</dcterms:created>
  <dc:creator>Un-named</dc:creator>
  <cp:lastModifiedBy>Elakati Renu</cp:lastModifiedBy>
  <dcterms:modified xsi:type="dcterms:W3CDTF">2026-08-18T04:31:44Z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eyJoZGlkIjoiMWI2M2RjYTdmYmNmODI5OWJkNzVhNzQyYWEwOTEzN2UiLCJ1c2VySWQiOiI1Njc2MTI0MzI4MTIifQ==</vt:lpwstr>
  </property>
  <property fmtid="{D5CDD505-2E9C-101B-9397-08002B2CF9AE}" pid="3" name="KSOProductBuildVer">
    <vt:lpwstr>1033-12.1.0.28032</vt:lpwstr>
  </property>
  <property fmtid="{D5CDD505-2E9C-101B-9397-08002B2CF9AE}" pid="4" name="ICV">
    <vt:lpwstr>7CFE1512E5B04645A0CDC44BAF65D732_13</vt:lpwstr>
  </property>
</Properties>
</file>