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70200">
      <w:pPr>
        <w:pStyle w:val="2"/>
      </w:pPr>
      <w:bookmarkStart w:id="0" w:name="_GoBack"/>
      <w:r>
        <w:t>Preprint Papers: Guidelines</w:t>
      </w:r>
      <w:bookmarkEnd w:id="0"/>
      <w:r>
        <w:t xml:space="preserve"> for Writing and Full Publication Process</w:t>
      </w:r>
    </w:p>
    <w:p w14:paraId="0EBD8107">
      <w:pPr>
        <w:pStyle w:val="16"/>
      </w:pPr>
      <w:r>
        <w:t>In an era where academic communication increasingly prioritizes efficiency, preprint papers have become a key choice for researchers, thanks to their advantages in quickly disseminating research findings, securing academic priority, and facilitating cross-disciplinary exchanges. However, preprints are not formally published results, and their writing logic and publication processes follow clear norms that researchers must accurately grasp.</w:t>
      </w:r>
    </w:p>
    <w:p w14:paraId="244D4E50">
      <w:pPr>
        <w:pStyle w:val="3"/>
      </w:pPr>
      <w:r>
        <w:t>I. Preprint Papers: Definition and Core Value</w:t>
      </w:r>
    </w:p>
    <w:p w14:paraId="3157BB7A">
      <w:pPr>
        <w:pStyle w:val="16"/>
      </w:pPr>
      <w:r>
        <w:t>A preprint paper refers to an academic manuscript containing complete research content that researchers voluntarily publish on a public preprint server before submitting it to a formal academic journal. Its core value lies in "timeliness" – it allows important research findings to enter the academic community's perspective promptly, avoiding delays caused by the lengthy peer review cycles of journals. Meanwhile, it enables researchers to obtain early feedback through public dissemination, providing references for revising and improving the manuscript for subsequent journal submissions.</w:t>
      </w:r>
    </w:p>
    <w:p w14:paraId="59CE2622">
      <w:pPr>
        <w:pStyle w:val="16"/>
      </w:pPr>
      <w:r>
        <w:t>It is important to clarify that preprints have not undergone peer review and do not possess the "academic certification validity" of results published in formal academic journals. They cannot serve as core achievement evidence in scenarios such as professional title evaluation or project acceptance, but they can be used as important proof of research progress.</w:t>
      </w:r>
    </w:p>
    <w:p w14:paraId="14A30185">
      <w:pPr>
        <w:pStyle w:val="3"/>
      </w:pPr>
      <w:r>
        <w:t>II. Writing Preprint Papers: Norms and Key Points</w:t>
      </w:r>
    </w:p>
    <w:p w14:paraId="2DDFFD6F">
      <w:pPr>
        <w:pStyle w:val="16"/>
      </w:pPr>
      <w:r>
        <w:t>Although preprints have not undergone journal review, they must adhere to basic academic writing principles to ensure complete content, clear logic, and rigorous expression, laying the groundwork for subsequent dissemination and journal submissions.</w:t>
      </w:r>
    </w:p>
    <w:p w14:paraId="5346701D">
      <w:pPr>
        <w:pStyle w:val="4"/>
      </w:pPr>
      <w:r>
        <w:t>(1) Structural Framework: Consistent with Formal Papers</w:t>
      </w:r>
    </w:p>
    <w:p w14:paraId="719EFB98">
      <w:pPr>
        <w:pStyle w:val="16"/>
      </w:pPr>
      <w:r>
        <w:t>Preprints must include the standard core modules of academic papers, without exception:</w:t>
      </w:r>
    </w:p>
    <w:p w14:paraId="1EEAA3DF">
      <w:pPr>
        <w:pStyle w:val="16"/>
        <w:numPr>
          <w:ilvl w:val="0"/>
          <w:numId w:val="1"/>
        </w:numPr>
      </w:pPr>
      <w:r>
        <w:rPr>
          <w:b/>
          <w:bCs/>
        </w:rPr>
        <w:t>Title and Authors</w:t>
      </w:r>
      <w:r>
        <w:t>: The title should accurately summarize the core content of the research and avoid vague expressions. The author list should be ordered by contribution, with all authors' affiliations and corresponding authors' contact information clearly indicated.</w:t>
      </w:r>
    </w:p>
    <w:p w14:paraId="7882D585">
      <w:pPr>
        <w:pStyle w:val="16"/>
        <w:numPr>
          <w:ilvl w:val="0"/>
          <w:numId w:val="1"/>
        </w:numPr>
      </w:pPr>
      <w:r>
        <w:rPr>
          <w:b/>
          <w:bCs/>
        </w:rPr>
        <w:t>Abstract and Keywords</w:t>
      </w:r>
      <w:r>
        <w:t>: The abstract should condense the research background, objectives, methods, core results, and conclusions, limited to 300-500 words. 3-5 core disciplinary terms should be selected as keywords for easy retrieval.</w:t>
      </w:r>
    </w:p>
    <w:p w14:paraId="1A7421CC">
      <w:pPr>
        <w:pStyle w:val="16"/>
        <w:numPr>
          <w:ilvl w:val="0"/>
          <w:numId w:val="1"/>
        </w:numPr>
      </w:pPr>
      <w:r>
        <w:rPr>
          <w:b/>
          <w:bCs/>
        </w:rPr>
        <w:t>Main Content</w:t>
      </w:r>
      <w:r>
        <w:t>: Comprises the introduction (research background, problem formulation, literature review, research objectives), methods (experimental design, data sources, analytical tools, operation steps), results (objective presentation of data, charts, and core findings), and discussion (interpretation of result significance, comparison with existing research, and analysis of limitations).</w:t>
      </w:r>
    </w:p>
    <w:p w14:paraId="7B79AB34">
      <w:pPr>
        <w:pStyle w:val="16"/>
        <w:numPr>
          <w:ilvl w:val="0"/>
          <w:numId w:val="1"/>
        </w:numPr>
      </w:pPr>
      <w:r>
        <w:rPr>
          <w:b/>
          <w:bCs/>
        </w:rPr>
        <w:t>Concluding Sections</w:t>
      </w:r>
      <w:r>
        <w:t>: Includes conclusions (summarizing core viewpoints and clarifying research value and prospects) and references (documented in a standardized format to ensure traceability). Some disciplines require additional supplementary content such as "ethical statements" and "data availability statements".</w:t>
      </w:r>
    </w:p>
    <w:p w14:paraId="6A21024D">
      <w:pPr>
        <w:pStyle w:val="4"/>
      </w:pPr>
      <w:r>
        <w:t>(2) Content Expression: Emphasizing "Transparency" and "Differentiation"</w:t>
      </w:r>
    </w:p>
    <w:p w14:paraId="4D31B133">
      <w:pPr>
        <w:pStyle w:val="16"/>
        <w:numPr>
          <w:ilvl w:val="0"/>
          <w:numId w:val="1"/>
        </w:numPr>
      </w:pPr>
      <w:r>
        <w:rPr>
          <w:b/>
          <w:bCs/>
        </w:rPr>
        <w:t>Clearly Mark Preprint Attribute</w:t>
      </w:r>
      <w:r>
        <w:t>: It is mandatory to prominently mark "Preprint. Not peer reviewed." below the title or at the beginning of the abstract to prevent readers from mistaking it for a formally published result. This is a core norm for preprint writing.</w:t>
      </w:r>
    </w:p>
    <w:p w14:paraId="740863AB">
      <w:pPr>
        <w:pStyle w:val="16"/>
        <w:numPr>
          <w:ilvl w:val="0"/>
          <w:numId w:val="1"/>
        </w:numPr>
      </w:pPr>
      <w:r>
        <w:rPr>
          <w:b/>
          <w:bCs/>
        </w:rPr>
        <w:t>Transparency of Data and Methods</w:t>
      </w:r>
      <w:r>
        <w:t>: Clearly present the source of raw data, the number of experimental repetitions, statistical analysis methods, and software versions (e.g., R 4.2.1, SPSS 26.0). Some preprint servers encourage attaching supplementary data files to enhance the verifiability of the research.</w:t>
      </w:r>
    </w:p>
    <w:p w14:paraId="6695493B">
      <w:pPr>
        <w:pStyle w:val="16"/>
        <w:numPr>
          <w:ilvl w:val="0"/>
          <w:numId w:val="1"/>
        </w:numPr>
      </w:pPr>
      <w:r>
        <w:rPr>
          <w:b/>
          <w:bCs/>
        </w:rPr>
        <w:t>Language and Format Norms</w:t>
      </w:r>
      <w:r>
        <w:t>: Use rigorous academic written language and avoid subjective speculative expressions. The manuscript can be formatted in advance according to the requirements of the target journal (e.g., font, line spacing, figure/table numbering) to reduce revision costs for subsequent journal submissions.</w:t>
      </w:r>
    </w:p>
    <w:p w14:paraId="6B3D99EE">
      <w:pPr>
        <w:pStyle w:val="3"/>
      </w:pPr>
      <w:r>
        <w:t>III. Publishing Preprint Papers: Process and Platform Selection</w:t>
      </w:r>
    </w:p>
    <w:p w14:paraId="624BE39E">
      <w:pPr>
        <w:pStyle w:val="16"/>
      </w:pPr>
      <w:r>
        <w:t>The publication process of preprints focuses on "rapid disclosure", with an overall concise and efficient workflow. The key lies in selecting the right platform and submitting in a standardized manner.</w:t>
      </w:r>
    </w:p>
    <w:p w14:paraId="1038C9C8">
      <w:pPr>
        <w:pStyle w:val="4"/>
      </w:pPr>
      <w:r>
        <w:t>(1) Step 1: Match Disciplines to Select an Appropriate Platform</w:t>
      </w:r>
    </w:p>
    <w:p w14:paraId="79B48E63">
      <w:pPr>
        <w:pStyle w:val="16"/>
      </w:pPr>
      <w:r>
        <w:t>Preprint servers are divided into comprehensive and discipline-specific types based on their coverage scope. Researchers must select them accurately according to their research fields to ensure that results reach the target academic audience:</w:t>
      </w:r>
    </w:p>
    <w:p w14:paraId="1A491074">
      <w:pPr>
        <w:pStyle w:val="16"/>
        <w:numPr>
          <w:ilvl w:val="0"/>
          <w:numId w:val="2"/>
        </w:numPr>
      </w:pPr>
      <w:r>
        <w:rPr>
          <w:b/>
          <w:bCs/>
        </w:rPr>
        <w:t>Comprehensive Platforms</w:t>
      </w:r>
      <w:r>
        <w:t>: arXiv (focusing on basic disciplines such as physics, mathematics, and computer science, with the longest history and widest influence); SSRN (specializing in fields like social sciences, business, and law).</w:t>
      </w:r>
    </w:p>
    <w:p w14:paraId="4A456200">
      <w:pPr>
        <w:pStyle w:val="16"/>
        <w:numPr>
          <w:ilvl w:val="0"/>
          <w:numId w:val="2"/>
        </w:numPr>
      </w:pPr>
      <w:r>
        <w:rPr>
          <w:b/>
          <w:bCs/>
        </w:rPr>
        <w:t>Discipline-Specific Platforms</w:t>
      </w:r>
      <w:r>
        <w:t>: bioRxiv (life sciences), medRxiv (medicine and public health), ChemRxiv (chemistry), EarthArXiv (earth sciences), etc. These platforms have more professional readership and review communities.</w:t>
      </w:r>
    </w:p>
    <w:p w14:paraId="0087593D">
      <w:pPr>
        <w:pStyle w:val="4"/>
      </w:pPr>
      <w:r>
        <w:t>(2) Step 2: Standardized Submission and Information Filling</w:t>
      </w:r>
    </w:p>
    <w:p w14:paraId="50B141D2">
      <w:pPr>
        <w:pStyle w:val="16"/>
        <w:numPr>
          <w:ilvl w:val="0"/>
          <w:numId w:val="1"/>
        </w:numPr>
      </w:pPr>
      <w:r>
        <w:rPr>
          <w:b/>
          <w:bCs/>
        </w:rPr>
        <w:t>Account Registration</w:t>
      </w:r>
      <w:r>
        <w:t>: Complete personal/institutional account registration on the selected platform, and improve basic researcher information (name, affiliation, research direction). Some platforms support ORCID association to enhance the identification of academic identities.</w:t>
      </w:r>
    </w:p>
    <w:p w14:paraId="75DFD377">
      <w:pPr>
        <w:pStyle w:val="16"/>
        <w:numPr>
          <w:ilvl w:val="0"/>
          <w:numId w:val="1"/>
        </w:numPr>
      </w:pPr>
      <w:r>
        <w:rPr>
          <w:b/>
          <w:bCs/>
        </w:rPr>
        <w:t>Upload Manuscript and Metadata</w:t>
      </w:r>
      <w:r>
        <w:t>: Upload the paper in PDF format (some platforms support Word format) as required by the platform, and accurately fill in metadata – including the paper title, author information, sub-disciplinary field, abstract, and keywords. Some platforms require checking declarations such as "whether the manuscript has been submitted to a journal".</w:t>
      </w:r>
    </w:p>
    <w:p w14:paraId="199A4A81">
      <w:pPr>
        <w:pStyle w:val="16"/>
        <w:numPr>
          <w:ilvl w:val="0"/>
          <w:numId w:val="1"/>
        </w:numPr>
      </w:pPr>
      <w:r>
        <w:rPr>
          <w:b/>
          <w:bCs/>
        </w:rPr>
        <w:t>Copyright and License Selection</w:t>
      </w:r>
      <w:r>
        <w:t>: Most platforms offer open-access license options (e.g., CC BY license). Researchers can choose the reuse rights of their results according to their needs. The default license usually allows non-commercial citation and dissemination.</w:t>
      </w:r>
    </w:p>
    <w:p w14:paraId="009DF7AF">
      <w:pPr>
        <w:pStyle w:val="4"/>
      </w:pPr>
      <w:r>
        <w:t>(3) Step 3: Review and Public Dissemination</w:t>
      </w:r>
    </w:p>
    <w:p w14:paraId="291D0B2C">
      <w:pPr>
        <w:pStyle w:val="16"/>
      </w:pPr>
      <w:r>
        <w:t>Preprint servers implement "formal review" rather than "content review". The focus of the review is to exclude plagiarism, ensure structural completeness, and confirm that the preprint attribute is clearly marked, without evaluating the academic value of the research content. The review cycle is usually short; most platforms complete the review within 1-2 working days. Once approved, the manuscript is immediately published online and assigned a unique DOI (Digital Object Identifier) for easy citation and tracking by researchers.</w:t>
      </w:r>
    </w:p>
    <w:p w14:paraId="18967BD4">
      <w:pPr>
        <w:pStyle w:val="4"/>
      </w:pPr>
      <w:r>
        <w:t>(4) Step 4: Subsequent Updates and Journal Submissions</w:t>
      </w:r>
    </w:p>
    <w:p w14:paraId="2A2AC1AB">
      <w:pPr>
        <w:pStyle w:val="16"/>
        <w:numPr>
          <w:ilvl w:val="0"/>
          <w:numId w:val="1"/>
        </w:numPr>
      </w:pPr>
      <w:r>
        <w:rPr>
          <w:b/>
          <w:bCs/>
        </w:rPr>
        <w:t>Version Updates</w:t>
      </w:r>
      <w:r>
        <w:t>: If feedback is received or content omissions are found, updated versions can be uploaded to the platform, marked with version numbers (e.g., v1, v2, v3). A "revision note" should clearly state the modified content, and all versions are permanently retained to ensure traceability of the research process.</w:t>
      </w:r>
    </w:p>
    <w:p w14:paraId="490C7F51">
      <w:pPr>
        <w:pStyle w:val="16"/>
        <w:numPr>
          <w:ilvl w:val="0"/>
          <w:numId w:val="1"/>
        </w:numPr>
      </w:pPr>
      <w:r>
        <w:rPr>
          <w:b/>
          <w:bCs/>
        </w:rPr>
        <w:t>Journal Submissions</w:t>
      </w:r>
      <w:r>
        <w:t>: Publishing a preprint does not affect subsequent journal submissions, which is a common consensus in the international academic community. However, researchers must "proactively declare the preprint publication status" as required during journal submissions, providing the preprint's DOI and platform link. Some journals may require submitting the updated version.</w:t>
      </w:r>
    </w:p>
    <w:p w14:paraId="18267F6D">
      <w:pPr>
        <w:pStyle w:val="3"/>
      </w:pPr>
      <w:r>
        <w:t>IV. Considerations: Pitfalls to Avoid and Risk Warnings</w:t>
      </w:r>
    </w:p>
    <w:p w14:paraId="13203C27">
      <w:pPr>
        <w:pStyle w:val="16"/>
        <w:numPr>
          <w:ilvl w:val="0"/>
          <w:numId w:val="1"/>
        </w:numPr>
      </w:pPr>
      <w:r>
        <w:rPr>
          <w:b/>
          <w:bCs/>
        </w:rPr>
        <w:t>Academic Priority Issues</w:t>
      </w:r>
      <w:r>
        <w:t>: The public release date of a preprint can serve as "proof of priority" for research results. However, it should be noted that the same research content cannot be repeatedly published on multiple preprint servers to avoid disputes over "multiple submissions".</w:t>
      </w:r>
    </w:p>
    <w:p w14:paraId="724532D8">
      <w:pPr>
        <w:pStyle w:val="16"/>
        <w:numPr>
          <w:ilvl w:val="0"/>
          <w:numId w:val="1"/>
        </w:numPr>
      </w:pPr>
      <w:r>
        <w:rPr>
          <w:b/>
          <w:bCs/>
        </w:rPr>
        <w:t>Special Requirements for Medical Research</w:t>
      </w:r>
      <w:r>
        <w:t>: Medical preprints (e.g., on medRxiv) must pay special attention to ethical compliance. They must clearly state in the manuscript that the research has obtained ethical committee approval. For studies involving patient data, informed consent must be confirmed to avoid affecting subsequent journal publication due to ethical issues.</w:t>
      </w:r>
    </w:p>
    <w:p w14:paraId="7C69F609">
      <w:pPr>
        <w:pStyle w:val="16"/>
        <w:numPr>
          <w:ilvl w:val="0"/>
          <w:numId w:val="1"/>
        </w:numPr>
      </w:pPr>
      <w:r>
        <w:rPr>
          <w:b/>
          <w:bCs/>
        </w:rPr>
        <w:t>Citation Norms</w:t>
      </w:r>
      <w:r>
        <w:t>: When citing others' preprints, it is necessary to indicate "Preprint", the server name, and DOI in the references. They cannot be cited in the same way as formal journal papers.</w:t>
      </w:r>
    </w:p>
    <w:p w14:paraId="2CBFC0CD">
      <w:pPr>
        <w:pStyle w:val="16"/>
      </w:pPr>
      <w:r>
        <w:t>In summary, preprint papers are a "fast track" for the dissemination of scientific research results. Their writing must adhere to academic norms, and their publication requires matching accurate platforms. By using preprints rationally, researchers can not only accelerate the dissemination of results but also accumulate advantages for formal publication, making them an important tool in modern scientific research.</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abstractNum>
  <w:abstractNum w:abstractNumId="1">
    <w:nsid w:val="59ADCABA"/>
    <w:multiLevelType w:val="multilevel"/>
    <w:tmpl w:val="59ADCABA"/>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4C7E0C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1229</Words>
  <Characters>7643</Characters>
  <TotalTime>0</TotalTime>
  <ScaleCrop>false</ScaleCrop>
  <LinksUpToDate>false</LinksUpToDate>
  <CharactersWithSpaces>8813</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2025-09-19T03:23:00Z</dcterms:created>
  <dc:creator>Un-named</dc:creator>
  <cp:lastModifiedBy>Kktseng</cp:lastModifiedBy>
  <dcterms:modified xsi:type="dcterms:W3CDTF">2025-09-19T05:57:27Z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eyJoZGlkIjoiNzFkYzBkNjA5NWQzZmQzYjBkYmQ1ODIxZDkxZTA4ZTgiLCJ1c2VySWQiOiIyMzQ1NzY5ODAifQ==</vt:lpwstr>
  </property>
  <property fmtid="{D5CDD505-2E9C-101B-9397-08002B2CF9AE}" pid="3" name="KSOProductBuildVer">
    <vt:lpwstr>2052-12.1.0.22529</vt:lpwstr>
  </property>
  <property fmtid="{D5CDD505-2E9C-101B-9397-08002B2CF9AE}" pid="4" name="ICV">
    <vt:lpwstr>49ACB3F0BA234AB3BEA7AA3A3AEE167D_13</vt:lpwstr>
  </property>
</Properties>
</file>