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0"/>
      </w:pPr>
      <w:r>
        <w:t xml:space="preserve"/>
      </w:r>
    </w:p>
    <w:p>
      <w:pPr>
        <w:spacing w:after="60"/>
        <w:jc w:val="center"/>
      </w:pPr>
      <w:r>
        <w:rPr>
          <w:rFonts w:ascii="Times New Roman" w:cs="Times New Roman" w:eastAsia="Times New Roman" w:hAnsi="Times New Roman"/>
          <w:color w:val="2C2C2C"/>
          <w:sz w:val="20"/>
          <w:szCs w:val="20"/>
        </w:rPr>
        <w:t xml:space="preserve">Université Hassan 1er</w:t>
      </w:r>
    </w:p>
    <w:p>
      <w:pPr>
        <w:pBdr>
          <w:bottom w:val="single" w:color="006633" w:sz="6" w:space="1"/>
        </w:pBdr>
        <w:spacing w:after="60"/>
        <w:jc w:val="center"/>
      </w:pPr>
      <w:r>
        <w:rPr>
          <w:rFonts w:ascii="Times New Roman" w:cs="Times New Roman" w:eastAsia="Times New Roman" w:hAnsi="Times New Roman"/>
          <w:b/>
          <w:bCs/>
          <w:color w:val="006633"/>
          <w:sz w:val="24"/>
          <w:szCs w:val="24"/>
        </w:rPr>
        <w:t xml:space="preserve">ÉCOLE NATIONALE DE COMMERCE ET DE GESTION DE SETTAT</w:t>
      </w:r>
    </w:p>
    <w:p>
      <w:pPr>
        <w:spacing w:before="0" w:after="600"/>
      </w:pPr>
      <w:r>
        <w:t xml:space="preserve"/>
      </w:r>
    </w:p>
    <w:p>
      <w:pPr>
        <w:pBdr>
          <w:bottom w:val="thick" w:color="006633" w:sz="24" w:space="1"/>
        </w:pBdr>
      </w:pPr>
      <w:r>
        <w:t xml:space="preserve"/>
      </w:r>
    </w:p>
    <w:p>
      <w:pPr>
        <w:spacing w:before="0" w:after="120"/>
      </w:pPr>
      <w:r>
        <w:t xml:space="preserve"/>
      </w:r>
    </w:p>
    <w:p>
      <w:pPr>
        <w:pBdr>
          <w:bottom w:val="single" w:color="D4A017" w:sz="6" w:space="1"/>
        </w:pBdr>
      </w:pPr>
      <w:r>
        <w:t xml:space="preserve"/>
      </w:r>
    </w:p>
    <w:p>
      <w:pPr>
        <w:spacing w:before="0" w:after="800"/>
      </w:pPr>
      <w:r>
        <w:t xml:space="preserve"/>
      </w:r>
    </w:p>
    <w:p>
      <w:pPr>
        <w:spacing w:after="120"/>
        <w:jc w:val="center"/>
      </w:pPr>
      <w:r>
        <w:rPr>
          <w:rFonts w:ascii="Times New Roman" w:cs="Times New Roman" w:eastAsia="Times New Roman" w:hAnsi="Times New Roman"/>
          <w:b/>
          <w:bCs/>
          <w:color w:val="006633"/>
          <w:sz w:val="32"/>
          <w:szCs w:val="32"/>
        </w:rPr>
        <w:t xml:space="preserve">COMPTE RENDU DE PROJET / TRAVAIL DIRIGÉ</w:t>
      </w:r>
    </w:p>
    <w:p>
      <w:pPr>
        <w:spacing w:before="0" w:after="400"/>
      </w:pPr>
      <w: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06633" w:sz="6"/>
              <w:left w:val="single" w:color="006633" w:sz="6"/>
              <w:bottom w:val="single" w:color="006633" w:sz="6"/>
              <w:right w:val="single" w:color="006633" w:sz="6"/>
            </w:tcBorders>
            <w:shd w:fill="F2F7F4" w:val="clear"/>
            <w:tcMar>
              <w:top w:type="dxa" w:w="200"/>
              <w:left w:type="dxa" w:w="300"/>
              <w:bottom w:type="dxa" w:w="200"/>
              <w:right w:type="dxa" w:w="300"/>
            </w:tcMar>
          </w:tcPr>
          <w:p>
            <w:pPr>
              <w:jc w:val="center"/>
            </w:pPr>
            <w:r>
              <w:rPr>
                <w:rFonts w:ascii="Times New Roman" w:cs="Times New Roman" w:eastAsia="Times New Roman" w:hAnsi="Times New Roman"/>
                <w:b/>
                <w:bCs/>
                <w:color w:val="004422"/>
                <w:sz w:val="28"/>
                <w:szCs w:val="28"/>
              </w:rPr>
              <w:t xml:space="preserve">Prédiction du Churn Client — BankChurners</w:t>
            </w:r>
          </w:p>
          <w:p>
            <w:pPr>
              <w:jc w:val="center"/>
            </w:pPr>
            <w:r>
              <w:rPr>
                <w:rFonts w:ascii="Times New Roman" w:cs="Times New Roman" w:eastAsia="Times New Roman" w:hAnsi="Times New Roman"/>
                <w:i/>
                <w:iCs/>
                <w:color w:val="2C2C2C"/>
                <w:sz w:val="24"/>
                <w:szCs w:val="24"/>
              </w:rPr>
              <w:t xml:space="preserve">Apprentissage Supervisé — Classification Binaire</w:t>
            </w:r>
          </w:p>
        </w:tc>
      </w:tr>
    </w:tbl>
    <w:p>
      <w:pPr>
        <w:spacing w:before="0" w:after="800"/>
      </w:pPr>
      <w:r>
        <w:t xml:space="preserve"/>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c>
          <w:tcPr>
            <w:tcW w:type="dxa" w:w="3000"/>
            <w:tcBorders>
              <w:top w:val="single" w:color="EEEEEE" w:sz="6"/>
              <w:left w:val="single" w:color="EEEEEE" w:sz="6"/>
              <w:bottom w:val="single" w:color="EEEEEE" w:sz="6"/>
              <w:right w:val="single" w:color="EEEEEE" w:sz="6"/>
            </w:tcBorders>
            <w:shd w:fill="F2F7F4" w:val="clear"/>
            <w:tcMar>
              <w:top w:type="dxa" w:w="80"/>
              <w:left w:type="dxa" w:w="120"/>
              <w:bottom w:type="dxa" w:w="80"/>
              <w:right w:type="dxa" w:w="120"/>
            </w:tcMar>
          </w:tcPr>
          <w:p>
            <w:r>
              <w:rPr>
                <w:rFonts w:ascii="Times New Roman" w:cs="Times New Roman" w:eastAsia="Times New Roman" w:hAnsi="Times New Roman"/>
                <w:b/>
                <w:bCs/>
                <w:color w:val="006633"/>
                <w:sz w:val="22"/>
                <w:szCs w:val="22"/>
              </w:rPr>
              <w:t xml:space="preserve">Module :</w:t>
            </w:r>
          </w:p>
        </w:tc>
        <w:tc>
          <w:tcPr>
            <w:tcW w:type="dxa" w:w="5000"/>
            <w:tcBorders>
              <w:top w:val="single" w:color="EEEEEE" w:sz="6"/>
              <w:left w:val="single" w:color="EEEEEE" w:sz="6"/>
              <w:bottom w:val="single" w:color="EEEEEE" w:sz="6"/>
              <w:right w:val="single" w:color="EEEEEE" w:sz="6"/>
            </w:tcBorders>
            <w:tcMar>
              <w:top w:type="dxa" w:w="80"/>
              <w:left w:type="dxa" w:w="120"/>
              <w:bottom w:type="dxa" w:w="80"/>
              <w:right w:type="dxa" w:w="120"/>
            </w:tcMar>
          </w:tcPr>
          <w:p>
            <w:r>
              <w:rPr>
                <w:rFonts w:ascii="Times New Roman" w:cs="Times New Roman" w:eastAsia="Times New Roman" w:hAnsi="Times New Roman"/>
                <w:sz w:val="22"/>
                <w:szCs w:val="22"/>
              </w:rPr>
              <w:t xml:space="preserve">Machine Learning — Apprentissage Supervisé</w:t>
            </w:r>
          </w:p>
        </w:tc>
      </w:tr>
      <w:tr>
        <w:tc>
          <w:tcPr>
            <w:tcW w:type="dxa" w:w="3000"/>
            <w:tcBorders>
              <w:top w:val="single" w:color="EEEEEE" w:sz="6"/>
              <w:left w:val="single" w:color="EEEEEE" w:sz="6"/>
              <w:bottom w:val="single" w:color="EEEEEE" w:sz="6"/>
              <w:right w:val="single" w:color="EEEEEE" w:sz="6"/>
            </w:tcBorders>
            <w:shd w:fill="F2F7F4" w:val="clear"/>
            <w:tcMar>
              <w:top w:type="dxa" w:w="80"/>
              <w:left w:type="dxa" w:w="120"/>
              <w:bottom w:type="dxa" w:w="80"/>
              <w:right w:type="dxa" w:w="120"/>
            </w:tcMar>
          </w:tcPr>
          <w:p>
            <w:r>
              <w:rPr>
                <w:rFonts w:ascii="Times New Roman" w:cs="Times New Roman" w:eastAsia="Times New Roman" w:hAnsi="Times New Roman"/>
                <w:b/>
                <w:bCs/>
                <w:color w:val="006633"/>
                <w:sz w:val="22"/>
                <w:szCs w:val="22"/>
              </w:rPr>
              <w:t xml:space="preserve">Filière :</w:t>
            </w:r>
          </w:p>
        </w:tc>
        <w:tc>
          <w:tcPr>
            <w:tcW w:type="dxa" w:w="5000"/>
            <w:tcBorders>
              <w:top w:val="single" w:color="EEEEEE" w:sz="6"/>
              <w:left w:val="single" w:color="EEEEEE" w:sz="6"/>
              <w:bottom w:val="single" w:color="EEEEEE" w:sz="6"/>
              <w:right w:val="single" w:color="EEEEEE" w:sz="6"/>
            </w:tcBorders>
            <w:tcMar>
              <w:top w:type="dxa" w:w="80"/>
              <w:left w:type="dxa" w:w="120"/>
              <w:bottom w:type="dxa" w:w="80"/>
              <w:right w:type="dxa" w:w="120"/>
            </w:tcMar>
          </w:tcPr>
          <w:p>
            <w:r>
              <w:rPr>
                <w:rFonts w:ascii="Times New Roman" w:cs="Times New Roman" w:eastAsia="Times New Roman" w:hAnsi="Times New Roman"/>
                <w:sz w:val="22"/>
                <w:szCs w:val="22"/>
              </w:rPr>
              <w:t xml:space="preserve">CAC / PSCM — L3 S8</w:t>
            </w:r>
          </w:p>
        </w:tc>
      </w:tr>
      <w:tr>
        <w:tc>
          <w:tcPr>
            <w:tcW w:type="dxa" w:w="3000"/>
            <w:tcBorders>
              <w:top w:val="single" w:color="EEEEEE" w:sz="6"/>
              <w:left w:val="single" w:color="EEEEEE" w:sz="6"/>
              <w:bottom w:val="single" w:color="EEEEEE" w:sz="6"/>
              <w:right w:val="single" w:color="EEEEEE" w:sz="6"/>
            </w:tcBorders>
            <w:shd w:fill="F2F7F4" w:val="clear"/>
            <w:tcMar>
              <w:top w:type="dxa" w:w="80"/>
              <w:left w:type="dxa" w:w="120"/>
              <w:bottom w:type="dxa" w:w="80"/>
              <w:right w:type="dxa" w:w="120"/>
            </w:tcMar>
          </w:tcPr>
          <w:p>
            <w:r>
              <w:rPr>
                <w:rFonts w:ascii="Times New Roman" w:cs="Times New Roman" w:eastAsia="Times New Roman" w:hAnsi="Times New Roman"/>
                <w:b/>
                <w:bCs/>
                <w:color w:val="006633"/>
                <w:sz w:val="22"/>
                <w:szCs w:val="22"/>
              </w:rPr>
              <w:t xml:space="preserve">Réalisé par :</w:t>
            </w:r>
          </w:p>
        </w:tc>
        <w:tc>
          <w:tcPr>
            <w:tcW w:type="dxa" w:w="5000"/>
            <w:tcBorders>
              <w:top w:val="single" w:color="EEEEEE" w:sz="6"/>
              <w:left w:val="single" w:color="EEEEEE" w:sz="6"/>
              <w:bottom w:val="single" w:color="EEEEEE" w:sz="6"/>
              <w:right w:val="single" w:color="EEEEEE" w:sz="6"/>
            </w:tcBorders>
            <w:tcMar>
              <w:top w:type="dxa" w:w="80"/>
              <w:left w:type="dxa" w:w="120"/>
              <w:bottom w:type="dxa" w:w="80"/>
              <w:right w:type="dxa" w:w="120"/>
            </w:tcMar>
          </w:tcPr>
          <w:p>
            <w:r>
              <w:rPr>
                <w:rFonts w:ascii="Times New Roman" w:cs="Times New Roman" w:eastAsia="Times New Roman" w:hAnsi="Times New Roman"/>
                <w:sz w:val="22"/>
                <w:szCs w:val="22"/>
              </w:rPr>
              <w:t xml:space="preserve">[Prénom NOM de l'étudiant]</w:t>
            </w:r>
          </w:p>
        </w:tc>
      </w:tr>
      <w:tr>
        <w:tc>
          <w:tcPr>
            <w:tcW w:type="dxa" w:w="3000"/>
            <w:tcBorders>
              <w:top w:val="single" w:color="EEEEEE" w:sz="6"/>
              <w:left w:val="single" w:color="EEEEEE" w:sz="6"/>
              <w:bottom w:val="single" w:color="EEEEEE" w:sz="6"/>
              <w:right w:val="single" w:color="EEEEEE" w:sz="6"/>
            </w:tcBorders>
            <w:shd w:fill="F2F7F4" w:val="clear"/>
            <w:tcMar>
              <w:top w:type="dxa" w:w="80"/>
              <w:left w:type="dxa" w:w="120"/>
              <w:bottom w:type="dxa" w:w="80"/>
              <w:right w:type="dxa" w:w="120"/>
            </w:tcMar>
          </w:tcPr>
          <w:p>
            <w:r>
              <w:rPr>
                <w:rFonts w:ascii="Times New Roman" w:cs="Times New Roman" w:eastAsia="Times New Roman" w:hAnsi="Times New Roman"/>
                <w:b/>
                <w:bCs/>
                <w:color w:val="006633"/>
                <w:sz w:val="22"/>
                <w:szCs w:val="22"/>
              </w:rPr>
              <w:t xml:space="preserve">Encadrant :</w:t>
            </w:r>
          </w:p>
        </w:tc>
        <w:tc>
          <w:tcPr>
            <w:tcW w:type="dxa" w:w="5000"/>
            <w:tcBorders>
              <w:top w:val="single" w:color="EEEEEE" w:sz="6"/>
              <w:left w:val="single" w:color="EEEEEE" w:sz="6"/>
              <w:bottom w:val="single" w:color="EEEEEE" w:sz="6"/>
              <w:right w:val="single" w:color="EEEEEE" w:sz="6"/>
            </w:tcBorders>
            <w:tcMar>
              <w:top w:type="dxa" w:w="80"/>
              <w:left w:type="dxa" w:w="120"/>
              <w:bottom w:type="dxa" w:w="80"/>
              <w:right w:type="dxa" w:w="120"/>
            </w:tcMar>
          </w:tcPr>
          <w:p>
            <w:r>
              <w:rPr>
                <w:rFonts w:ascii="Times New Roman" w:cs="Times New Roman" w:eastAsia="Times New Roman" w:hAnsi="Times New Roman"/>
                <w:sz w:val="22"/>
                <w:szCs w:val="22"/>
              </w:rPr>
              <w:t xml:space="preserve">Pr. A. Larhlimi</w:t>
            </w:r>
          </w:p>
        </w:tc>
      </w:tr>
      <w:tr>
        <w:tc>
          <w:tcPr>
            <w:tcW w:type="dxa" w:w="3000"/>
            <w:tcBorders>
              <w:top w:val="single" w:color="EEEEEE" w:sz="6"/>
              <w:left w:val="single" w:color="EEEEEE" w:sz="6"/>
              <w:bottom w:val="single" w:color="EEEEEE" w:sz="6"/>
              <w:right w:val="single" w:color="EEEEEE" w:sz="6"/>
            </w:tcBorders>
            <w:shd w:fill="F2F7F4" w:val="clear"/>
            <w:tcMar>
              <w:top w:type="dxa" w:w="80"/>
              <w:left w:type="dxa" w:w="120"/>
              <w:bottom w:type="dxa" w:w="80"/>
              <w:right w:type="dxa" w:w="120"/>
            </w:tcMar>
          </w:tcPr>
          <w:p>
            <w:r>
              <w:rPr>
                <w:rFonts w:ascii="Times New Roman" w:cs="Times New Roman" w:eastAsia="Times New Roman" w:hAnsi="Times New Roman"/>
                <w:b/>
                <w:bCs/>
                <w:color w:val="006633"/>
                <w:sz w:val="22"/>
                <w:szCs w:val="22"/>
              </w:rPr>
              <w:t xml:space="preserve">Période :</w:t>
            </w:r>
          </w:p>
        </w:tc>
        <w:tc>
          <w:tcPr>
            <w:tcW w:type="dxa" w:w="5000"/>
            <w:tcBorders>
              <w:top w:val="single" w:color="EEEEEE" w:sz="6"/>
              <w:left w:val="single" w:color="EEEEEE" w:sz="6"/>
              <w:bottom w:val="single" w:color="EEEEEE" w:sz="6"/>
              <w:right w:val="single" w:color="EEEEEE" w:sz="6"/>
            </w:tcBorders>
            <w:tcMar>
              <w:top w:type="dxa" w:w="80"/>
              <w:left w:type="dxa" w:w="120"/>
              <w:bottom w:type="dxa" w:w="80"/>
              <w:right w:type="dxa" w:w="120"/>
            </w:tcMar>
          </w:tcPr>
          <w:p>
            <w:r>
              <w:rPr>
                <w:rFonts w:ascii="Times New Roman" w:cs="Times New Roman" w:eastAsia="Times New Roman" w:hAnsi="Times New Roman"/>
                <w:sz w:val="22"/>
                <w:szCs w:val="22"/>
              </w:rPr>
              <w:t xml:space="preserve">Mars 2026</w:t>
            </w:r>
          </w:p>
        </w:tc>
      </w:tr>
    </w:tbl>
    <w:p>
      <w:pPr>
        <w:spacing w:before="0" w:after="1200"/>
      </w:pPr>
      <w:r>
        <w:t xml:space="preserve"/>
      </w:r>
    </w:p>
    <w:p>
      <w:pPr>
        <w:pBdr>
          <w:bottom w:val="thick" w:color="006633" w:sz="24" w:space="1"/>
        </w:pBdr>
      </w:pPr>
      <w:r>
        <w:t xml:space="preserve"/>
      </w:r>
    </w:p>
    <w:p>
      <w:pPr>
        <w:spacing w:before="0" w:after="200"/>
      </w:pPr>
      <w:r>
        <w:t xml:space="preserve"/>
      </w:r>
    </w:p>
    <w:p>
      <w:pPr>
        <w:pBdr>
          <w:bottom w:val="single" w:color="D4A017" w:sz="6" w:space="1"/>
        </w:pBdr>
      </w:pPr>
      <w:r>
        <w:t xml:space="preserve"/>
      </w:r>
    </w:p>
    <w:p>
      <w:pPr>
        <w:spacing w:before="0" w:after="400"/>
      </w:pPr>
      <w:r>
        <w:t xml:space="preserve"/>
      </w:r>
    </w:p>
    <w:p>
      <w:pPr>
        <w:jc w:val="center"/>
      </w:pPr>
      <w:r>
        <w:rPr>
          <w:rFonts w:ascii="Times New Roman" w:cs="Times New Roman" w:eastAsia="Times New Roman" w:hAnsi="Times New Roman"/>
          <w:i/>
          <w:iCs/>
          <w:color w:val="2C2C2C"/>
          <w:sz w:val="22"/>
          <w:szCs w:val="22"/>
        </w:rPr>
        <w:t xml:space="preserve">Année Universitaire 2024–2025</w:t>
      </w:r>
    </w:p>
    <w:p>
      <w:pPr>
        <w:sectPr>
          <w:pgSz w:w="11906" w:h="16838" w:orient="portrait"/>
          <w:pgMar w:top="1800" w:right="1800" w:bottom="1800" w:left="2160" w:header="708" w:footer="708" w:gutter="0"/>
          <w:pgNumType/>
          <w:docGrid w:linePitch="360"/>
        </w:sectPr>
      </w:pPr>
    </w:p>
    <w:p>
      <w:pPr>
        <w:pBdr>
          <w:bottom w:val="single" w:color="006633" w:sz="12" w:space="4"/>
        </w:pBdr>
        <w:spacing w:before="0" w:after="200"/>
        <w:jc w:val="center"/>
      </w:pPr>
      <w:r>
        <w:rPr>
          <w:rFonts w:ascii="Times New Roman" w:cs="Times New Roman" w:eastAsia="Times New Roman" w:hAnsi="Times New Roman"/>
          <w:b/>
          <w:bCs/>
          <w:color w:val="006633"/>
          <w:sz w:val="28"/>
          <w:szCs w:val="28"/>
        </w:rPr>
        <w:t xml:space="preserve">SOMMAIRE</w:t>
      </w:r>
    </w:p>
    <w:p>
      <w:pPr>
        <w:spacing w:before="0" w:after="200"/>
      </w:pPr>
      <w:r>
        <w:t xml:space="preserve"/>
      </w:r>
    </w:p>
    <w:p>
      <w:pPr>
        <w:tabs>
          <w:tab w:val="right" w:pos="8500" w:leader="dot"/>
        </w:tabs>
        <w:spacing w:before="40" w:after="40" w:line="320" w:lineRule="auto"/>
      </w:pPr>
      <w:r>
        <w:rPr>
          <w:rFonts w:ascii="Times New Roman" w:cs="Times New Roman" w:eastAsia="Times New Roman" w:hAnsi="Times New Roman"/>
          <w:b/>
          <w:bCs/>
          <w:color w:val="006633"/>
          <w:sz w:val="22"/>
          <w:szCs w:val="22"/>
        </w:rPr>
        <w:t xml:space="preserve">I.  </w:t>
      </w:r>
      <w:r>
        <w:rPr>
          <w:rFonts w:ascii="Times New Roman" w:cs="Times New Roman" w:eastAsia="Times New Roman" w:hAnsi="Times New Roman"/>
          <w:b/>
          <w:bCs/>
          <w:color w:val="006633"/>
          <w:sz w:val="22"/>
          <w:szCs w:val="22"/>
        </w:rPr>
        <w:t xml:space="preserve">Introduction — Contexte et Problématique</w:t>
      </w:r>
      <w:r>
        <w:rPr>
          <w:rFonts w:ascii="Times New Roman" w:cs="Times New Roman" w:eastAsia="Times New Roman" w:hAnsi="Times New Roman"/>
          <w:color w:val="2C2C2C"/>
          <w:sz w:val="22"/>
          <w:szCs w:val="22"/>
        </w:rPr>
        <w:t xml:space="preserve">	2</w:t>
      </w:r>
    </w:p>
    <w:p>
      <w:pPr>
        <w:tabs>
          <w:tab w:val="right" w:pos="8500" w:leader="dot"/>
        </w:tabs>
        <w:spacing w:before="40" w:after="40" w:line="320" w:lineRule="auto"/>
      </w:pPr>
      <w:r>
        <w:rPr>
          <w:rFonts w:ascii="Times New Roman" w:cs="Times New Roman" w:eastAsia="Times New Roman" w:hAnsi="Times New Roman"/>
          <w:b w:val="false"/>
          <w:bCs w:val="false"/>
          <w:color w:val="2C2C2C"/>
          <w:sz w:val="22"/>
          <w:szCs w:val="22"/>
        </w:rPr>
        <w:t xml:space="preserve">I.1  </w:t>
      </w:r>
      <w:r>
        <w:rPr>
          <w:rFonts w:ascii="Times New Roman" w:cs="Times New Roman" w:eastAsia="Times New Roman" w:hAnsi="Times New Roman"/>
          <w:b w:val="false"/>
          <w:bCs w:val="false"/>
          <w:color w:val="2C2C2C"/>
          <w:sz w:val="22"/>
          <w:szCs w:val="22"/>
        </w:rPr>
        <w:t xml:space="preserve">Contexte et problématique</w:t>
      </w:r>
      <w:r>
        <w:rPr>
          <w:rFonts w:ascii="Times New Roman" w:cs="Times New Roman" w:eastAsia="Times New Roman" w:hAnsi="Times New Roman"/>
          <w:color w:val="2C2C2C"/>
          <w:sz w:val="22"/>
          <w:szCs w:val="22"/>
        </w:rPr>
        <w:t xml:space="preserve">	2</w:t>
      </w:r>
    </w:p>
    <w:p>
      <w:pPr>
        <w:tabs>
          <w:tab w:val="right" w:pos="8500" w:leader="dot"/>
        </w:tabs>
        <w:spacing w:before="40" w:after="40" w:line="320" w:lineRule="auto"/>
      </w:pPr>
      <w:r>
        <w:rPr>
          <w:rFonts w:ascii="Times New Roman" w:cs="Times New Roman" w:eastAsia="Times New Roman" w:hAnsi="Times New Roman"/>
          <w:b w:val="false"/>
          <w:bCs w:val="false"/>
          <w:color w:val="2C2C2C"/>
          <w:sz w:val="22"/>
          <w:szCs w:val="22"/>
        </w:rPr>
        <w:t xml:space="preserve">I.2  </w:t>
      </w:r>
      <w:r>
        <w:rPr>
          <w:rFonts w:ascii="Times New Roman" w:cs="Times New Roman" w:eastAsia="Times New Roman" w:hAnsi="Times New Roman"/>
          <w:b w:val="false"/>
          <w:bCs w:val="false"/>
          <w:color w:val="2C2C2C"/>
          <w:sz w:val="22"/>
          <w:szCs w:val="22"/>
        </w:rPr>
        <w:t xml:space="preserve">Objectifs du projet</w:t>
      </w:r>
      <w:r>
        <w:rPr>
          <w:rFonts w:ascii="Times New Roman" w:cs="Times New Roman" w:eastAsia="Times New Roman" w:hAnsi="Times New Roman"/>
          <w:color w:val="2C2C2C"/>
          <w:sz w:val="22"/>
          <w:szCs w:val="22"/>
        </w:rPr>
        <w:t xml:space="preserve">	2</w:t>
      </w:r>
    </w:p>
    <w:p>
      <w:pPr>
        <w:tabs>
          <w:tab w:val="right" w:pos="8500" w:leader="dot"/>
        </w:tabs>
        <w:spacing w:before="40" w:after="40" w:line="320" w:lineRule="auto"/>
      </w:pPr>
      <w:r>
        <w:rPr>
          <w:rFonts w:ascii="Times New Roman" w:cs="Times New Roman" w:eastAsia="Times New Roman" w:hAnsi="Times New Roman"/>
          <w:b w:val="false"/>
          <w:bCs w:val="false"/>
          <w:color w:val="2C2C2C"/>
          <w:sz w:val="22"/>
          <w:szCs w:val="22"/>
        </w:rPr>
        <w:t xml:space="preserve">I.3  </w:t>
      </w:r>
      <w:r>
        <w:rPr>
          <w:rFonts w:ascii="Times New Roman" w:cs="Times New Roman" w:eastAsia="Times New Roman" w:hAnsi="Times New Roman"/>
          <w:b w:val="false"/>
          <w:bCs w:val="false"/>
          <w:color w:val="2C2C2C"/>
          <w:sz w:val="22"/>
          <w:szCs w:val="22"/>
        </w:rPr>
        <w:t xml:space="preserve">Méthodologie adoptée</w:t>
      </w:r>
      <w:r>
        <w:rPr>
          <w:rFonts w:ascii="Times New Roman" w:cs="Times New Roman" w:eastAsia="Times New Roman" w:hAnsi="Times New Roman"/>
          <w:color w:val="2C2C2C"/>
          <w:sz w:val="22"/>
          <w:szCs w:val="22"/>
        </w:rPr>
        <w:t xml:space="preserve">	2</w:t>
      </w:r>
    </w:p>
    <w:p>
      <w:pPr>
        <w:tabs>
          <w:tab w:val="right" w:pos="8500" w:leader="dot"/>
        </w:tabs>
        <w:spacing w:before="40" w:after="40" w:line="320" w:lineRule="auto"/>
      </w:pPr>
      <w:r>
        <w:rPr>
          <w:rFonts w:ascii="Times New Roman" w:cs="Times New Roman" w:eastAsia="Times New Roman" w:hAnsi="Times New Roman"/>
          <w:b/>
          <w:bCs/>
          <w:color w:val="006633"/>
          <w:sz w:val="22"/>
          <w:szCs w:val="22"/>
        </w:rPr>
        <w:t xml:space="preserve">II.  </w:t>
      </w:r>
      <w:r>
        <w:rPr>
          <w:rFonts w:ascii="Times New Roman" w:cs="Times New Roman" w:eastAsia="Times New Roman" w:hAnsi="Times New Roman"/>
          <w:b/>
          <w:bCs/>
          <w:color w:val="006633"/>
          <w:sz w:val="22"/>
          <w:szCs w:val="22"/>
        </w:rPr>
        <w:t xml:space="preserve">Développement</w:t>
      </w:r>
      <w:r>
        <w:rPr>
          <w:rFonts w:ascii="Times New Roman" w:cs="Times New Roman" w:eastAsia="Times New Roman" w:hAnsi="Times New Roman"/>
          <w:color w:val="2C2C2C"/>
          <w:sz w:val="22"/>
          <w:szCs w:val="22"/>
        </w:rPr>
        <w:t xml:space="preserve">	3</w:t>
      </w:r>
    </w:p>
    <w:p>
      <w:pPr>
        <w:tabs>
          <w:tab w:val="right" w:pos="8500" w:leader="dot"/>
        </w:tabs>
        <w:spacing w:before="40" w:after="40" w:line="320" w:lineRule="auto"/>
      </w:pPr>
      <w:r>
        <w:rPr>
          <w:rFonts w:ascii="Times New Roman" w:cs="Times New Roman" w:eastAsia="Times New Roman" w:hAnsi="Times New Roman"/>
          <w:b w:val="false"/>
          <w:bCs w:val="false"/>
          <w:color w:val="2C2C2C"/>
          <w:sz w:val="22"/>
          <w:szCs w:val="22"/>
        </w:rPr>
        <w:t xml:space="preserve">II.1  </w:t>
      </w:r>
      <w:r>
        <w:rPr>
          <w:rFonts w:ascii="Times New Roman" w:cs="Times New Roman" w:eastAsia="Times New Roman" w:hAnsi="Times New Roman"/>
          <w:b w:val="false"/>
          <w:bCs w:val="false"/>
          <w:color w:val="2C2C2C"/>
          <w:sz w:val="22"/>
          <w:szCs w:val="22"/>
        </w:rPr>
        <w:t xml:space="preserve">Analyse exploratoire des données (EDA)</w:t>
      </w:r>
      <w:r>
        <w:rPr>
          <w:rFonts w:ascii="Times New Roman" w:cs="Times New Roman" w:eastAsia="Times New Roman" w:hAnsi="Times New Roman"/>
          <w:color w:val="2C2C2C"/>
          <w:sz w:val="22"/>
          <w:szCs w:val="22"/>
        </w:rPr>
        <w:t xml:space="preserve">	3</w:t>
      </w:r>
    </w:p>
    <w:p>
      <w:pPr>
        <w:tabs>
          <w:tab w:val="right" w:pos="8500" w:leader="dot"/>
        </w:tabs>
        <w:spacing w:before="40" w:after="40" w:line="320" w:lineRule="auto"/>
      </w:pPr>
      <w:r>
        <w:rPr>
          <w:rFonts w:ascii="Times New Roman" w:cs="Times New Roman" w:eastAsia="Times New Roman" w:hAnsi="Times New Roman"/>
          <w:b w:val="false"/>
          <w:bCs w:val="false"/>
          <w:color w:val="2C2C2C"/>
          <w:sz w:val="22"/>
          <w:szCs w:val="22"/>
        </w:rPr>
        <w:t xml:space="preserve">II.2  </w:t>
      </w:r>
      <w:r>
        <w:rPr>
          <w:rFonts w:ascii="Times New Roman" w:cs="Times New Roman" w:eastAsia="Times New Roman" w:hAnsi="Times New Roman"/>
          <w:b w:val="false"/>
          <w:bCs w:val="false"/>
          <w:color w:val="2C2C2C"/>
          <w:sz w:val="22"/>
          <w:szCs w:val="22"/>
        </w:rPr>
        <w:t xml:space="preserve">Prétraitement</w:t>
      </w:r>
      <w:r>
        <w:rPr>
          <w:rFonts w:ascii="Times New Roman" w:cs="Times New Roman" w:eastAsia="Times New Roman" w:hAnsi="Times New Roman"/>
          <w:color w:val="2C2C2C"/>
          <w:sz w:val="22"/>
          <w:szCs w:val="22"/>
        </w:rPr>
        <w:t xml:space="preserve">	4</w:t>
      </w:r>
    </w:p>
    <w:p>
      <w:pPr>
        <w:tabs>
          <w:tab w:val="right" w:pos="8500" w:leader="dot"/>
        </w:tabs>
        <w:spacing w:before="40" w:after="40" w:line="320" w:lineRule="auto"/>
      </w:pPr>
      <w:r>
        <w:rPr>
          <w:rFonts w:ascii="Times New Roman" w:cs="Times New Roman" w:eastAsia="Times New Roman" w:hAnsi="Times New Roman"/>
          <w:b w:val="false"/>
          <w:bCs w:val="false"/>
          <w:color w:val="2C2C2C"/>
          <w:sz w:val="22"/>
          <w:szCs w:val="22"/>
        </w:rPr>
        <w:t xml:space="preserve">II.3  </w:t>
      </w:r>
      <w:r>
        <w:rPr>
          <w:rFonts w:ascii="Times New Roman" w:cs="Times New Roman" w:eastAsia="Times New Roman" w:hAnsi="Times New Roman"/>
          <w:b w:val="false"/>
          <w:bCs w:val="false"/>
          <w:color w:val="2C2C2C"/>
          <w:sz w:val="22"/>
          <w:szCs w:val="22"/>
        </w:rPr>
        <w:t xml:space="preserve">Modélisation — Présentation des algorithmes</w:t>
      </w:r>
      <w:r>
        <w:rPr>
          <w:rFonts w:ascii="Times New Roman" w:cs="Times New Roman" w:eastAsia="Times New Roman" w:hAnsi="Times New Roman"/>
          <w:color w:val="2C2C2C"/>
          <w:sz w:val="22"/>
          <w:szCs w:val="22"/>
        </w:rPr>
        <w:t xml:space="preserve">	5</w:t>
      </w:r>
    </w:p>
    <w:p>
      <w:pPr>
        <w:tabs>
          <w:tab w:val="right" w:pos="8500" w:leader="dot"/>
        </w:tabs>
        <w:spacing w:before="40" w:after="40" w:line="320" w:lineRule="auto"/>
      </w:pPr>
      <w:r>
        <w:rPr>
          <w:rFonts w:ascii="Times New Roman" w:cs="Times New Roman" w:eastAsia="Times New Roman" w:hAnsi="Times New Roman"/>
          <w:b/>
          <w:bCs/>
          <w:color w:val="006633"/>
          <w:sz w:val="22"/>
          <w:szCs w:val="22"/>
        </w:rPr>
        <w:t xml:space="preserve">III.  </w:t>
      </w:r>
      <w:r>
        <w:rPr>
          <w:rFonts w:ascii="Times New Roman" w:cs="Times New Roman" w:eastAsia="Times New Roman" w:hAnsi="Times New Roman"/>
          <w:b/>
          <w:bCs/>
          <w:color w:val="006633"/>
          <w:sz w:val="22"/>
          <w:szCs w:val="22"/>
        </w:rPr>
        <w:t xml:space="preserve">Résultats et Discussion</w:t>
      </w:r>
      <w:r>
        <w:rPr>
          <w:rFonts w:ascii="Times New Roman" w:cs="Times New Roman" w:eastAsia="Times New Roman" w:hAnsi="Times New Roman"/>
          <w:color w:val="2C2C2C"/>
          <w:sz w:val="22"/>
          <w:szCs w:val="22"/>
        </w:rPr>
        <w:t xml:space="preserve">	8</w:t>
      </w:r>
    </w:p>
    <w:p>
      <w:pPr>
        <w:tabs>
          <w:tab w:val="right" w:pos="8500" w:leader="dot"/>
        </w:tabs>
        <w:spacing w:before="40" w:after="40" w:line="320" w:lineRule="auto"/>
      </w:pPr>
      <w:r>
        <w:rPr>
          <w:rFonts w:ascii="Times New Roman" w:cs="Times New Roman" w:eastAsia="Times New Roman" w:hAnsi="Times New Roman"/>
          <w:b w:val="false"/>
          <w:bCs w:val="false"/>
          <w:color w:val="2C2C2C"/>
          <w:sz w:val="22"/>
          <w:szCs w:val="22"/>
        </w:rPr>
        <w:t xml:space="preserve">III.1  </w:t>
      </w:r>
      <w:r>
        <w:rPr>
          <w:rFonts w:ascii="Times New Roman" w:cs="Times New Roman" w:eastAsia="Times New Roman" w:hAnsi="Times New Roman"/>
          <w:b w:val="false"/>
          <w:bCs w:val="false"/>
          <w:color w:val="2C2C2C"/>
          <w:sz w:val="22"/>
          <w:szCs w:val="22"/>
        </w:rPr>
        <w:t xml:space="preserve">Résultats comparatifs</w:t>
      </w:r>
      <w:r>
        <w:rPr>
          <w:rFonts w:ascii="Times New Roman" w:cs="Times New Roman" w:eastAsia="Times New Roman" w:hAnsi="Times New Roman"/>
          <w:color w:val="2C2C2C"/>
          <w:sz w:val="22"/>
          <w:szCs w:val="22"/>
        </w:rPr>
        <w:t xml:space="preserve">	8</w:t>
      </w:r>
    </w:p>
    <w:p>
      <w:pPr>
        <w:tabs>
          <w:tab w:val="right" w:pos="8500" w:leader="dot"/>
        </w:tabs>
        <w:spacing w:before="40" w:after="40" w:line="320" w:lineRule="auto"/>
      </w:pPr>
      <w:r>
        <w:rPr>
          <w:rFonts w:ascii="Times New Roman" w:cs="Times New Roman" w:eastAsia="Times New Roman" w:hAnsi="Times New Roman"/>
          <w:b w:val="false"/>
          <w:bCs w:val="false"/>
          <w:color w:val="2C2C2C"/>
          <w:sz w:val="22"/>
          <w:szCs w:val="22"/>
        </w:rPr>
        <w:t xml:space="preserve">III.2  </w:t>
      </w:r>
      <w:r>
        <w:rPr>
          <w:rFonts w:ascii="Times New Roman" w:cs="Times New Roman" w:eastAsia="Times New Roman" w:hAnsi="Times New Roman"/>
          <w:b w:val="false"/>
          <w:bCs w:val="false"/>
          <w:color w:val="2C2C2C"/>
          <w:sz w:val="22"/>
          <w:szCs w:val="22"/>
        </w:rPr>
        <w:t xml:space="preserve">Gestion du déséquilibre et seuil optimal</w:t>
      </w:r>
      <w:r>
        <w:rPr>
          <w:rFonts w:ascii="Times New Roman" w:cs="Times New Roman" w:eastAsia="Times New Roman" w:hAnsi="Times New Roman"/>
          <w:color w:val="2C2C2C"/>
          <w:sz w:val="22"/>
          <w:szCs w:val="22"/>
        </w:rPr>
        <w:t xml:space="preserve">	9</w:t>
      </w:r>
    </w:p>
    <w:p>
      <w:pPr>
        <w:tabs>
          <w:tab w:val="right" w:pos="8500" w:leader="dot"/>
        </w:tabs>
        <w:spacing w:before="40" w:after="40" w:line="320" w:lineRule="auto"/>
      </w:pPr>
      <w:r>
        <w:rPr>
          <w:rFonts w:ascii="Times New Roman" w:cs="Times New Roman" w:eastAsia="Times New Roman" w:hAnsi="Times New Roman"/>
          <w:b w:val="false"/>
          <w:bCs w:val="false"/>
          <w:color w:val="2C2C2C"/>
          <w:sz w:val="22"/>
          <w:szCs w:val="22"/>
        </w:rPr>
        <w:t xml:space="preserve">III.3  </w:t>
      </w:r>
      <w:r>
        <w:rPr>
          <w:rFonts w:ascii="Times New Roman" w:cs="Times New Roman" w:eastAsia="Times New Roman" w:hAnsi="Times New Roman"/>
          <w:b w:val="false"/>
          <w:bCs w:val="false"/>
          <w:color w:val="2C2C2C"/>
          <w:sz w:val="22"/>
          <w:szCs w:val="22"/>
        </w:rPr>
        <w:t xml:space="preserve">Interprétation et analyse critique</w:t>
      </w:r>
      <w:r>
        <w:rPr>
          <w:rFonts w:ascii="Times New Roman" w:cs="Times New Roman" w:eastAsia="Times New Roman" w:hAnsi="Times New Roman"/>
          <w:color w:val="2C2C2C"/>
          <w:sz w:val="22"/>
          <w:szCs w:val="22"/>
        </w:rPr>
        <w:t xml:space="preserve">	9</w:t>
      </w:r>
    </w:p>
    <w:p>
      <w:pPr>
        <w:tabs>
          <w:tab w:val="right" w:pos="8500" w:leader="dot"/>
        </w:tabs>
        <w:spacing w:before="40" w:after="40" w:line="320" w:lineRule="auto"/>
      </w:pPr>
      <w:r>
        <w:rPr>
          <w:rFonts w:ascii="Times New Roman" w:cs="Times New Roman" w:eastAsia="Times New Roman" w:hAnsi="Times New Roman"/>
          <w:b w:val="false"/>
          <w:bCs w:val="false"/>
          <w:color w:val="2C2C2C"/>
          <w:sz w:val="22"/>
          <w:szCs w:val="22"/>
        </w:rPr>
        <w:t xml:space="preserve">III.4  </w:t>
      </w:r>
      <w:r>
        <w:rPr>
          <w:rFonts w:ascii="Times New Roman" w:cs="Times New Roman" w:eastAsia="Times New Roman" w:hAnsi="Times New Roman"/>
          <w:b w:val="false"/>
          <w:bCs w:val="false"/>
          <w:color w:val="2C2C2C"/>
          <w:sz w:val="22"/>
          <w:szCs w:val="22"/>
        </w:rPr>
        <w:t xml:space="preserve">Limites et axes d'amélioration</w:t>
      </w:r>
      <w:r>
        <w:rPr>
          <w:rFonts w:ascii="Times New Roman" w:cs="Times New Roman" w:eastAsia="Times New Roman" w:hAnsi="Times New Roman"/>
          <w:color w:val="2C2C2C"/>
          <w:sz w:val="22"/>
          <w:szCs w:val="22"/>
        </w:rPr>
        <w:t xml:space="preserve">	10</w:t>
      </w:r>
    </w:p>
    <w:p>
      <w:pPr>
        <w:tabs>
          <w:tab w:val="right" w:pos="8500" w:leader="dot"/>
        </w:tabs>
        <w:spacing w:before="40" w:after="40" w:line="320" w:lineRule="auto"/>
      </w:pPr>
      <w:r>
        <w:rPr>
          <w:rFonts w:ascii="Times New Roman" w:cs="Times New Roman" w:eastAsia="Times New Roman" w:hAnsi="Times New Roman"/>
          <w:b/>
          <w:bCs/>
          <w:color w:val="006633"/>
          <w:sz w:val="22"/>
          <w:szCs w:val="22"/>
        </w:rPr>
        <w:t xml:space="preserve">IV.  </w:t>
      </w:r>
      <w:r>
        <w:rPr>
          <w:rFonts w:ascii="Times New Roman" w:cs="Times New Roman" w:eastAsia="Times New Roman" w:hAnsi="Times New Roman"/>
          <w:b/>
          <w:bCs/>
          <w:color w:val="006633"/>
          <w:sz w:val="22"/>
          <w:szCs w:val="22"/>
        </w:rPr>
        <w:t xml:space="preserve">Conclusion</w:t>
      </w:r>
      <w:r>
        <w:rPr>
          <w:rFonts w:ascii="Times New Roman" w:cs="Times New Roman" w:eastAsia="Times New Roman" w:hAnsi="Times New Roman"/>
          <w:color w:val="2C2C2C"/>
          <w:sz w:val="22"/>
          <w:szCs w:val="22"/>
        </w:rPr>
        <w:t xml:space="preserve">	11</w:t>
      </w:r>
    </w:p>
    <w:p>
      <w:pPr>
        <w:tabs>
          <w:tab w:val="right" w:pos="8500" w:leader="dot"/>
        </w:tabs>
        <w:spacing w:before="40" w:after="40" w:line="320" w:lineRule="auto"/>
      </w:pPr>
      <w:r>
        <w:rPr>
          <w:rFonts w:ascii="Times New Roman" w:cs="Times New Roman" w:eastAsia="Times New Roman" w:hAnsi="Times New Roman"/>
          <w:b w:val="false"/>
          <w:bCs w:val="false"/>
          <w:color w:val="2C2C2C"/>
          <w:sz w:val="22"/>
          <w:szCs w:val="22"/>
        </w:rPr>
        <w:t xml:space="preserve">     </w:t>
      </w:r>
      <w:r>
        <w:rPr>
          <w:rFonts w:ascii="Times New Roman" w:cs="Times New Roman" w:eastAsia="Times New Roman" w:hAnsi="Times New Roman"/>
          <w:b w:val="false"/>
          <w:bCs w:val="false"/>
          <w:color w:val="2C2C2C"/>
          <w:sz w:val="22"/>
          <w:szCs w:val="22"/>
        </w:rPr>
        <w:t xml:space="preserve">Bibliographie / Webographie</w:t>
      </w:r>
      <w:r>
        <w:rPr>
          <w:rFonts w:ascii="Times New Roman" w:cs="Times New Roman" w:eastAsia="Times New Roman" w:hAnsi="Times New Roman"/>
          <w:color w:val="2C2C2C"/>
          <w:sz w:val="22"/>
          <w:szCs w:val="22"/>
        </w:rPr>
        <w:t xml:space="preserve">	11</w:t>
      </w:r>
    </w:p>
    <w:p>
      <w:pPr>
        <w:tabs>
          <w:tab w:val="right" w:pos="8500" w:leader="dot"/>
        </w:tabs>
        <w:spacing w:before="40" w:after="40" w:line="320" w:lineRule="auto"/>
      </w:pPr>
      <w:r>
        <w:rPr>
          <w:rFonts w:ascii="Times New Roman" w:cs="Times New Roman" w:eastAsia="Times New Roman" w:hAnsi="Times New Roman"/>
          <w:b w:val="false"/>
          <w:bCs w:val="false"/>
          <w:color w:val="2C2C2C"/>
          <w:sz w:val="22"/>
          <w:szCs w:val="22"/>
        </w:rPr>
        <w:t xml:space="preserve">     </w:t>
      </w:r>
      <w:r>
        <w:rPr>
          <w:rFonts w:ascii="Times New Roman" w:cs="Times New Roman" w:eastAsia="Times New Roman" w:hAnsi="Times New Roman"/>
          <w:b w:val="false"/>
          <w:bCs w:val="false"/>
          <w:color w:val="2C2C2C"/>
          <w:sz w:val="22"/>
          <w:szCs w:val="22"/>
        </w:rPr>
        <w:t xml:space="preserve">Annexes</w:t>
      </w:r>
      <w:r>
        <w:rPr>
          <w:rFonts w:ascii="Times New Roman" w:cs="Times New Roman" w:eastAsia="Times New Roman" w:hAnsi="Times New Roman"/>
          <w:color w:val="2C2C2C"/>
          <w:sz w:val="22"/>
          <w:szCs w:val="22"/>
        </w:rPr>
        <w:t xml:space="preserve">	12</w:t>
      </w:r>
    </w:p>
    <w:p>
      <w:pPr>
        <w:spacing w:before="0" w:after="200"/>
      </w:pPr>
      <w:r>
        <w:t xml:space="preserve"/>
      </w:r>
    </w:p>
    <w:p>
      <w:pPr>
        <w:pBdr>
          <w:bottom w:val="single" w:color="006633" w:sz="12" w:space="1"/>
        </w:pBdr>
        <w:spacing w:before="100" w:after="100"/>
      </w:pPr>
      <w:r>
        <w:t xml:space="preserve"/>
      </w:r>
    </w:p>
    <w:p>
      <w:pPr>
        <w:spacing w:before="0" w:after="200"/>
      </w:pPr>
      <w:r>
        <w:t xml:space="preserve"/>
      </w:r>
    </w:p>
    <w:p>
      <w:pPr>
        <w:pStyle w:val="Heading1"/>
        <w:spacing w:before="360" w:after="180"/>
      </w:pPr>
      <w:r>
        <w:rPr>
          <w:rFonts w:ascii="Times New Roman" w:cs="Times New Roman" w:eastAsia="Times New Roman" w:hAnsi="Times New Roman"/>
          <w:b/>
          <w:bCs/>
          <w:color w:val="006633"/>
          <w:sz w:val="28"/>
          <w:szCs w:val="28"/>
        </w:rPr>
        <w:t xml:space="preserve">I.  Introduction — Contexte et Problématique</w:t>
      </w:r>
    </w:p>
    <w:p>
      <w:pPr>
        <w:pStyle w:val="Heading2"/>
        <w:spacing w:before="240" w:after="120"/>
        <w:ind w:left="360"/>
      </w:pPr>
      <w:r>
        <w:rPr>
          <w:rFonts w:ascii="Times New Roman" w:cs="Times New Roman" w:eastAsia="Times New Roman" w:hAnsi="Times New Roman"/>
          <w:b/>
          <w:bCs/>
          <w:color w:val="004422"/>
          <w:sz w:val="24"/>
          <w:szCs w:val="24"/>
        </w:rPr>
        <w:t xml:space="preserve">I.1  Contexte et problématique</w:t>
      </w:r>
    </w:p>
    <w:p>
      <w:pPr>
        <w:spacing w:line="360" w:lineRule="auto" w:before="0" w:after="120"/>
        <w:ind w:firstLine="720"/>
        <w:jc w:val="both"/>
      </w:pPr>
      <w:r>
        <w:rPr>
          <w:rFonts w:ascii="Times New Roman" w:cs="Times New Roman" w:eastAsia="Times New Roman" w:hAnsi="Times New Roman"/>
          <w:color w:val="2C2C2C"/>
          <w:sz w:val="24"/>
          <w:szCs w:val="24"/>
        </w:rPr>
        <w:t xml:space="preserve">Dans un contexte bancaire de plus en plus concurrentiel, la fidélisation de la clientèle constitue un enjeu stratégique majeur. Le présent travail porte sur la prédiction de l'attrition des clients — communément désignée par le terme anglais « churn » — à partir du dataset public BankChurners, qui recense les caractéristiques comportementales et financières de 10 127 clients d'une banque américaine.</w:t>
      </w:r>
    </w:p>
    <w:p>
      <w:pPr>
        <w:spacing w:line="360" w:lineRule="auto" w:before="0" w:after="120"/>
        <w:ind w:firstLine="720"/>
        <w:jc w:val="both"/>
      </w:pPr>
      <w:r>
        <w:rPr>
          <w:rFonts w:ascii="Times New Roman" w:cs="Times New Roman" w:eastAsia="Times New Roman" w:hAnsi="Times New Roman"/>
          <w:color w:val="2C2C2C"/>
          <w:sz w:val="24"/>
          <w:szCs w:val="24"/>
        </w:rPr>
        <w:t xml:space="preserve">Le phénomène de churn, défini ici comme la résiliation volontaire d'un compte bancaire, engendre des coûts de remplacement estimés entre 5 et 25 fois supérieurs aux coûts de rétention. La détection précoce des clients à risque permet à l'établissement de déployer des actions de rétention ciblées et personnalisées, réduisant significativement ces pertes.</w:t>
      </w:r>
    </w:p>
    <w:p>
      <w:pPr>
        <w:pStyle w:val="Heading2"/>
        <w:spacing w:before="240" w:after="120"/>
        <w:ind w:left="360"/>
      </w:pPr>
      <w:r>
        <w:rPr>
          <w:rFonts w:ascii="Times New Roman" w:cs="Times New Roman" w:eastAsia="Times New Roman" w:hAnsi="Times New Roman"/>
          <w:b/>
          <w:bCs/>
          <w:color w:val="004422"/>
          <w:sz w:val="24"/>
          <w:szCs w:val="24"/>
        </w:rPr>
        <w:t xml:space="preserve">I.2  Objectifs du projet</w:t>
      </w:r>
    </w:p>
    <w:p>
      <w:pPr>
        <w:spacing w:line="360" w:lineRule="auto" w:before="0" w:after="120"/>
        <w:ind w:firstLine="720"/>
        <w:jc w:val="both"/>
      </w:pPr>
      <w:r>
        <w:rPr>
          <w:rFonts w:ascii="Times New Roman" w:cs="Times New Roman" w:eastAsia="Times New Roman" w:hAnsi="Times New Roman"/>
          <w:color w:val="2C2C2C"/>
          <w:sz w:val="24"/>
          <w:szCs w:val="24"/>
        </w:rPr>
        <w:t xml:space="preserve">Ce projet vise trois objectifs complémentaires :</w:t>
      </w:r>
    </w:p>
    <w:p>
      <w:pPr>
        <w:pStyle w:val="ListParagraph"/>
        <w:numPr>
          <w:ilvl w:val="0"/>
          <w:numId w:val="2"/>
        </w:numPr>
        <w:spacing w:line="360" w:lineRule="auto" w:before="0" w:after="80"/>
      </w:pPr>
      <w:r>
        <w:rPr>
          <w:rFonts w:ascii="Times New Roman" w:cs="Times New Roman" w:eastAsia="Times New Roman" w:hAnsi="Times New Roman"/>
          <w:color w:val="2C2C2C"/>
          <w:sz w:val="24"/>
          <w:szCs w:val="24"/>
        </w:rPr>
        <w:t xml:space="preserve">Construire un modèle de classification binaire performant permettant d'identifier, avec le meilleur rapport précision/rappel possible, les clients susceptibles de quitter la banque.</w:t>
      </w:r>
    </w:p>
    <w:p>
      <w:pPr>
        <w:pStyle w:val="ListParagraph"/>
        <w:numPr>
          <w:ilvl w:val="0"/>
          <w:numId w:val="2"/>
        </w:numPr>
        <w:spacing w:line="360" w:lineRule="auto" w:before="0" w:after="80"/>
      </w:pPr>
      <w:r>
        <w:rPr>
          <w:rFonts w:ascii="Times New Roman" w:cs="Times New Roman" w:eastAsia="Times New Roman" w:hAnsi="Times New Roman"/>
          <w:color w:val="2C2C2C"/>
          <w:sz w:val="24"/>
          <w:szCs w:val="24"/>
        </w:rPr>
        <w:t xml:space="preserve">Comparer plusieurs familles d'algorithmes d'apprentissage supervisé afin d'identifier le modèle le mieux adapté aux caractéristiques du dataset (déséquilibre, features mixtes, données tabulaires).</w:t>
      </w:r>
    </w:p>
    <w:p>
      <w:pPr>
        <w:pStyle w:val="ListParagraph"/>
        <w:numPr>
          <w:ilvl w:val="0"/>
          <w:numId w:val="2"/>
        </w:numPr>
        <w:spacing w:line="360" w:lineRule="auto" w:before="0" w:after="80"/>
      </w:pPr>
      <w:r>
        <w:rPr>
          <w:rFonts w:ascii="Times New Roman" w:cs="Times New Roman" w:eastAsia="Times New Roman" w:hAnsi="Times New Roman"/>
          <w:color w:val="2C2C2C"/>
          <w:sz w:val="24"/>
          <w:szCs w:val="24"/>
        </w:rPr>
        <w:t xml:space="preserve">Interpréter les résultats obtenus afin d'en extraire des enseignements métier actionnables pour les équipes commerciales.</w:t>
      </w:r>
    </w:p>
    <w:p>
      <w:pPr>
        <w:spacing w:before="0" w:after="120"/>
      </w:pPr>
      <w:r>
        <w:t xml:space="preserve"/>
      </w:r>
    </w:p>
    <w:p>
      <w:pPr>
        <w:pStyle w:val="Heading2"/>
        <w:spacing w:before="240" w:after="120"/>
        <w:ind w:left="360"/>
      </w:pPr>
      <w:r>
        <w:rPr>
          <w:rFonts w:ascii="Times New Roman" w:cs="Times New Roman" w:eastAsia="Times New Roman" w:hAnsi="Times New Roman"/>
          <w:b/>
          <w:bCs/>
          <w:color w:val="004422"/>
          <w:sz w:val="24"/>
          <w:szCs w:val="24"/>
        </w:rPr>
        <w:t xml:space="preserve">I.3  Méthodologie adoptée</w:t>
      </w:r>
    </w:p>
    <w:p>
      <w:pPr>
        <w:spacing w:line="360" w:lineRule="auto" w:before="0" w:after="120"/>
        <w:ind w:firstLine="720"/>
        <w:jc w:val="both"/>
      </w:pPr>
      <w:r>
        <w:rPr>
          <w:rFonts w:ascii="Times New Roman" w:cs="Times New Roman" w:eastAsia="Times New Roman" w:hAnsi="Times New Roman"/>
          <w:color w:val="2C2C2C"/>
          <w:sz w:val="24"/>
          <w:szCs w:val="24"/>
        </w:rPr>
        <w:t xml:space="preserve">La démarche adoptée s'appuie sur le pipeline standard de l'apprentissage supervisé enseigné dans le cadre du cours de Machine Learning (Pr. A. Larhlimi, ENCG Settat, Mars 2026). Elle suit une progression en cinq étapes : analyse exploratoire des données (EDA), prétraitement, modélisation, évaluation comparative et interprétation. L'ensemble des développements a été réalisé en Python avec la bibliothèque Scikit-learn, et documenté dans un notebook Jupyter structuré en 40 cellules.</w:t>
      </w:r>
    </w:p>
    <w:p>
      <w:pPr>
        <w:spacing w:before="0" w:after="200"/>
      </w:pPr>
      <w:r>
        <w:t xml:space="preserve"/>
      </w:r>
    </w:p>
    <w:p>
      <w:pPr>
        <w:pBdr>
          <w:bottom w:val="single" w:color="D4A017" w:sz="12" w:space="1"/>
        </w:pBdr>
        <w:spacing w:before="100" w:after="100"/>
      </w:pPr>
      <w:r>
        <w:t xml:space="preserve"/>
      </w:r>
    </w:p>
    <w:p>
      <w:pPr>
        <w:spacing w:before="0" w:after="200"/>
      </w:pPr>
      <w:r>
        <w:t xml:space="preserve"/>
      </w:r>
    </w:p>
    <w:p>
      <w:pPr>
        <w:pStyle w:val="Heading1"/>
        <w:spacing w:before="360" w:after="180"/>
      </w:pPr>
      <w:r>
        <w:rPr>
          <w:rFonts w:ascii="Times New Roman" w:cs="Times New Roman" w:eastAsia="Times New Roman" w:hAnsi="Times New Roman"/>
          <w:b/>
          <w:bCs/>
          <w:color w:val="006633"/>
          <w:sz w:val="28"/>
          <w:szCs w:val="28"/>
        </w:rPr>
        <w:t xml:space="preserve">II.  Développement</w:t>
      </w:r>
    </w:p>
    <w:p>
      <w:pPr>
        <w:pStyle w:val="Heading2"/>
        <w:spacing w:before="240" w:after="120"/>
        <w:ind w:left="360"/>
      </w:pPr>
      <w:r>
        <w:rPr>
          <w:rFonts w:ascii="Times New Roman" w:cs="Times New Roman" w:eastAsia="Times New Roman" w:hAnsi="Times New Roman"/>
          <w:b/>
          <w:bCs/>
          <w:color w:val="004422"/>
          <w:sz w:val="24"/>
          <w:szCs w:val="24"/>
        </w:rPr>
        <w:t xml:space="preserve">II.1  Analyse Exploratoire des Données (EDA)</w:t>
      </w:r>
    </w:p>
    <w:p>
      <w:pPr>
        <w:spacing w:line="360" w:lineRule="auto" w:before="0" w:after="120"/>
        <w:ind w:firstLine="720"/>
        <w:jc w:val="both"/>
      </w:pPr>
      <w:r>
        <w:rPr>
          <w:rFonts w:ascii="Times New Roman" w:cs="Times New Roman" w:eastAsia="Times New Roman" w:hAnsi="Times New Roman"/>
          <w:color w:val="2C2C2C"/>
          <w:sz w:val="24"/>
          <w:szCs w:val="24"/>
        </w:rPr>
        <w:t xml:space="preserve">Le dataset BankChurners se compose initialement de 23 colonnes. Après suppression de l'identifiant client (CLIENTNUM) et de deux colonnes de probabilités pré-calculées par les auteurs du dataset (dont la conservation aurait constitué un data leakage caractérisé), 19 features sont retenues pour la modélisation.</w:t>
      </w:r>
    </w:p>
    <w:p>
      <w:pPr>
        <w:spacing w:line="360" w:lineRule="auto" w:before="0" w:after="120"/>
        <w:ind w:firstLine="720"/>
        <w:jc w:val="both"/>
      </w:pPr>
      <w:r>
        <w:rPr>
          <w:rFonts w:ascii="Times New Roman" w:cs="Times New Roman" w:eastAsia="Times New Roman" w:hAnsi="Times New Roman"/>
          <w:color w:val="2C2C2C"/>
          <w:sz w:val="24"/>
          <w:szCs w:val="24"/>
        </w:rPr>
        <w:t xml:space="preserve">Le Tableau 1 ci-dessous présente la structure du dataset final :</w:t>
      </w:r>
    </w:p>
    <w:p>
      <w:pPr>
        <w:spacing w:before="0" w:after="120"/>
      </w:pPr>
      <w:r>
        <w:t xml:space="preserve"/>
      </w:r>
    </w:p>
    <w:p>
      <w:pPr>
        <w:spacing w:before="0" w:after="80"/>
        <w:jc w:val="center"/>
      </w:pPr>
      <w:r>
        <w:rPr>
          <w:rFonts w:ascii="Times New Roman" w:cs="Times New Roman" w:eastAsia="Times New Roman" w:hAnsi="Times New Roman"/>
          <w:i/>
          <w:iCs/>
          <w:color w:val="2C2C2C"/>
          <w:sz w:val="20"/>
          <w:szCs w:val="20"/>
        </w:rPr>
        <w:t xml:space="preserve">Tableau 1 : Structure du dataset BankChurners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000"/>
      </w:tblGrid>
      <w:tr>
        <w:tc>
          <w:tcPr>
            <w:tcW w:type="dxa" w:w="2500"/>
            <w:tcBorders>
              <w:top w:val="single" w:color="006633" w:sz="6"/>
              <w:left w:val="single" w:color="006633" w:sz="6"/>
              <w:bottom w:val="single" w:color="006633" w:sz="6"/>
              <w:right w:val="single" w:color="006633" w:sz="6"/>
            </w:tcBorders>
            <w:shd w:fill="006633"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Caractéristique</w:t>
            </w:r>
          </w:p>
        </w:tc>
        <w:tc>
          <w:tcPr>
            <w:tcW w:type="dxa" w:w="2000"/>
            <w:tcBorders>
              <w:top w:val="single" w:color="006633" w:sz="6"/>
              <w:left w:val="single" w:color="006633" w:sz="6"/>
              <w:bottom w:val="single" w:color="006633" w:sz="6"/>
              <w:right w:val="single" w:color="006633" w:sz="6"/>
            </w:tcBorders>
            <w:shd w:fill="006633"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Valeur</w:t>
            </w:r>
          </w:p>
        </w:tc>
        <w:tc>
          <w:tcPr>
            <w:tcW w:type="dxa" w:w="4000"/>
            <w:tcBorders>
              <w:top w:val="single" w:color="006633" w:sz="6"/>
              <w:left w:val="single" w:color="006633" w:sz="6"/>
              <w:bottom w:val="single" w:color="006633" w:sz="6"/>
              <w:right w:val="single" w:color="006633" w:sz="6"/>
            </w:tcBorders>
            <w:shd w:fill="006633"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Détail</w:t>
            </w:r>
          </w:p>
        </w:tc>
      </w:tr>
      <w:tr>
        <w:tc>
          <w:tcPr>
            <w:tcW w:type="dxa" w:w="25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color w:val="004422"/>
                <w:sz w:val="22"/>
                <w:szCs w:val="22"/>
              </w:rPr>
              <w:t xml:space="preserve">Observations</w:t>
            </w:r>
          </w:p>
        </w:tc>
        <w:tc>
          <w:tcPr>
            <w:tcW w:type="dxa" w:w="2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2C2C2C"/>
                <w:sz w:val="22"/>
                <w:szCs w:val="22"/>
              </w:rPr>
              <w:t xml:space="preserve">10 127</w:t>
            </w:r>
          </w:p>
        </w:tc>
        <w:tc>
          <w:tcPr>
            <w:tcW w:type="dxa" w:w="4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2C2C2C"/>
                <w:sz w:val="22"/>
                <w:szCs w:val="22"/>
              </w:rPr>
              <w:t xml:space="preserve">Clients bancaires</w:t>
            </w:r>
          </w:p>
        </w:tc>
      </w:tr>
      <w:tr>
        <w:tc>
          <w:tcPr>
            <w:tcW w:type="dxa" w:w="2500"/>
            <w:tcBorders>
              <w:top w:val="single" w:color="CCCCCC" w:sz="6"/>
              <w:left w:val="single" w:color="CCCCCC" w:sz="6"/>
              <w:bottom w:val="single" w:color="CCCCCC" w:sz="6"/>
              <w:right w:val="single" w:color="CCCCCC" w:sz="6"/>
            </w:tcBorders>
            <w:shd w:fill="F2F7F4" w:val="clear"/>
            <w:tcMar>
              <w:top w:type="dxa" w:w="80"/>
              <w:left w:type="dxa" w:w="120"/>
              <w:bottom w:type="dxa" w:w="80"/>
              <w:right w:type="dxa" w:w="120"/>
            </w:tcMar>
          </w:tcPr>
          <w:p>
            <w:pPr>
              <w:jc w:val="left"/>
            </w:pPr>
            <w:r>
              <w:rPr>
                <w:rFonts w:ascii="Times New Roman" w:cs="Times New Roman" w:eastAsia="Times New Roman" w:hAnsi="Times New Roman"/>
                <w:b/>
                <w:bCs/>
                <w:color w:val="004422"/>
                <w:sz w:val="22"/>
                <w:szCs w:val="22"/>
              </w:rPr>
              <w:t xml:space="preserve">Features retenues</w:t>
            </w:r>
          </w:p>
        </w:tc>
        <w:tc>
          <w:tcPr>
            <w:tcW w:type="dxa" w:w="2000"/>
            <w:tcBorders>
              <w:top w:val="single" w:color="CCCCCC" w:sz="6"/>
              <w:left w:val="single" w:color="CCCCCC" w:sz="6"/>
              <w:bottom w:val="single" w:color="CCCCCC" w:sz="6"/>
              <w:right w:val="single" w:color="CCCCCC" w:sz="6"/>
            </w:tcBorders>
            <w:shd w:fill="F2F7F4"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2C2C2C"/>
                <w:sz w:val="22"/>
                <w:szCs w:val="22"/>
              </w:rPr>
              <w:t xml:space="preserve">19</w:t>
            </w:r>
          </w:p>
        </w:tc>
        <w:tc>
          <w:tcPr>
            <w:tcW w:type="dxa" w:w="4000"/>
            <w:tcBorders>
              <w:top w:val="single" w:color="CCCCCC" w:sz="6"/>
              <w:left w:val="single" w:color="CCCCCC" w:sz="6"/>
              <w:bottom w:val="single" w:color="CCCCCC" w:sz="6"/>
              <w:right w:val="single" w:color="CCCCCC" w:sz="6"/>
            </w:tcBorders>
            <w:shd w:fill="F2F7F4"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2C2C2C"/>
                <w:sz w:val="22"/>
                <w:szCs w:val="22"/>
              </w:rPr>
              <w:t xml:space="preserve">14 numériques + 5 catégorielles</w:t>
            </w:r>
          </w:p>
        </w:tc>
      </w:tr>
      <w:tr>
        <w:tc>
          <w:tcPr>
            <w:tcW w:type="dxa" w:w="25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color w:val="004422"/>
                <w:sz w:val="22"/>
                <w:szCs w:val="22"/>
              </w:rPr>
              <w:t xml:space="preserve">Taux de churn</w:t>
            </w:r>
          </w:p>
        </w:tc>
        <w:tc>
          <w:tcPr>
            <w:tcW w:type="dxa" w:w="2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2C2C2C"/>
                <w:sz w:val="22"/>
                <w:szCs w:val="22"/>
              </w:rPr>
              <w:t xml:space="preserve">16,1 %</w:t>
            </w:r>
          </w:p>
        </w:tc>
        <w:tc>
          <w:tcPr>
            <w:tcW w:type="dxa" w:w="4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2C2C2C"/>
                <w:sz w:val="22"/>
                <w:szCs w:val="22"/>
              </w:rPr>
              <w:t xml:space="preserve">1 627 clients attrited / 8 500 existing</w:t>
            </w:r>
          </w:p>
        </w:tc>
      </w:tr>
      <w:tr>
        <w:tc>
          <w:tcPr>
            <w:tcW w:type="dxa" w:w="2500"/>
            <w:tcBorders>
              <w:top w:val="single" w:color="CCCCCC" w:sz="6"/>
              <w:left w:val="single" w:color="CCCCCC" w:sz="6"/>
              <w:bottom w:val="single" w:color="CCCCCC" w:sz="6"/>
              <w:right w:val="single" w:color="CCCCCC" w:sz="6"/>
            </w:tcBorders>
            <w:shd w:fill="F2F7F4" w:val="clear"/>
            <w:tcMar>
              <w:top w:type="dxa" w:w="80"/>
              <w:left w:type="dxa" w:w="120"/>
              <w:bottom w:type="dxa" w:w="80"/>
              <w:right w:type="dxa" w:w="120"/>
            </w:tcMar>
          </w:tcPr>
          <w:p>
            <w:pPr>
              <w:jc w:val="left"/>
            </w:pPr>
            <w:r>
              <w:rPr>
                <w:rFonts w:ascii="Times New Roman" w:cs="Times New Roman" w:eastAsia="Times New Roman" w:hAnsi="Times New Roman"/>
                <w:b/>
                <w:bCs/>
                <w:color w:val="004422"/>
                <w:sz w:val="22"/>
                <w:szCs w:val="22"/>
              </w:rPr>
              <w:t xml:space="preserve">Valeurs manquantes</w:t>
            </w:r>
          </w:p>
        </w:tc>
        <w:tc>
          <w:tcPr>
            <w:tcW w:type="dxa" w:w="2000"/>
            <w:tcBorders>
              <w:top w:val="single" w:color="CCCCCC" w:sz="6"/>
              <w:left w:val="single" w:color="CCCCCC" w:sz="6"/>
              <w:bottom w:val="single" w:color="CCCCCC" w:sz="6"/>
              <w:right w:val="single" w:color="CCCCCC" w:sz="6"/>
            </w:tcBorders>
            <w:shd w:fill="F2F7F4"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2C2C2C"/>
                <w:sz w:val="22"/>
                <w:szCs w:val="22"/>
              </w:rPr>
              <w:t xml:space="preserve">0</w:t>
            </w:r>
          </w:p>
        </w:tc>
        <w:tc>
          <w:tcPr>
            <w:tcW w:type="dxa" w:w="4000"/>
            <w:tcBorders>
              <w:top w:val="single" w:color="CCCCCC" w:sz="6"/>
              <w:left w:val="single" w:color="CCCCCC" w:sz="6"/>
              <w:bottom w:val="single" w:color="CCCCCC" w:sz="6"/>
              <w:right w:val="single" w:color="CCCCCC" w:sz="6"/>
            </w:tcBorders>
            <w:shd w:fill="F2F7F4"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2C2C2C"/>
                <w:sz w:val="22"/>
                <w:szCs w:val="22"/>
              </w:rPr>
              <w:t xml:space="preserve">Dataset complet, aucune imputation requise</w:t>
            </w:r>
          </w:p>
        </w:tc>
      </w:tr>
    </w:tbl>
    <w:p>
      <w:pPr>
        <w:spacing w:before="0" w:after="200"/>
      </w:pPr>
      <w:r>
        <w:t xml:space="preserve"/>
      </w:r>
    </w:p>
    <w:p>
      <w:pPr>
        <w:spacing w:line="360" w:lineRule="auto" w:before="0" w:after="120"/>
        <w:ind w:firstLine="720"/>
        <w:jc w:val="both"/>
      </w:pPr>
      <w:r>
        <w:rPr>
          <w:rFonts w:ascii="Times New Roman" w:cs="Times New Roman" w:eastAsia="Times New Roman" w:hAnsi="Times New Roman"/>
          <w:color w:val="2C2C2C"/>
          <w:sz w:val="24"/>
          <w:szCs w:val="24"/>
        </w:rPr>
        <w:t xml:space="preserve">L'analyse exploratoire révèle un déséquilibre notable entre les classes (83,9 % de clients existants contre 16,1 % de churners), déséquilibre qui constitue le principal défi méthodologique de ce travail. Par ailleurs, les visualisations effectuées mettent en évidence que les clients churners présentent en moyenne significativement moins de transactions (Total_Trans_Ct), un montant total de transactions plus faible (Total_Trans_Amt) et un solde revolving réduit (Total_Revolving_Bal) — ces variables s'avèrent être les signaux d'alerte les plus discriminants.</w:t>
      </w:r>
    </w:p>
    <w:p>
      <w:pPr>
        <w:pStyle w:val="Heading2"/>
        <w:spacing w:before="240" w:after="120"/>
        <w:ind w:left="360"/>
      </w:pPr>
      <w:r>
        <w:rPr>
          <w:rFonts w:ascii="Times New Roman" w:cs="Times New Roman" w:eastAsia="Times New Roman" w:hAnsi="Times New Roman"/>
          <w:b/>
          <w:bCs/>
          <w:color w:val="004422"/>
          <w:sz w:val="24"/>
          <w:szCs w:val="24"/>
        </w:rPr>
        <w:t xml:space="preserve">II.2  Prétraitement</w:t>
      </w:r>
    </w:p>
    <w:p>
      <w:pPr>
        <w:spacing w:line="360" w:lineRule="auto" w:before="0" w:after="120"/>
        <w:ind w:firstLine="720"/>
        <w:jc w:val="both"/>
      </w:pPr>
      <w:r>
        <w:rPr>
          <w:rFonts w:ascii="Times New Roman" w:cs="Times New Roman" w:eastAsia="Times New Roman" w:hAnsi="Times New Roman"/>
          <w:color w:val="2C2C2C"/>
          <w:sz w:val="24"/>
          <w:szCs w:val="24"/>
        </w:rPr>
        <w:t xml:space="preserve">Le prétraitement a été conduit selon les bonnes pratiques enseignées dans le cours, en veillant scrupuleusement à l'absence de data leakage. La séquence des opérations est la suivante :</w:t>
      </w:r>
    </w:p>
    <w:p>
      <w:pPr>
        <w:pStyle w:val="ListParagraph"/>
        <w:numPr>
          <w:ilvl w:val="0"/>
          <w:numId w:val="2"/>
        </w:numPr>
        <w:spacing w:line="360" w:lineRule="auto" w:before="0" w:after="80"/>
      </w:pPr>
      <w:r>
        <w:rPr>
          <w:rFonts w:ascii="Times New Roman" w:cs="Times New Roman" w:eastAsia="Times New Roman" w:hAnsi="Times New Roman"/>
          <w:color w:val="2C2C2C"/>
          <w:sz w:val="24"/>
          <w:szCs w:val="24"/>
        </w:rPr>
        <w:t xml:space="preserve">Encodage de la variable cible : conversion de la variable textuelle Attrition_Flag en variable binaire (1 = Attrited Customer, 0 = Existing Customer).</w:t>
      </w:r>
    </w:p>
    <w:p>
      <w:pPr>
        <w:pStyle w:val="ListParagraph"/>
        <w:numPr>
          <w:ilvl w:val="0"/>
          <w:numId w:val="2"/>
        </w:numPr>
        <w:spacing w:line="360" w:lineRule="auto" w:before="0" w:after="80"/>
      </w:pPr>
      <w:r>
        <w:rPr>
          <w:rFonts w:ascii="Times New Roman" w:cs="Times New Roman" w:eastAsia="Times New Roman" w:hAnsi="Times New Roman"/>
          <w:color w:val="2C2C2C"/>
          <w:sz w:val="24"/>
          <w:szCs w:val="24"/>
        </w:rPr>
        <w:t xml:space="preserve">Encodage des variables catégorielles : application du LabelEncoder de Scikit-learn aux cinq variables catégorielles (Gender, Education_Level, Marital_Status, Income_Category, Card_Category).</w:t>
      </w:r>
    </w:p>
    <w:p>
      <w:pPr>
        <w:pStyle w:val="ListParagraph"/>
        <w:numPr>
          <w:ilvl w:val="0"/>
          <w:numId w:val="2"/>
        </w:numPr>
        <w:spacing w:line="360" w:lineRule="auto" w:before="0" w:after="80"/>
      </w:pPr>
      <w:r>
        <w:rPr>
          <w:rFonts w:ascii="Times New Roman" w:cs="Times New Roman" w:eastAsia="Times New Roman" w:hAnsi="Times New Roman"/>
          <w:color w:val="2C2C2C"/>
          <w:sz w:val="24"/>
          <w:szCs w:val="24"/>
        </w:rPr>
        <w:t xml:space="preserve">Séparation train/test stratifiée : division du dataset en 80 % pour l'entraînement (8 101 observations) et 20 % pour le test (2 026 observations), avec stratification sur la variable cible afin de préserver le ratio 83,9 %/16,1 % dans les deux sous-ensembles.</w:t>
      </w:r>
    </w:p>
    <w:p>
      <w:pPr>
        <w:pStyle w:val="ListParagraph"/>
        <w:numPr>
          <w:ilvl w:val="0"/>
          <w:numId w:val="2"/>
        </w:numPr>
        <w:spacing w:line="360" w:lineRule="auto" w:before="0" w:after="80"/>
      </w:pPr>
      <w:r>
        <w:rPr>
          <w:rFonts w:ascii="Times New Roman" w:cs="Times New Roman" w:eastAsia="Times New Roman" w:hAnsi="Times New Roman"/>
          <w:color w:val="2C2C2C"/>
          <w:sz w:val="24"/>
          <w:szCs w:val="24"/>
        </w:rPr>
        <w:t xml:space="preserve">Normalisation : application du StandardScaler de Scikit-learn, ajusté exclusivement sur l'ensemble d'entraînement (fit_transform sur X_train, transform uniquement sur X_test) pour SVM, KNN, Régression Logistique et MLP. Les algorithmes basés sur les arbres (Decision Tree, Random Forest, Gradient Boosting) n'ont pas nécessité de normalisation.</w:t>
      </w:r>
    </w:p>
    <w:p>
      <w:pPr>
        <w:pStyle w:val="ListParagraph"/>
        <w:numPr>
          <w:ilvl w:val="0"/>
          <w:numId w:val="2"/>
        </w:numPr>
        <w:spacing w:line="360" w:lineRule="auto" w:before="0" w:after="80"/>
      </w:pPr>
      <w:r>
        <w:rPr>
          <w:rFonts w:ascii="Times New Roman" w:cs="Times New Roman" w:eastAsia="Times New Roman" w:hAnsi="Times New Roman"/>
          <w:color w:val="2C2C2C"/>
          <w:sz w:val="24"/>
          <w:szCs w:val="24"/>
        </w:rPr>
        <w:t xml:space="preserve">Validation croisée : mise en place d'une StratifiedKFold à 5 plis pour toutes les estimations de performance, garantissant des estimations robustes face au déséquilibre des classes.</w:t>
      </w:r>
    </w:p>
    <w:p>
      <w:pPr>
        <w:spacing w:before="0" w:after="120"/>
      </w:pPr>
      <w:r>
        <w:t xml:space="preserve"/>
      </w:r>
    </w:p>
    <w:p>
      <w:pPr>
        <w:pStyle w:val="Heading2"/>
        <w:spacing w:before="240" w:after="120"/>
        <w:ind w:left="360"/>
      </w:pPr>
      <w:r>
        <w:rPr>
          <w:rFonts w:ascii="Times New Roman" w:cs="Times New Roman" w:eastAsia="Times New Roman" w:hAnsi="Times New Roman"/>
          <w:b/>
          <w:bCs/>
          <w:color w:val="004422"/>
          <w:sz w:val="24"/>
          <w:szCs w:val="24"/>
        </w:rPr>
        <w:t xml:space="preserve">II.3  Modélisation — Présentation des Algorithmes</w:t>
      </w:r>
    </w:p>
    <w:p>
      <w:pPr>
        <w:spacing w:line="360" w:lineRule="auto" w:before="0" w:after="120"/>
        <w:ind w:firstLine="720"/>
        <w:jc w:val="both"/>
      </w:pPr>
      <w:r>
        <w:rPr>
          <w:rFonts w:ascii="Times New Roman" w:cs="Times New Roman" w:eastAsia="Times New Roman" w:hAnsi="Times New Roman"/>
          <w:color w:val="2C2C2C"/>
          <w:sz w:val="24"/>
          <w:szCs w:val="24"/>
        </w:rPr>
        <w:t xml:space="preserve">Huit algorithmes représentatifs des principales familles de l'apprentissage supervisé ont été implémentés et comparés. La progression adoptée suit la logique pédagogique du cours : démarrer par les modèles simples et interprétables (baseline), puis progresser vers les méthodes d'ensemble plus complexes.</w:t>
      </w:r>
    </w:p>
    <w:p>
      <w:pPr>
        <w:spacing w:before="0" w:after="120"/>
      </w:pPr>
      <w:r>
        <w:t xml:space="preserve"/>
      </w:r>
    </w:p>
    <w:p>
      <w:pPr>
        <w:spacing w:before="0" w:after="80"/>
        <w:jc w:val="center"/>
      </w:pPr>
      <w:r>
        <w:rPr>
          <w:rFonts w:ascii="Times New Roman" w:cs="Times New Roman" w:eastAsia="Times New Roman" w:hAnsi="Times New Roman"/>
          <w:i/>
          <w:iCs/>
          <w:color w:val="2C2C2C"/>
          <w:sz w:val="20"/>
          <w:szCs w:val="20"/>
        </w:rPr>
        <w:t xml:space="preserve">Tableau 2 : Présentation des algorithmes implémentés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2000"/>
        <w:gridCol w:w="2000"/>
      </w:tblGrid>
      <w:tr>
        <w:tc>
          <w:tcPr>
            <w:tcW w:type="dxa" w:w="2200"/>
            <w:tcBorders>
              <w:top w:val="single" w:color="006633" w:sz="6"/>
              <w:left w:val="single" w:color="006633" w:sz="6"/>
              <w:bottom w:val="single" w:color="006633" w:sz="6"/>
              <w:right w:val="single" w:color="006633" w:sz="6"/>
            </w:tcBorders>
            <w:shd w:fill="006633"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Algorithme</w:t>
            </w:r>
          </w:p>
        </w:tc>
        <w:tc>
          <w:tcPr>
            <w:tcW w:type="dxa" w:w="2300"/>
            <w:tcBorders>
              <w:top w:val="single" w:color="006633" w:sz="6"/>
              <w:left w:val="single" w:color="006633" w:sz="6"/>
              <w:bottom w:val="single" w:color="006633" w:sz="6"/>
              <w:right w:val="single" w:color="006633" w:sz="6"/>
            </w:tcBorders>
            <w:shd w:fill="006633"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Famille</w:t>
            </w:r>
          </w:p>
        </w:tc>
        <w:tc>
          <w:tcPr>
            <w:tcW w:type="dxa" w:w="2000"/>
            <w:tcBorders>
              <w:top w:val="single" w:color="006633" w:sz="6"/>
              <w:left w:val="single" w:color="006633" w:sz="6"/>
              <w:bottom w:val="single" w:color="006633" w:sz="6"/>
              <w:right w:val="single" w:color="006633" w:sz="6"/>
            </w:tcBorders>
            <w:shd w:fill="006633"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Normalisation</w:t>
            </w:r>
          </w:p>
        </w:tc>
        <w:tc>
          <w:tcPr>
            <w:tcW w:type="dxa" w:w="2000"/>
            <w:tcBorders>
              <w:top w:val="single" w:color="006633" w:sz="6"/>
              <w:left w:val="single" w:color="006633" w:sz="6"/>
              <w:bottom w:val="single" w:color="006633" w:sz="6"/>
              <w:right w:val="single" w:color="006633" w:sz="6"/>
            </w:tcBorders>
            <w:shd w:fill="006633"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Paramètres clés</w:t>
            </w:r>
          </w:p>
        </w:tc>
      </w:tr>
      <w:tr>
        <w:tc>
          <w:tcPr>
            <w:tcW w:type="dxa" w:w="2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color w:val="004422"/>
                <w:sz w:val="22"/>
                <w:szCs w:val="22"/>
              </w:rPr>
              <w:t xml:space="preserve">Régression Logistique</w:t>
            </w:r>
          </w:p>
        </w:tc>
        <w:tc>
          <w:tcPr>
            <w:tcW w:type="dxa" w:w="23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2C2C2C"/>
                <w:sz w:val="22"/>
                <w:szCs w:val="22"/>
              </w:rPr>
              <w:t xml:space="preserve">Modèle linéaire</w:t>
            </w:r>
          </w:p>
        </w:tc>
        <w:tc>
          <w:tcPr>
            <w:tcW w:type="dxa" w:w="2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2C2C2C"/>
                <w:sz w:val="22"/>
                <w:szCs w:val="22"/>
              </w:rPr>
              <w:t xml:space="preserve">Oui</w:t>
            </w:r>
          </w:p>
        </w:tc>
        <w:tc>
          <w:tcPr>
            <w:tcW w:type="dxa" w:w="2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2C2C2C"/>
                <w:sz w:val="22"/>
                <w:szCs w:val="22"/>
              </w:rPr>
              <w:t xml:space="preserve">C=1.0, max_iter=1000</w:t>
            </w:r>
          </w:p>
        </w:tc>
      </w:tr>
      <w:tr>
        <w:tc>
          <w:tcPr>
            <w:tcW w:type="dxa" w:w="2200"/>
            <w:tcBorders>
              <w:top w:val="single" w:color="CCCCCC" w:sz="6"/>
              <w:left w:val="single" w:color="CCCCCC" w:sz="6"/>
              <w:bottom w:val="single" w:color="CCCCCC" w:sz="6"/>
              <w:right w:val="single" w:color="CCCCCC" w:sz="6"/>
            </w:tcBorders>
            <w:shd w:fill="F2F7F4" w:val="clear"/>
            <w:tcMar>
              <w:top w:type="dxa" w:w="80"/>
              <w:left w:type="dxa" w:w="120"/>
              <w:bottom w:type="dxa" w:w="80"/>
              <w:right w:type="dxa" w:w="120"/>
            </w:tcMar>
          </w:tcPr>
          <w:p>
            <w:pPr>
              <w:jc w:val="left"/>
            </w:pPr>
            <w:r>
              <w:rPr>
                <w:rFonts w:ascii="Times New Roman" w:cs="Times New Roman" w:eastAsia="Times New Roman" w:hAnsi="Times New Roman"/>
                <w:b/>
                <w:bCs/>
                <w:color w:val="004422"/>
                <w:sz w:val="22"/>
                <w:szCs w:val="22"/>
              </w:rPr>
              <w:t xml:space="preserve">Naive Bayes (GNB)</w:t>
            </w:r>
          </w:p>
        </w:tc>
        <w:tc>
          <w:tcPr>
            <w:tcW w:type="dxa" w:w="2300"/>
            <w:tcBorders>
              <w:top w:val="single" w:color="CCCCCC" w:sz="6"/>
              <w:left w:val="single" w:color="CCCCCC" w:sz="6"/>
              <w:bottom w:val="single" w:color="CCCCCC" w:sz="6"/>
              <w:right w:val="single" w:color="CCCCCC" w:sz="6"/>
            </w:tcBorders>
            <w:shd w:fill="F2F7F4"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2C2C2C"/>
                <w:sz w:val="22"/>
                <w:szCs w:val="22"/>
              </w:rPr>
              <w:t xml:space="preserve">Probabiliste</w:t>
            </w:r>
          </w:p>
        </w:tc>
        <w:tc>
          <w:tcPr>
            <w:tcW w:type="dxa" w:w="2000"/>
            <w:tcBorders>
              <w:top w:val="single" w:color="CCCCCC" w:sz="6"/>
              <w:left w:val="single" w:color="CCCCCC" w:sz="6"/>
              <w:bottom w:val="single" w:color="CCCCCC" w:sz="6"/>
              <w:right w:val="single" w:color="CCCCCC" w:sz="6"/>
            </w:tcBorders>
            <w:shd w:fill="F2F7F4"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2C2C2C"/>
                <w:sz w:val="22"/>
                <w:szCs w:val="22"/>
              </w:rPr>
              <w:t xml:space="preserve">Oui</w:t>
            </w:r>
          </w:p>
        </w:tc>
        <w:tc>
          <w:tcPr>
            <w:tcW w:type="dxa" w:w="2000"/>
            <w:tcBorders>
              <w:top w:val="single" w:color="CCCCCC" w:sz="6"/>
              <w:left w:val="single" w:color="CCCCCC" w:sz="6"/>
              <w:bottom w:val="single" w:color="CCCCCC" w:sz="6"/>
              <w:right w:val="single" w:color="CCCCCC" w:sz="6"/>
            </w:tcBorders>
            <w:shd w:fill="F2F7F4"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2C2C2C"/>
                <w:sz w:val="22"/>
                <w:szCs w:val="22"/>
              </w:rPr>
              <w:t xml:space="preserve">—</w:t>
            </w:r>
          </w:p>
        </w:tc>
      </w:tr>
      <w:tr>
        <w:tc>
          <w:tcPr>
            <w:tcW w:type="dxa" w:w="2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color w:val="004422"/>
                <w:sz w:val="22"/>
                <w:szCs w:val="22"/>
              </w:rPr>
              <w:t xml:space="preserve">KNN</w:t>
            </w:r>
          </w:p>
        </w:tc>
        <w:tc>
          <w:tcPr>
            <w:tcW w:type="dxa" w:w="23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2C2C2C"/>
                <w:sz w:val="22"/>
                <w:szCs w:val="22"/>
              </w:rPr>
              <w:t xml:space="preserve">Basé instance</w:t>
            </w:r>
          </w:p>
        </w:tc>
        <w:tc>
          <w:tcPr>
            <w:tcW w:type="dxa" w:w="2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2C2C2C"/>
                <w:sz w:val="22"/>
                <w:szCs w:val="22"/>
              </w:rPr>
              <w:t xml:space="preserve">Oui</w:t>
            </w:r>
          </w:p>
        </w:tc>
        <w:tc>
          <w:tcPr>
            <w:tcW w:type="dxa" w:w="2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2C2C2C"/>
                <w:sz w:val="22"/>
                <w:szCs w:val="22"/>
              </w:rPr>
              <w:t xml:space="preserve">k=21 (CV)</w:t>
            </w:r>
          </w:p>
        </w:tc>
      </w:tr>
      <w:tr>
        <w:tc>
          <w:tcPr>
            <w:tcW w:type="dxa" w:w="2200"/>
            <w:tcBorders>
              <w:top w:val="single" w:color="CCCCCC" w:sz="6"/>
              <w:left w:val="single" w:color="CCCCCC" w:sz="6"/>
              <w:bottom w:val="single" w:color="CCCCCC" w:sz="6"/>
              <w:right w:val="single" w:color="CCCCCC" w:sz="6"/>
            </w:tcBorders>
            <w:shd w:fill="F2F7F4" w:val="clear"/>
            <w:tcMar>
              <w:top w:type="dxa" w:w="80"/>
              <w:left w:type="dxa" w:w="120"/>
              <w:bottom w:type="dxa" w:w="80"/>
              <w:right w:type="dxa" w:w="120"/>
            </w:tcMar>
          </w:tcPr>
          <w:p>
            <w:pPr>
              <w:jc w:val="left"/>
            </w:pPr>
            <w:r>
              <w:rPr>
                <w:rFonts w:ascii="Times New Roman" w:cs="Times New Roman" w:eastAsia="Times New Roman" w:hAnsi="Times New Roman"/>
                <w:b/>
                <w:bCs/>
                <w:color w:val="004422"/>
                <w:sz w:val="22"/>
                <w:szCs w:val="22"/>
              </w:rPr>
              <w:t xml:space="preserve">SVM (RBF)</w:t>
            </w:r>
          </w:p>
        </w:tc>
        <w:tc>
          <w:tcPr>
            <w:tcW w:type="dxa" w:w="2300"/>
            <w:tcBorders>
              <w:top w:val="single" w:color="CCCCCC" w:sz="6"/>
              <w:left w:val="single" w:color="CCCCCC" w:sz="6"/>
              <w:bottom w:val="single" w:color="CCCCCC" w:sz="6"/>
              <w:right w:val="single" w:color="CCCCCC" w:sz="6"/>
            </w:tcBorders>
            <w:shd w:fill="F2F7F4"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2C2C2C"/>
                <w:sz w:val="22"/>
                <w:szCs w:val="22"/>
              </w:rPr>
              <w:t xml:space="preserve">Marge maximale</w:t>
            </w:r>
          </w:p>
        </w:tc>
        <w:tc>
          <w:tcPr>
            <w:tcW w:type="dxa" w:w="2000"/>
            <w:tcBorders>
              <w:top w:val="single" w:color="CCCCCC" w:sz="6"/>
              <w:left w:val="single" w:color="CCCCCC" w:sz="6"/>
              <w:bottom w:val="single" w:color="CCCCCC" w:sz="6"/>
              <w:right w:val="single" w:color="CCCCCC" w:sz="6"/>
            </w:tcBorders>
            <w:shd w:fill="F2F7F4"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2C2C2C"/>
                <w:sz w:val="22"/>
                <w:szCs w:val="22"/>
              </w:rPr>
              <w:t xml:space="preserve">Oui</w:t>
            </w:r>
          </w:p>
        </w:tc>
        <w:tc>
          <w:tcPr>
            <w:tcW w:type="dxa" w:w="2000"/>
            <w:tcBorders>
              <w:top w:val="single" w:color="CCCCCC" w:sz="6"/>
              <w:left w:val="single" w:color="CCCCCC" w:sz="6"/>
              <w:bottom w:val="single" w:color="CCCCCC" w:sz="6"/>
              <w:right w:val="single" w:color="CCCCCC" w:sz="6"/>
            </w:tcBorders>
            <w:shd w:fill="F2F7F4"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2C2C2C"/>
                <w:sz w:val="22"/>
                <w:szCs w:val="22"/>
              </w:rPr>
              <w:t xml:space="preserve">C=1.0, kernel='rbf'</w:t>
            </w:r>
          </w:p>
        </w:tc>
      </w:tr>
      <w:tr>
        <w:tc>
          <w:tcPr>
            <w:tcW w:type="dxa" w:w="2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color w:val="004422"/>
                <w:sz w:val="22"/>
                <w:szCs w:val="22"/>
              </w:rPr>
              <w:t xml:space="preserve">Decision Tree</w:t>
            </w:r>
          </w:p>
        </w:tc>
        <w:tc>
          <w:tcPr>
            <w:tcW w:type="dxa" w:w="23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2C2C2C"/>
                <w:sz w:val="22"/>
                <w:szCs w:val="22"/>
              </w:rPr>
              <w:t xml:space="preserve">Arbre de décision</w:t>
            </w:r>
          </w:p>
        </w:tc>
        <w:tc>
          <w:tcPr>
            <w:tcW w:type="dxa" w:w="2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2C2C2C"/>
                <w:sz w:val="22"/>
                <w:szCs w:val="22"/>
              </w:rPr>
              <w:t xml:space="preserve">Non</w:t>
            </w:r>
          </w:p>
        </w:tc>
        <w:tc>
          <w:tcPr>
            <w:tcW w:type="dxa" w:w="2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2C2C2C"/>
                <w:sz w:val="22"/>
                <w:szCs w:val="22"/>
              </w:rPr>
              <w:t xml:space="preserve">max_depth=6, min_leaf=20</w:t>
            </w:r>
          </w:p>
        </w:tc>
      </w:tr>
      <w:tr>
        <w:tc>
          <w:tcPr>
            <w:tcW w:type="dxa" w:w="2200"/>
            <w:tcBorders>
              <w:top w:val="single" w:color="CCCCCC" w:sz="6"/>
              <w:left w:val="single" w:color="CCCCCC" w:sz="6"/>
              <w:bottom w:val="single" w:color="CCCCCC" w:sz="6"/>
              <w:right w:val="single" w:color="CCCCCC" w:sz="6"/>
            </w:tcBorders>
            <w:shd w:fill="F2F7F4" w:val="clear"/>
            <w:tcMar>
              <w:top w:type="dxa" w:w="80"/>
              <w:left w:type="dxa" w:w="120"/>
              <w:bottom w:type="dxa" w:w="80"/>
              <w:right w:type="dxa" w:w="120"/>
            </w:tcMar>
          </w:tcPr>
          <w:p>
            <w:pPr>
              <w:jc w:val="left"/>
            </w:pPr>
            <w:r>
              <w:rPr>
                <w:rFonts w:ascii="Times New Roman" w:cs="Times New Roman" w:eastAsia="Times New Roman" w:hAnsi="Times New Roman"/>
                <w:b/>
                <w:bCs/>
                <w:color w:val="004422"/>
                <w:sz w:val="22"/>
                <w:szCs w:val="22"/>
              </w:rPr>
              <w:t xml:space="preserve">Random Forest</w:t>
            </w:r>
          </w:p>
        </w:tc>
        <w:tc>
          <w:tcPr>
            <w:tcW w:type="dxa" w:w="2300"/>
            <w:tcBorders>
              <w:top w:val="single" w:color="CCCCCC" w:sz="6"/>
              <w:left w:val="single" w:color="CCCCCC" w:sz="6"/>
              <w:bottom w:val="single" w:color="CCCCCC" w:sz="6"/>
              <w:right w:val="single" w:color="CCCCCC" w:sz="6"/>
            </w:tcBorders>
            <w:shd w:fill="F2F7F4"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2C2C2C"/>
                <w:sz w:val="22"/>
                <w:szCs w:val="22"/>
              </w:rPr>
              <w:t xml:space="preserve">Ensemble (Bagging)</w:t>
            </w:r>
          </w:p>
        </w:tc>
        <w:tc>
          <w:tcPr>
            <w:tcW w:type="dxa" w:w="2000"/>
            <w:tcBorders>
              <w:top w:val="single" w:color="CCCCCC" w:sz="6"/>
              <w:left w:val="single" w:color="CCCCCC" w:sz="6"/>
              <w:bottom w:val="single" w:color="CCCCCC" w:sz="6"/>
              <w:right w:val="single" w:color="CCCCCC" w:sz="6"/>
            </w:tcBorders>
            <w:shd w:fill="F2F7F4"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2C2C2C"/>
                <w:sz w:val="22"/>
                <w:szCs w:val="22"/>
              </w:rPr>
              <w:t xml:space="preserve">Non</w:t>
            </w:r>
          </w:p>
        </w:tc>
        <w:tc>
          <w:tcPr>
            <w:tcW w:type="dxa" w:w="2000"/>
            <w:tcBorders>
              <w:top w:val="single" w:color="CCCCCC" w:sz="6"/>
              <w:left w:val="single" w:color="CCCCCC" w:sz="6"/>
              <w:bottom w:val="single" w:color="CCCCCC" w:sz="6"/>
              <w:right w:val="single" w:color="CCCCCC" w:sz="6"/>
            </w:tcBorders>
            <w:shd w:fill="F2F7F4"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2C2C2C"/>
                <w:sz w:val="22"/>
                <w:szCs w:val="22"/>
              </w:rPr>
              <w:t xml:space="preserve">n=200, balanced</w:t>
            </w:r>
          </w:p>
        </w:tc>
      </w:tr>
      <w:tr>
        <w:tc>
          <w:tcPr>
            <w:tcW w:type="dxa" w:w="2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color w:val="004422"/>
                <w:sz w:val="22"/>
                <w:szCs w:val="22"/>
              </w:rPr>
              <w:t xml:space="preserve">Gradient Boosting</w:t>
            </w:r>
          </w:p>
        </w:tc>
        <w:tc>
          <w:tcPr>
            <w:tcW w:type="dxa" w:w="23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2C2C2C"/>
                <w:sz w:val="22"/>
                <w:szCs w:val="22"/>
              </w:rPr>
              <w:t xml:space="preserve">Ensemble (Boosting)</w:t>
            </w:r>
          </w:p>
        </w:tc>
        <w:tc>
          <w:tcPr>
            <w:tcW w:type="dxa" w:w="2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2C2C2C"/>
                <w:sz w:val="22"/>
                <w:szCs w:val="22"/>
              </w:rPr>
              <w:t xml:space="preserve">Non</w:t>
            </w:r>
          </w:p>
        </w:tc>
        <w:tc>
          <w:tcPr>
            <w:tcW w:type="dxa" w:w="2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2C2C2C"/>
                <w:sz w:val="22"/>
                <w:szCs w:val="22"/>
              </w:rPr>
              <w:t xml:space="preserve">n=200, lr=0.05</w:t>
            </w:r>
          </w:p>
        </w:tc>
      </w:tr>
      <w:tr>
        <w:tc>
          <w:tcPr>
            <w:tcW w:type="dxa" w:w="2200"/>
            <w:tcBorders>
              <w:top w:val="single" w:color="CCCCCC" w:sz="6"/>
              <w:left w:val="single" w:color="CCCCCC" w:sz="6"/>
              <w:bottom w:val="single" w:color="CCCCCC" w:sz="6"/>
              <w:right w:val="single" w:color="CCCCCC" w:sz="6"/>
            </w:tcBorders>
            <w:shd w:fill="F2F7F4" w:val="clear"/>
            <w:tcMar>
              <w:top w:type="dxa" w:w="80"/>
              <w:left w:type="dxa" w:w="120"/>
              <w:bottom w:type="dxa" w:w="80"/>
              <w:right w:type="dxa" w:w="120"/>
            </w:tcMar>
          </w:tcPr>
          <w:p>
            <w:pPr>
              <w:jc w:val="left"/>
            </w:pPr>
            <w:r>
              <w:rPr>
                <w:rFonts w:ascii="Times New Roman" w:cs="Times New Roman" w:eastAsia="Times New Roman" w:hAnsi="Times New Roman"/>
                <w:b/>
                <w:bCs/>
                <w:color w:val="004422"/>
                <w:sz w:val="22"/>
                <w:szCs w:val="22"/>
              </w:rPr>
              <w:t xml:space="preserve">MLP</w:t>
            </w:r>
          </w:p>
        </w:tc>
        <w:tc>
          <w:tcPr>
            <w:tcW w:type="dxa" w:w="2300"/>
            <w:tcBorders>
              <w:top w:val="single" w:color="CCCCCC" w:sz="6"/>
              <w:left w:val="single" w:color="CCCCCC" w:sz="6"/>
              <w:bottom w:val="single" w:color="CCCCCC" w:sz="6"/>
              <w:right w:val="single" w:color="CCCCCC" w:sz="6"/>
            </w:tcBorders>
            <w:shd w:fill="F2F7F4"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2C2C2C"/>
                <w:sz w:val="22"/>
                <w:szCs w:val="22"/>
              </w:rPr>
              <w:t xml:space="preserve">Réseau de neurones</w:t>
            </w:r>
          </w:p>
        </w:tc>
        <w:tc>
          <w:tcPr>
            <w:tcW w:type="dxa" w:w="2000"/>
            <w:tcBorders>
              <w:top w:val="single" w:color="CCCCCC" w:sz="6"/>
              <w:left w:val="single" w:color="CCCCCC" w:sz="6"/>
              <w:bottom w:val="single" w:color="CCCCCC" w:sz="6"/>
              <w:right w:val="single" w:color="CCCCCC" w:sz="6"/>
            </w:tcBorders>
            <w:shd w:fill="F2F7F4"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2C2C2C"/>
                <w:sz w:val="22"/>
                <w:szCs w:val="22"/>
              </w:rPr>
              <w:t xml:space="preserve">Oui</w:t>
            </w:r>
          </w:p>
        </w:tc>
        <w:tc>
          <w:tcPr>
            <w:tcW w:type="dxa" w:w="2000"/>
            <w:tcBorders>
              <w:top w:val="single" w:color="CCCCCC" w:sz="6"/>
              <w:left w:val="single" w:color="CCCCCC" w:sz="6"/>
              <w:bottom w:val="single" w:color="CCCCCC" w:sz="6"/>
              <w:right w:val="single" w:color="CCCCCC" w:sz="6"/>
            </w:tcBorders>
            <w:shd w:fill="F2F7F4"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2C2C2C"/>
                <w:sz w:val="22"/>
                <w:szCs w:val="22"/>
              </w:rPr>
              <w:t xml:space="preserve">128→64→32, Adam</w:t>
            </w:r>
          </w:p>
        </w:tc>
      </w:tr>
    </w:tbl>
    <w:p>
      <w:pPr>
        <w:spacing w:before="0" w:after="200"/>
      </w:pPr>
      <w:r>
        <w:t xml:space="preserve"/>
      </w:r>
    </w:p>
    <w:p>
      <w:pPr>
        <w:spacing w:line="360" w:lineRule="auto" w:before="0" w:after="120"/>
        <w:ind w:firstLine="720"/>
        <w:jc w:val="both"/>
      </w:pPr>
      <w:r>
        <w:rPr>
          <w:rFonts w:ascii="Times New Roman" w:cs="Times New Roman" w:eastAsia="Times New Roman" w:hAnsi="Times New Roman"/>
          <w:color w:val="2C2C2C"/>
          <w:sz w:val="24"/>
          <w:szCs w:val="24"/>
        </w:rPr>
        <w:t xml:space="preserve">Pour chaque algorithme, le notebook génère une cellule théorique (formule, principe) suivie d'une cellule de code Python commentée. Les principaux choix de paramétrage sont justifiés dans le notebook : k=21 pour KNN (résultat de la recherche par cross-validation sur [3, 5, 7, 11, 15, 21]) ; learning_rate faible (0,05) avec n_estimators élevé (200) pour le Gradient Boosting ; architecture MLP à trois couches cachées (128 → 64 → 32) avec early stopping activé.</w:t>
      </w:r>
    </w:p>
    <w:p>
      <w:pPr>
        <w:spacing w:before="0" w:after="200"/>
      </w:pPr>
      <w:r>
        <w:t xml:space="preserve"/>
      </w:r>
    </w:p>
    <w:p>
      <w:pPr>
        <w:pBdr>
          <w:bottom w:val="single" w:color="D4A017" w:sz="12" w:space="1"/>
        </w:pBdr>
        <w:spacing w:before="100" w:after="100"/>
      </w:pPr>
      <w:r>
        <w:t xml:space="preserve"/>
      </w:r>
    </w:p>
    <w:p>
      <w:pPr>
        <w:spacing w:before="0" w:after="200"/>
      </w:pPr>
      <w:r>
        <w:t xml:space="preserve"/>
      </w:r>
    </w:p>
    <w:p>
      <w:pPr>
        <w:pStyle w:val="Heading1"/>
        <w:spacing w:before="360" w:after="180"/>
      </w:pPr>
      <w:r>
        <w:rPr>
          <w:rFonts w:ascii="Times New Roman" w:cs="Times New Roman" w:eastAsia="Times New Roman" w:hAnsi="Times New Roman"/>
          <w:b/>
          <w:bCs/>
          <w:color w:val="006633"/>
          <w:sz w:val="28"/>
          <w:szCs w:val="28"/>
        </w:rPr>
        <w:t xml:space="preserve">III.  Résultats et Discussion</w:t>
      </w:r>
    </w:p>
    <w:p>
      <w:pPr>
        <w:pStyle w:val="Heading2"/>
        <w:spacing w:before="240" w:after="120"/>
        <w:ind w:left="360"/>
      </w:pPr>
      <w:r>
        <w:rPr>
          <w:rFonts w:ascii="Times New Roman" w:cs="Times New Roman" w:eastAsia="Times New Roman" w:hAnsi="Times New Roman"/>
          <w:b/>
          <w:bCs/>
          <w:color w:val="004422"/>
          <w:sz w:val="24"/>
          <w:szCs w:val="24"/>
        </w:rPr>
        <w:t xml:space="preserve">III.1  Résultats Comparatifs</w:t>
      </w:r>
    </w:p>
    <w:p>
      <w:pPr>
        <w:spacing w:line="360" w:lineRule="auto" w:before="0" w:after="120"/>
        <w:ind w:firstLine="720"/>
        <w:jc w:val="both"/>
      </w:pPr>
      <w:r>
        <w:rPr>
          <w:rFonts w:ascii="Times New Roman" w:cs="Times New Roman" w:eastAsia="Times New Roman" w:hAnsi="Times New Roman"/>
          <w:color w:val="2C2C2C"/>
          <w:sz w:val="24"/>
          <w:szCs w:val="24"/>
        </w:rPr>
        <w:t xml:space="preserve">L'ensemble des modèles a été évalué selon quatre métriques complémentaires : Accuracy, F1-Score (classe minority), AUC-ROC et CV AUC (moyenne 5-fold StratifiedKFold). Le choix de l'AUC-ROC et du F1-Score comme métriques principales est motivé par leur robustesse face au déséquilibre des classes — l'Accuracy seule, qui atteindrait 83,9 % pour un classifieur trivial prédisant systématiquement la classe majoritaire, n'est pas un indicateur fiable dans ce contexte.</w:t>
      </w:r>
    </w:p>
    <w:p>
      <w:pPr>
        <w:spacing w:before="0" w:after="120"/>
      </w:pPr>
      <w:r>
        <w:t xml:space="preserve"/>
      </w:r>
    </w:p>
    <w:p>
      <w:pPr>
        <w:spacing w:before="0" w:after="80"/>
        <w:jc w:val="center"/>
      </w:pPr>
      <w:r>
        <w:rPr>
          <w:rFonts w:ascii="Times New Roman" w:cs="Times New Roman" w:eastAsia="Times New Roman" w:hAnsi="Times New Roman"/>
          <w:i/>
          <w:iCs/>
          <w:color w:val="2C2C2C"/>
          <w:sz w:val="20"/>
          <w:szCs w:val="20"/>
        </w:rPr>
        <w:t xml:space="preserve">Tableau 3 : Comparaison des performances des modèles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00"/>
        <w:gridCol w:w="1500"/>
      </w:tblGrid>
      <w:tr>
        <w:tc>
          <w:tcPr>
            <w:tcW w:type="dxa" w:w="2500"/>
            <w:tcBorders>
              <w:top w:val="single" w:color="006633" w:sz="6"/>
              <w:left w:val="single" w:color="006633" w:sz="6"/>
              <w:bottom w:val="single" w:color="006633" w:sz="6"/>
              <w:right w:val="single" w:color="006633" w:sz="6"/>
            </w:tcBorders>
            <w:shd w:fill="006633"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Modèle</w:t>
            </w:r>
          </w:p>
        </w:tc>
        <w:tc>
          <w:tcPr>
            <w:tcW w:type="dxa" w:w="1500"/>
            <w:tcBorders>
              <w:top w:val="single" w:color="006633" w:sz="6"/>
              <w:left w:val="single" w:color="006633" w:sz="6"/>
              <w:bottom w:val="single" w:color="006633" w:sz="6"/>
              <w:right w:val="single" w:color="006633" w:sz="6"/>
            </w:tcBorders>
            <w:shd w:fill="006633"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Accuracy</w:t>
            </w:r>
          </w:p>
        </w:tc>
        <w:tc>
          <w:tcPr>
            <w:tcW w:type="dxa" w:w="1500"/>
            <w:tcBorders>
              <w:top w:val="single" w:color="006633" w:sz="6"/>
              <w:left w:val="single" w:color="006633" w:sz="6"/>
              <w:bottom w:val="single" w:color="006633" w:sz="6"/>
              <w:right w:val="single" w:color="006633" w:sz="6"/>
            </w:tcBorders>
            <w:shd w:fill="006633"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F1-Score</w:t>
            </w:r>
          </w:p>
        </w:tc>
        <w:tc>
          <w:tcPr>
            <w:tcW w:type="dxa" w:w="1500"/>
            <w:tcBorders>
              <w:top w:val="single" w:color="006633" w:sz="6"/>
              <w:left w:val="single" w:color="006633" w:sz="6"/>
              <w:bottom w:val="single" w:color="006633" w:sz="6"/>
              <w:right w:val="single" w:color="006633" w:sz="6"/>
            </w:tcBorders>
            <w:shd w:fill="006633"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AUC-ROC</w:t>
            </w:r>
          </w:p>
        </w:tc>
        <w:tc>
          <w:tcPr>
            <w:tcW w:type="dxa" w:w="1500"/>
            <w:tcBorders>
              <w:top w:val="single" w:color="006633" w:sz="6"/>
              <w:left w:val="single" w:color="006633" w:sz="6"/>
              <w:bottom w:val="single" w:color="006633" w:sz="6"/>
              <w:right w:val="single" w:color="006633" w:sz="6"/>
            </w:tcBorders>
            <w:shd w:fill="006633"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CV AUC</w:t>
            </w:r>
          </w:p>
        </w:tc>
      </w:tr>
      <w:tr>
        <w:tc>
          <w:tcPr>
            <w:tcW w:type="dxa" w:w="2500"/>
            <w:tcBorders>
              <w:top w:val="single" w:color="006633" w:sz="6"/>
              <w:left w:val="single" w:color="006633" w:sz="6"/>
              <w:bottom w:val="single" w:color="006633" w:sz="6"/>
              <w:right w:val="single" w:color="006633" w:sz="6"/>
            </w:tcBorders>
            <w:shd w:fill="E8F5EE" w:val="clear"/>
            <w:tcMar>
              <w:top w:type="dxa" w:w="100"/>
              <w:left w:type="dxa" w:w="120"/>
              <w:bottom w:type="dxa" w:w="100"/>
              <w:right w:type="dxa" w:w="120"/>
            </w:tcMar>
          </w:tcPr>
          <w:p>
            <w:r>
              <w:rPr>
                <w:rFonts w:ascii="Times New Roman" w:cs="Times New Roman" w:eastAsia="Times New Roman" w:hAnsi="Times New Roman"/>
                <w:b/>
                <w:bCs/>
                <w:color w:val="004422"/>
                <w:sz w:val="22"/>
                <w:szCs w:val="22"/>
              </w:rPr>
              <w:t xml:space="preserve">🏆 Gradient Boosting</w:t>
            </w:r>
          </w:p>
        </w:tc>
        <w:tc>
          <w:tcPr>
            <w:tcW w:type="dxa" w:w="15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004422"/>
                <w:sz w:val="22"/>
                <w:szCs w:val="22"/>
              </w:rPr>
              <w:t xml:space="preserve">0,9674</w:t>
            </w:r>
          </w:p>
        </w:tc>
        <w:tc>
          <w:tcPr>
            <w:tcW w:type="dxa" w:w="15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004422"/>
                <w:sz w:val="22"/>
                <w:szCs w:val="22"/>
              </w:rPr>
              <w:t xml:space="preserve">0,8914</w:t>
            </w:r>
          </w:p>
        </w:tc>
        <w:tc>
          <w:tcPr>
            <w:tcW w:type="dxa" w:w="15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004422"/>
                <w:sz w:val="22"/>
                <w:szCs w:val="22"/>
              </w:rPr>
              <w:t xml:space="preserve">0,9915</w:t>
            </w:r>
          </w:p>
        </w:tc>
        <w:tc>
          <w:tcPr>
            <w:tcW w:type="dxa" w:w="15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004422"/>
                <w:sz w:val="22"/>
                <w:szCs w:val="22"/>
              </w:rPr>
              <w:t xml:space="preserve">0,9918</w:t>
            </w:r>
          </w:p>
        </w:tc>
      </w:tr>
      <w:tr>
        <w:tc>
          <w:tcPr>
            <w:tcW w:type="dxa" w:w="2500"/>
            <w:tcBorders>
              <w:top w:val="single" w:color="CCCCCC" w:sz="6"/>
              <w:left w:val="single" w:color="CCCCCC" w:sz="6"/>
              <w:bottom w:val="single" w:color="CCCCCC" w:sz="6"/>
              <w:right w:val="single" w:color="CCCCCC" w:sz="6"/>
            </w:tcBorders>
            <w:shd w:fill="F2F7F4"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2C2C2C"/>
                <w:sz w:val="22"/>
                <w:szCs w:val="22"/>
              </w:rPr>
              <w:t xml:space="preserve">RF (seuil 0,60)</w:t>
            </w:r>
          </w:p>
        </w:tc>
        <w:tc>
          <w:tcPr>
            <w:tcW w:type="dxa" w:w="1500"/>
            <w:tcBorders>
              <w:top w:val="single" w:color="CCCCCC" w:sz="6"/>
              <w:left w:val="single" w:color="CCCCCC" w:sz="6"/>
              <w:bottom w:val="single" w:color="CCCCCC" w:sz="6"/>
              <w:right w:val="single" w:color="CCCCCC" w:sz="6"/>
            </w:tcBorders>
            <w:shd w:fill="F2F7F4"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2C2C2C"/>
                <w:sz w:val="22"/>
                <w:szCs w:val="22"/>
              </w:rPr>
              <w:t xml:space="preserve">0,9531</w:t>
            </w:r>
          </w:p>
        </w:tc>
        <w:tc>
          <w:tcPr>
            <w:tcW w:type="dxa" w:w="1500"/>
            <w:tcBorders>
              <w:top w:val="single" w:color="CCCCCC" w:sz="6"/>
              <w:left w:val="single" w:color="CCCCCC" w:sz="6"/>
              <w:bottom w:val="single" w:color="CCCCCC" w:sz="6"/>
              <w:right w:val="single" w:color="CCCCCC" w:sz="6"/>
            </w:tcBorders>
            <w:shd w:fill="F2F7F4"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2C2C2C"/>
                <w:sz w:val="22"/>
                <w:szCs w:val="22"/>
              </w:rPr>
              <w:t xml:space="preserve">0,8485</w:t>
            </w:r>
          </w:p>
        </w:tc>
        <w:tc>
          <w:tcPr>
            <w:tcW w:type="dxa" w:w="1500"/>
            <w:tcBorders>
              <w:top w:val="single" w:color="CCCCCC" w:sz="6"/>
              <w:left w:val="single" w:color="CCCCCC" w:sz="6"/>
              <w:bottom w:val="single" w:color="CCCCCC" w:sz="6"/>
              <w:right w:val="single" w:color="CCCCCC" w:sz="6"/>
            </w:tcBorders>
            <w:shd w:fill="F2F7F4"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2C2C2C"/>
                <w:sz w:val="22"/>
                <w:szCs w:val="22"/>
              </w:rPr>
              <w:t xml:space="preserve">0,9828</w:t>
            </w:r>
          </w:p>
        </w:tc>
        <w:tc>
          <w:tcPr>
            <w:tcW w:type="dxa" w:w="1500"/>
            <w:tcBorders>
              <w:top w:val="single" w:color="CCCCCC" w:sz="6"/>
              <w:left w:val="single" w:color="CCCCCC" w:sz="6"/>
              <w:bottom w:val="single" w:color="CCCCCC" w:sz="6"/>
              <w:right w:val="single" w:color="CCCCCC" w:sz="6"/>
            </w:tcBorders>
            <w:shd w:fill="F2F7F4"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2C2C2C"/>
                <w:sz w:val="22"/>
                <w:szCs w:val="22"/>
              </w:rPr>
              <w:t xml:space="preserve">0,9859</w:t>
            </w:r>
          </w:p>
        </w:tc>
      </w:tr>
      <w:tr>
        <w:tc>
          <w:tcPr>
            <w:tcW w:type="dxa" w:w="25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2C2C2C"/>
                <w:sz w:val="22"/>
                <w:szCs w:val="22"/>
              </w:rPr>
              <w:t xml:space="preserve">Random Forest</w:t>
            </w:r>
          </w:p>
        </w:tc>
        <w:tc>
          <w:tcPr>
            <w:tcW w:type="dxa" w:w="15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2C2C2C"/>
                <w:sz w:val="22"/>
                <w:szCs w:val="22"/>
              </w:rPr>
              <w:t xml:space="preserve">0,9467</w:t>
            </w:r>
          </w:p>
        </w:tc>
        <w:tc>
          <w:tcPr>
            <w:tcW w:type="dxa" w:w="15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2C2C2C"/>
                <w:sz w:val="22"/>
                <w:szCs w:val="22"/>
              </w:rPr>
              <w:t xml:space="preserve">0,8402</w:t>
            </w:r>
          </w:p>
        </w:tc>
        <w:tc>
          <w:tcPr>
            <w:tcW w:type="dxa" w:w="15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2C2C2C"/>
                <w:sz w:val="22"/>
                <w:szCs w:val="22"/>
              </w:rPr>
              <w:t xml:space="preserve">0,9828</w:t>
            </w:r>
          </w:p>
        </w:tc>
        <w:tc>
          <w:tcPr>
            <w:tcW w:type="dxa" w:w="15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2C2C2C"/>
                <w:sz w:val="22"/>
                <w:szCs w:val="22"/>
              </w:rPr>
              <w:t xml:space="preserve">0,9859</w:t>
            </w:r>
          </w:p>
        </w:tc>
      </w:tr>
      <w:tr>
        <w:tc>
          <w:tcPr>
            <w:tcW w:type="dxa" w:w="2500"/>
            <w:tcBorders>
              <w:top w:val="single" w:color="CCCCCC" w:sz="6"/>
              <w:left w:val="single" w:color="CCCCCC" w:sz="6"/>
              <w:bottom w:val="single" w:color="CCCCCC" w:sz="6"/>
              <w:right w:val="single" w:color="CCCCCC" w:sz="6"/>
            </w:tcBorders>
            <w:shd w:fill="F2F7F4"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2C2C2C"/>
                <w:sz w:val="22"/>
                <w:szCs w:val="22"/>
              </w:rPr>
              <w:t xml:space="preserve">MLP (128→64→32)</w:t>
            </w:r>
          </w:p>
        </w:tc>
        <w:tc>
          <w:tcPr>
            <w:tcW w:type="dxa" w:w="1500"/>
            <w:tcBorders>
              <w:top w:val="single" w:color="CCCCCC" w:sz="6"/>
              <w:left w:val="single" w:color="CCCCCC" w:sz="6"/>
              <w:bottom w:val="single" w:color="CCCCCC" w:sz="6"/>
              <w:right w:val="single" w:color="CCCCCC" w:sz="6"/>
            </w:tcBorders>
            <w:shd w:fill="F2F7F4"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2C2C2C"/>
                <w:sz w:val="22"/>
                <w:szCs w:val="22"/>
              </w:rPr>
              <w:t xml:space="preserve">0,9358</w:t>
            </w:r>
          </w:p>
        </w:tc>
        <w:tc>
          <w:tcPr>
            <w:tcW w:type="dxa" w:w="1500"/>
            <w:tcBorders>
              <w:top w:val="single" w:color="CCCCCC" w:sz="6"/>
              <w:left w:val="single" w:color="CCCCCC" w:sz="6"/>
              <w:bottom w:val="single" w:color="CCCCCC" w:sz="6"/>
              <w:right w:val="single" w:color="CCCCCC" w:sz="6"/>
            </w:tcBorders>
            <w:shd w:fill="F2F7F4"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2C2C2C"/>
                <w:sz w:val="22"/>
                <w:szCs w:val="22"/>
              </w:rPr>
              <w:t xml:space="preserve">0,8000</w:t>
            </w:r>
          </w:p>
        </w:tc>
        <w:tc>
          <w:tcPr>
            <w:tcW w:type="dxa" w:w="1500"/>
            <w:tcBorders>
              <w:top w:val="single" w:color="CCCCCC" w:sz="6"/>
              <w:left w:val="single" w:color="CCCCCC" w:sz="6"/>
              <w:bottom w:val="single" w:color="CCCCCC" w:sz="6"/>
              <w:right w:val="single" w:color="CCCCCC" w:sz="6"/>
            </w:tcBorders>
            <w:shd w:fill="F2F7F4"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2C2C2C"/>
                <w:sz w:val="22"/>
                <w:szCs w:val="22"/>
              </w:rPr>
              <w:t xml:space="preserve">0,9651</w:t>
            </w:r>
          </w:p>
        </w:tc>
        <w:tc>
          <w:tcPr>
            <w:tcW w:type="dxa" w:w="1500"/>
            <w:tcBorders>
              <w:top w:val="single" w:color="CCCCCC" w:sz="6"/>
              <w:left w:val="single" w:color="CCCCCC" w:sz="6"/>
              <w:bottom w:val="single" w:color="CCCCCC" w:sz="6"/>
              <w:right w:val="single" w:color="CCCCCC" w:sz="6"/>
            </w:tcBorders>
            <w:shd w:fill="F2F7F4"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2C2C2C"/>
                <w:sz w:val="22"/>
                <w:szCs w:val="22"/>
              </w:rPr>
              <w:t xml:space="preserve">0,9672</w:t>
            </w:r>
          </w:p>
        </w:tc>
      </w:tr>
      <w:tr>
        <w:tc>
          <w:tcPr>
            <w:tcW w:type="dxa" w:w="25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2C2C2C"/>
                <w:sz w:val="22"/>
                <w:szCs w:val="22"/>
              </w:rPr>
              <w:t xml:space="preserve">Decision Tree (pruned)</w:t>
            </w:r>
          </w:p>
        </w:tc>
        <w:tc>
          <w:tcPr>
            <w:tcW w:type="dxa" w:w="15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2C2C2C"/>
                <w:sz w:val="22"/>
                <w:szCs w:val="22"/>
              </w:rPr>
              <w:t xml:space="preserve">0,9339</w:t>
            </w:r>
          </w:p>
        </w:tc>
        <w:tc>
          <w:tcPr>
            <w:tcW w:type="dxa" w:w="15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2C2C2C"/>
                <w:sz w:val="22"/>
                <w:szCs w:val="22"/>
              </w:rPr>
              <w:t xml:space="preserve">0,7825</w:t>
            </w:r>
          </w:p>
        </w:tc>
        <w:tc>
          <w:tcPr>
            <w:tcW w:type="dxa" w:w="15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2C2C2C"/>
                <w:sz w:val="22"/>
                <w:szCs w:val="22"/>
              </w:rPr>
              <w:t xml:space="preserve">0,9574</w:t>
            </w:r>
          </w:p>
        </w:tc>
        <w:tc>
          <w:tcPr>
            <w:tcW w:type="dxa" w:w="15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2C2C2C"/>
                <w:sz w:val="22"/>
                <w:szCs w:val="22"/>
              </w:rPr>
              <w:t xml:space="preserve">0,9584</w:t>
            </w:r>
          </w:p>
        </w:tc>
      </w:tr>
      <w:tr>
        <w:tc>
          <w:tcPr>
            <w:tcW w:type="dxa" w:w="2500"/>
            <w:tcBorders>
              <w:top w:val="single" w:color="CCCCCC" w:sz="6"/>
              <w:left w:val="single" w:color="CCCCCC" w:sz="6"/>
              <w:bottom w:val="single" w:color="CCCCCC" w:sz="6"/>
              <w:right w:val="single" w:color="CCCCCC" w:sz="6"/>
            </w:tcBorders>
            <w:shd w:fill="F2F7F4"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2C2C2C"/>
                <w:sz w:val="22"/>
                <w:szCs w:val="22"/>
              </w:rPr>
              <w:t xml:space="preserve">SVM (kernel RBF)</w:t>
            </w:r>
          </w:p>
        </w:tc>
        <w:tc>
          <w:tcPr>
            <w:tcW w:type="dxa" w:w="1500"/>
            <w:tcBorders>
              <w:top w:val="single" w:color="CCCCCC" w:sz="6"/>
              <w:left w:val="single" w:color="CCCCCC" w:sz="6"/>
              <w:bottom w:val="single" w:color="CCCCCC" w:sz="6"/>
              <w:right w:val="single" w:color="CCCCCC" w:sz="6"/>
            </w:tcBorders>
            <w:shd w:fill="F2F7F4"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2C2C2C"/>
                <w:sz w:val="22"/>
                <w:szCs w:val="22"/>
              </w:rPr>
              <w:t xml:space="preserve">0,9284</w:t>
            </w:r>
          </w:p>
        </w:tc>
        <w:tc>
          <w:tcPr>
            <w:tcW w:type="dxa" w:w="1500"/>
            <w:tcBorders>
              <w:top w:val="single" w:color="CCCCCC" w:sz="6"/>
              <w:left w:val="single" w:color="CCCCCC" w:sz="6"/>
              <w:bottom w:val="single" w:color="CCCCCC" w:sz="6"/>
              <w:right w:val="single" w:color="CCCCCC" w:sz="6"/>
            </w:tcBorders>
            <w:shd w:fill="F2F7F4"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2C2C2C"/>
                <w:sz w:val="22"/>
                <w:szCs w:val="22"/>
              </w:rPr>
              <w:t xml:space="preserve">0,7406</w:t>
            </w:r>
          </w:p>
        </w:tc>
        <w:tc>
          <w:tcPr>
            <w:tcW w:type="dxa" w:w="1500"/>
            <w:tcBorders>
              <w:top w:val="single" w:color="CCCCCC" w:sz="6"/>
              <w:left w:val="single" w:color="CCCCCC" w:sz="6"/>
              <w:bottom w:val="single" w:color="CCCCCC" w:sz="6"/>
              <w:right w:val="single" w:color="CCCCCC" w:sz="6"/>
            </w:tcBorders>
            <w:shd w:fill="F2F7F4"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2C2C2C"/>
                <w:sz w:val="22"/>
                <w:szCs w:val="22"/>
              </w:rPr>
              <w:t xml:space="preserve">0,9556</w:t>
            </w:r>
          </w:p>
        </w:tc>
        <w:tc>
          <w:tcPr>
            <w:tcW w:type="dxa" w:w="1500"/>
            <w:tcBorders>
              <w:top w:val="single" w:color="CCCCCC" w:sz="6"/>
              <w:left w:val="single" w:color="CCCCCC" w:sz="6"/>
              <w:bottom w:val="single" w:color="CCCCCC" w:sz="6"/>
              <w:right w:val="single" w:color="CCCCCC" w:sz="6"/>
            </w:tcBorders>
            <w:shd w:fill="F2F7F4"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2C2C2C"/>
                <w:sz w:val="22"/>
                <w:szCs w:val="22"/>
              </w:rPr>
              <w:t xml:space="preserve">0,9644</w:t>
            </w:r>
          </w:p>
        </w:tc>
      </w:tr>
      <w:tr>
        <w:tc>
          <w:tcPr>
            <w:tcW w:type="dxa" w:w="25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2C2C2C"/>
                <w:sz w:val="22"/>
                <w:szCs w:val="22"/>
              </w:rPr>
              <w:t xml:space="preserve">KNN (k=21)</w:t>
            </w:r>
          </w:p>
        </w:tc>
        <w:tc>
          <w:tcPr>
            <w:tcW w:type="dxa" w:w="15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2C2C2C"/>
                <w:sz w:val="22"/>
                <w:szCs w:val="22"/>
              </w:rPr>
              <w:t xml:space="preserve">0,8929</w:t>
            </w:r>
          </w:p>
        </w:tc>
        <w:tc>
          <w:tcPr>
            <w:tcW w:type="dxa" w:w="15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2C2C2C"/>
                <w:sz w:val="22"/>
                <w:szCs w:val="22"/>
              </w:rPr>
              <w:t xml:space="preserve">0,5526</w:t>
            </w:r>
          </w:p>
        </w:tc>
        <w:tc>
          <w:tcPr>
            <w:tcW w:type="dxa" w:w="15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2C2C2C"/>
                <w:sz w:val="22"/>
                <w:szCs w:val="22"/>
              </w:rPr>
              <w:t xml:space="preserve">0,9207</w:t>
            </w:r>
          </w:p>
        </w:tc>
        <w:tc>
          <w:tcPr>
            <w:tcW w:type="dxa" w:w="15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2C2C2C"/>
                <w:sz w:val="22"/>
                <w:szCs w:val="22"/>
              </w:rPr>
              <w:t xml:space="preserve">0,9329</w:t>
            </w:r>
          </w:p>
        </w:tc>
      </w:tr>
      <w:tr>
        <w:tc>
          <w:tcPr>
            <w:tcW w:type="dxa" w:w="2500"/>
            <w:tcBorders>
              <w:top w:val="single" w:color="CCCCCC" w:sz="6"/>
              <w:left w:val="single" w:color="CCCCCC" w:sz="6"/>
              <w:bottom w:val="single" w:color="CCCCCC" w:sz="6"/>
              <w:right w:val="single" w:color="CCCCCC" w:sz="6"/>
            </w:tcBorders>
            <w:shd w:fill="F2F7F4"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2C2C2C"/>
                <w:sz w:val="22"/>
                <w:szCs w:val="22"/>
              </w:rPr>
              <w:t xml:space="preserve">Régression Logistique</w:t>
            </w:r>
          </w:p>
        </w:tc>
        <w:tc>
          <w:tcPr>
            <w:tcW w:type="dxa" w:w="1500"/>
            <w:tcBorders>
              <w:top w:val="single" w:color="CCCCCC" w:sz="6"/>
              <w:left w:val="single" w:color="CCCCCC" w:sz="6"/>
              <w:bottom w:val="single" w:color="CCCCCC" w:sz="6"/>
              <w:right w:val="single" w:color="CCCCCC" w:sz="6"/>
            </w:tcBorders>
            <w:shd w:fill="F2F7F4"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2C2C2C"/>
                <w:sz w:val="22"/>
                <w:szCs w:val="22"/>
              </w:rPr>
              <w:t xml:space="preserve">0,9018</w:t>
            </w:r>
          </w:p>
        </w:tc>
        <w:tc>
          <w:tcPr>
            <w:tcW w:type="dxa" w:w="1500"/>
            <w:tcBorders>
              <w:top w:val="single" w:color="CCCCCC" w:sz="6"/>
              <w:left w:val="single" w:color="CCCCCC" w:sz="6"/>
              <w:bottom w:val="single" w:color="CCCCCC" w:sz="6"/>
              <w:right w:val="single" w:color="CCCCCC" w:sz="6"/>
            </w:tcBorders>
            <w:shd w:fill="F2F7F4"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2C2C2C"/>
                <w:sz w:val="22"/>
                <w:szCs w:val="22"/>
              </w:rPr>
              <w:t xml:space="preserve">0,6349</w:t>
            </w:r>
          </w:p>
        </w:tc>
        <w:tc>
          <w:tcPr>
            <w:tcW w:type="dxa" w:w="1500"/>
            <w:tcBorders>
              <w:top w:val="single" w:color="CCCCCC" w:sz="6"/>
              <w:left w:val="single" w:color="CCCCCC" w:sz="6"/>
              <w:bottom w:val="single" w:color="CCCCCC" w:sz="6"/>
              <w:right w:val="single" w:color="CCCCCC" w:sz="6"/>
            </w:tcBorders>
            <w:shd w:fill="F2F7F4"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2C2C2C"/>
                <w:sz w:val="22"/>
                <w:szCs w:val="22"/>
              </w:rPr>
              <w:t xml:space="preserve">0,9117</w:t>
            </w:r>
          </w:p>
        </w:tc>
        <w:tc>
          <w:tcPr>
            <w:tcW w:type="dxa" w:w="1500"/>
            <w:tcBorders>
              <w:top w:val="single" w:color="CCCCCC" w:sz="6"/>
              <w:left w:val="single" w:color="CCCCCC" w:sz="6"/>
              <w:bottom w:val="single" w:color="CCCCCC" w:sz="6"/>
              <w:right w:val="single" w:color="CCCCCC" w:sz="6"/>
            </w:tcBorders>
            <w:shd w:fill="F2F7F4"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2C2C2C"/>
                <w:sz w:val="22"/>
                <w:szCs w:val="22"/>
              </w:rPr>
              <w:t xml:space="preserve">0,9243</w:t>
            </w:r>
          </w:p>
        </w:tc>
      </w:tr>
      <w:tr>
        <w:tc>
          <w:tcPr>
            <w:tcW w:type="dxa" w:w="25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2C2C2C"/>
                <w:sz w:val="22"/>
                <w:szCs w:val="22"/>
              </w:rPr>
              <w:t xml:space="preserve">Naive Bayes (GNB)</w:t>
            </w:r>
          </w:p>
        </w:tc>
        <w:tc>
          <w:tcPr>
            <w:tcW w:type="dxa" w:w="15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2C2C2C"/>
                <w:sz w:val="22"/>
                <w:szCs w:val="22"/>
              </w:rPr>
              <w:t xml:space="preserve">0,8806</w:t>
            </w:r>
          </w:p>
        </w:tc>
        <w:tc>
          <w:tcPr>
            <w:tcW w:type="dxa" w:w="15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2C2C2C"/>
                <w:sz w:val="22"/>
                <w:szCs w:val="22"/>
              </w:rPr>
              <w:t xml:space="preserve">0,6159</w:t>
            </w:r>
          </w:p>
        </w:tc>
        <w:tc>
          <w:tcPr>
            <w:tcW w:type="dxa" w:w="15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2C2C2C"/>
                <w:sz w:val="22"/>
                <w:szCs w:val="22"/>
              </w:rPr>
              <w:t xml:space="preserve">0,8415</w:t>
            </w:r>
          </w:p>
        </w:tc>
        <w:tc>
          <w:tcPr>
            <w:tcW w:type="dxa" w:w="15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2C2C2C"/>
                <w:sz w:val="22"/>
                <w:szCs w:val="22"/>
              </w:rPr>
              <w:t xml:space="preserve">0,8765</w:t>
            </w:r>
          </w:p>
        </w:tc>
      </w:tr>
    </w:tbl>
    <w:p>
      <w:pPr>
        <w:spacing w:before="0" w:after="200"/>
      </w:pPr>
      <w:r>
        <w:t xml:space="preserve"/>
      </w:r>
    </w:p>
    <w:p>
      <w:pPr>
        <w:spacing w:line="360" w:lineRule="auto" w:before="0" w:after="120"/>
        <w:ind w:firstLine="720"/>
        <w:jc w:val="both"/>
      </w:pPr>
      <w:r>
        <w:rPr>
          <w:rFonts w:ascii="Times New Roman" w:cs="Times New Roman" w:eastAsia="Times New Roman" w:hAnsi="Times New Roman"/>
          <w:color w:val="2C2C2C"/>
          <w:sz w:val="24"/>
          <w:szCs w:val="24"/>
        </w:rPr>
        <w:t xml:space="preserve">Il ressort clairement de ce tableau que le Gradient Boosting constitue le modèle le plus performant sur l'ensemble des métriques, avec un AUC-ROC de 0,9915 et un F1-Score de 0,8914. Ce résultat est conforme à la règle d'or enseignée dans le cours : « Gradient Boosting (XGBoost/LightGBM) = meilleur choix par défaut sur données tabulaires ». Le Random Forest obtient d'excellentes performances (AUC 0,9828) avec l'avantage supplémentaire de fournir un OOB Score gratuit (0,9543), estimation de la généralisation sans nécessiter de jeu de validation dédié.</w:t>
      </w:r>
    </w:p>
    <w:p>
      <w:pPr>
        <w:pStyle w:val="Heading2"/>
        <w:spacing w:before="240" w:after="120"/>
        <w:ind w:left="360"/>
      </w:pPr>
      <w:r>
        <w:rPr>
          <w:rFonts w:ascii="Times New Roman" w:cs="Times New Roman" w:eastAsia="Times New Roman" w:hAnsi="Times New Roman"/>
          <w:b/>
          <w:bCs/>
          <w:color w:val="004422"/>
          <w:sz w:val="24"/>
          <w:szCs w:val="24"/>
        </w:rPr>
        <w:t xml:space="preserve">III.2  Gestion du Déséquilibre et Seuil Optimal</w:t>
      </w:r>
    </w:p>
    <w:p>
      <w:pPr>
        <w:spacing w:line="360" w:lineRule="auto" w:before="0" w:after="120"/>
        <w:ind w:firstLine="720"/>
        <w:jc w:val="both"/>
      </w:pPr>
      <w:r>
        <w:rPr>
          <w:rFonts w:ascii="Times New Roman" w:cs="Times New Roman" w:eastAsia="Times New Roman" w:hAnsi="Times New Roman"/>
          <w:color w:val="2C2C2C"/>
          <w:sz w:val="24"/>
          <w:szCs w:val="24"/>
        </w:rPr>
        <w:t xml:space="preserve">Face au déséquilibre 83,9 % / 16,1 %, deux stratégies complémentaires ont été employées. En premier lieu, le paramètre class_weight='balanced' a été activé pour le Random Forest, attribuant des poids inversement proportionnels aux fréquences des classes. En second lieu, le notebook explore l'impact du seuil de décision sur les métriques de performance pour le Random Forest : le seuil est fait varier de 0,10 à 0,85 par pas de 0,05, et la courbe Précision/Rappel/F1 est tracée pour chaque valeur.</w:t>
      </w:r>
    </w:p>
    <w:p>
      <w:pPr>
        <w:spacing w:line="360" w:lineRule="auto" w:before="0" w:after="120"/>
        <w:ind w:firstLine="720"/>
        <w:jc w:val="both"/>
      </w:pPr>
      <w:r>
        <w:rPr>
          <w:rFonts w:ascii="Times New Roman" w:cs="Times New Roman" w:eastAsia="Times New Roman" w:hAnsi="Times New Roman"/>
          <w:color w:val="2C2C2C"/>
          <w:sz w:val="24"/>
          <w:szCs w:val="24"/>
        </w:rPr>
        <w:t xml:space="preserve">Il s'avère que le seuil optimal (maximisant le F1-Score) est de 0,60, permettant d'améliorer le F1 de 0,8402 (seuil par défaut de 0,50) à 0,8485, soit un gain de +0,8 point. Ce résultat illustre l'importance d'adapter le seuil de décision au contexte métier : en situation réelle, si le coût d'un faux négatif (client churner non détecté et donc non contacté) est estimé supérieur au coût d'un faux positif (client contacté inutilement), un seuil plus bas que 0,60 pourrait être préférable.</w:t>
      </w:r>
    </w:p>
    <w:p>
      <w:pPr>
        <w:pStyle w:val="Heading2"/>
        <w:spacing w:before="240" w:after="120"/>
        <w:ind w:left="360"/>
      </w:pPr>
      <w:r>
        <w:rPr>
          <w:rFonts w:ascii="Times New Roman" w:cs="Times New Roman" w:eastAsia="Times New Roman" w:hAnsi="Times New Roman"/>
          <w:b/>
          <w:bCs/>
          <w:color w:val="004422"/>
          <w:sz w:val="24"/>
          <w:szCs w:val="24"/>
        </w:rPr>
        <w:t xml:space="preserve">III.3  Interprétation et Analyse Critique</w:t>
      </w:r>
    </w:p>
    <w:p>
      <w:pPr>
        <w:spacing w:line="360" w:lineRule="auto" w:before="0" w:after="120"/>
        <w:ind w:firstLine="720"/>
        <w:jc w:val="both"/>
      </w:pPr>
      <w:r>
        <w:rPr>
          <w:rFonts w:ascii="Times New Roman" w:cs="Times New Roman" w:eastAsia="Times New Roman" w:hAnsi="Times New Roman"/>
          <w:color w:val="2C2C2C"/>
          <w:sz w:val="24"/>
          <w:szCs w:val="24"/>
        </w:rPr>
        <w:t xml:space="preserve">L'analyse des importances de features (MDI — Mean Decrease in Impurity) calculées par le Random Forest et le Gradient Boosting converge vers les mêmes variables explicatives. Les trois features les plus discriminantes sont Total_Trans_Ct (nombre total de transactions, importance ~0,18), Total_Trans_Amt (montant total des transactions, ~0,15) et Total_Revolving_Bal (solde revolving, ~0,13). Ces résultats sont cohérents avec l'intuition métier : un client qui réduit son activité transactionnelle et diminue son utilisation du crédit revolving est un client qui se désengage progressivement de la banque.</w:t>
      </w:r>
    </w:p>
    <w:p>
      <w:pPr>
        <w:spacing w:line="360" w:lineRule="auto" w:before="0" w:after="120"/>
        <w:ind w:firstLine="720"/>
        <w:jc w:val="both"/>
      </w:pPr>
      <w:r>
        <w:rPr>
          <w:rFonts w:ascii="Times New Roman" w:cs="Times New Roman" w:eastAsia="Times New Roman" w:hAnsi="Times New Roman"/>
          <w:color w:val="2C2C2C"/>
          <w:sz w:val="24"/>
          <w:szCs w:val="24"/>
        </w:rPr>
        <w:t xml:space="preserve">Sur le plan algorithmique, plusieurs enseignements peuvent être tirés : (i) la régression logistique, malgré sa simplicité, offre un AUC de 0,91 qui en fait une baseline solide et interprétable ; (ii) le KNN présente un F1 faible (0,55) malgré un AUC correct (0,92), illustrant l'importance de considérer plusieurs métriques conjointement ; (iii) le MLP sous-performe le Gradient Boosting, confirmant que les réseaux de neurones nécessitent des volumes de données plus importants pour rivaliser avec les méthodes ensemblistes sur des datasets tabulaires de taille modeste.</w:t>
      </w:r>
    </w:p>
    <w:p>
      <w:pPr>
        <w:pStyle w:val="Heading2"/>
        <w:spacing w:before="240" w:after="120"/>
        <w:ind w:left="360"/>
      </w:pPr>
      <w:r>
        <w:rPr>
          <w:rFonts w:ascii="Times New Roman" w:cs="Times New Roman" w:eastAsia="Times New Roman" w:hAnsi="Times New Roman"/>
          <w:b/>
          <w:bCs/>
          <w:color w:val="004422"/>
          <w:sz w:val="24"/>
          <w:szCs w:val="24"/>
        </w:rPr>
        <w:t xml:space="preserve">III.4  Limites et Axes d'Amélioration</w:t>
      </w:r>
    </w:p>
    <w:p>
      <w:pPr>
        <w:spacing w:line="360" w:lineRule="auto" w:before="0" w:after="120"/>
        <w:ind w:firstLine="720"/>
        <w:jc w:val="both"/>
      </w:pPr>
      <w:r>
        <w:rPr>
          <w:rFonts w:ascii="Times New Roman" w:cs="Times New Roman" w:eastAsia="Times New Roman" w:hAnsi="Times New Roman"/>
          <w:color w:val="2C2C2C"/>
          <w:sz w:val="24"/>
          <w:szCs w:val="24"/>
        </w:rPr>
        <w:t xml:space="preserve">Ce travail présente plusieurs limites qui constituent autant d'axes d'amélioration pour des développements futurs :</w:t>
      </w:r>
    </w:p>
    <w:p>
      <w:pPr>
        <w:pStyle w:val="ListParagraph"/>
        <w:numPr>
          <w:ilvl w:val="0"/>
          <w:numId w:val="2"/>
        </w:numPr>
        <w:spacing w:line="360" w:lineRule="auto" w:before="0" w:after="80"/>
      </w:pPr>
      <w:r>
        <w:rPr>
          <w:rFonts w:ascii="Times New Roman" w:cs="Times New Roman" w:eastAsia="Times New Roman" w:hAnsi="Times New Roman"/>
          <w:color w:val="2C2C2C"/>
          <w:sz w:val="24"/>
          <w:szCs w:val="24"/>
        </w:rPr>
        <w:t xml:space="preserve">La validation croisée, bien que robuste, évalue les performances sur des données statiques. Un protocole de validation temporelle (walk-forward validation) serait plus adapté à un déploiement en production, où le modèle est entraîné sur le passé et évalué sur le futur.</w:t>
      </w:r>
    </w:p>
    <w:p>
      <w:pPr>
        <w:pStyle w:val="ListParagraph"/>
        <w:numPr>
          <w:ilvl w:val="0"/>
          <w:numId w:val="2"/>
        </w:numPr>
        <w:spacing w:line="360" w:lineRule="auto" w:before="0" w:after="80"/>
      </w:pPr>
      <w:r>
        <w:rPr>
          <w:rFonts w:ascii="Times New Roman" w:cs="Times New Roman" w:eastAsia="Times New Roman" w:hAnsi="Times New Roman"/>
          <w:color w:val="2C2C2C"/>
          <w:sz w:val="24"/>
          <w:szCs w:val="24"/>
        </w:rPr>
        <w:t xml:space="preserve">L'absence de techniques d'oversampling (SMOTE) ou de modèles spécialement conçus pour les données déséquilibrées (algorithmes de coût-sensible) représente une piste d'amélioration non explorée dans ce travail.</w:t>
      </w:r>
    </w:p>
    <w:p>
      <w:pPr>
        <w:pStyle w:val="ListParagraph"/>
        <w:numPr>
          <w:ilvl w:val="0"/>
          <w:numId w:val="2"/>
        </w:numPr>
        <w:spacing w:line="360" w:lineRule="auto" w:before="0" w:after="80"/>
      </w:pPr>
      <w:r>
        <w:rPr>
          <w:rFonts w:ascii="Times New Roman" w:cs="Times New Roman" w:eastAsia="Times New Roman" w:hAnsi="Times New Roman"/>
          <w:color w:val="2C2C2C"/>
          <w:sz w:val="24"/>
          <w:szCs w:val="24"/>
        </w:rPr>
        <w:t xml:space="preserve">La recherche d'hyperparamètres a été limitée à quelques valeurs de k pour KNN. Un GridSearchCV ou RandomizedSearchCV systématique sur l'ensemble des algorithmes permettrait d'améliorer significativement les performances.</w:t>
      </w:r>
    </w:p>
    <w:p>
      <w:pPr>
        <w:pStyle w:val="ListParagraph"/>
        <w:numPr>
          <w:ilvl w:val="0"/>
          <w:numId w:val="2"/>
        </w:numPr>
        <w:spacing w:line="360" w:lineRule="auto" w:before="0" w:after="80"/>
      </w:pPr>
      <w:r>
        <w:rPr>
          <w:rFonts w:ascii="Times New Roman" w:cs="Times New Roman" w:eastAsia="Times New Roman" w:hAnsi="Times New Roman"/>
          <w:color w:val="2C2C2C"/>
          <w:sz w:val="24"/>
          <w:szCs w:val="24"/>
        </w:rPr>
        <w:t xml:space="preserve">L'interprétabilité globale (Feature Importance MDI) devrait être complétée par des méthodes locales (valeurs SHAP) afin d'expliquer les prédictions individuelles, prérequis indispensable pour une utilisation en contexte réglementaire.</w:t>
      </w:r>
    </w:p>
    <w:p>
      <w:pPr>
        <w:spacing w:before="0" w:after="120"/>
      </w:pPr>
      <w:r>
        <w:t xml:space="preserve"/>
      </w:r>
    </w:p>
    <w:p>
      <w:pPr>
        <w:spacing w:before="0" w:after="200"/>
      </w:pPr>
      <w:r>
        <w:t xml:space="preserve"/>
      </w:r>
    </w:p>
    <w:p>
      <w:pPr>
        <w:pBdr>
          <w:bottom w:val="single" w:color="D4A017" w:sz="12" w:space="1"/>
        </w:pBdr>
        <w:spacing w:before="100" w:after="100"/>
      </w:pPr>
      <w:r>
        <w:t xml:space="preserve"/>
      </w:r>
    </w:p>
    <w:p>
      <w:pPr>
        <w:spacing w:before="0" w:after="200"/>
      </w:pPr>
      <w:r>
        <w:t xml:space="preserve"/>
      </w:r>
    </w:p>
    <w:p>
      <w:pPr>
        <w:pStyle w:val="Heading1"/>
        <w:spacing w:before="360" w:after="180"/>
      </w:pPr>
      <w:r>
        <w:rPr>
          <w:rFonts w:ascii="Times New Roman" w:cs="Times New Roman" w:eastAsia="Times New Roman" w:hAnsi="Times New Roman"/>
          <w:b/>
          <w:bCs/>
          <w:color w:val="006633"/>
          <w:sz w:val="28"/>
          <w:szCs w:val="28"/>
        </w:rPr>
        <w:t xml:space="preserve">IV.  Conclusion</w:t>
      </w:r>
    </w:p>
    <w:p>
      <w:pPr>
        <w:spacing w:line="360" w:lineRule="auto" w:before="0" w:after="120"/>
        <w:ind w:firstLine="720"/>
        <w:jc w:val="both"/>
      </w:pPr>
      <w:r>
        <w:rPr>
          <w:rFonts w:ascii="Times New Roman" w:cs="Times New Roman" w:eastAsia="Times New Roman" w:hAnsi="Times New Roman"/>
          <w:color w:val="2C2C2C"/>
          <w:sz w:val="24"/>
          <w:szCs w:val="24"/>
        </w:rPr>
        <w:t xml:space="preserve">Ce projet a permis d'appliquer de manière intégrale le pipeline de l'apprentissage supervisé enseigné dans le cours de Machine Learning de Pr. A. Larhlimi, depuis l'analyse exploratoire jusqu'à l'interprétation des résultats, en passant par le prétraitement rigoureux, la modélisation comparative et l'évaluation multi-métriques.</w:t>
      </w:r>
    </w:p>
    <w:p>
      <w:pPr>
        <w:spacing w:line="360" w:lineRule="auto" w:before="0" w:after="120"/>
        <w:ind w:firstLine="720"/>
        <w:jc w:val="both"/>
      </w:pPr>
      <w:r>
        <w:rPr>
          <w:rFonts w:ascii="Times New Roman" w:cs="Times New Roman" w:eastAsia="Times New Roman" w:hAnsi="Times New Roman"/>
          <w:color w:val="2C2C2C"/>
          <w:sz w:val="24"/>
          <w:szCs w:val="24"/>
        </w:rPr>
        <w:t xml:space="preserve">L'objectif principal est atteint : le modèle de Gradient Boosting, avec un AUC-ROC de 0,9915 et un F1-Score de 0,8914, permet de détecter avec une très haute fiabilité les clients susceptibles de churner. Ce modèle, appliqué en amont des actions commerciales, permettrait théoriquement à la banque de concentrer ses efforts de rétention sur les 16 % de clients à risque identifiés, maximisant ainsi l'efficacité de ses investissements en fidélisation.</w:t>
      </w:r>
    </w:p>
    <w:p>
      <w:pPr>
        <w:spacing w:line="360" w:lineRule="auto" w:before="0" w:after="120"/>
        <w:ind w:firstLine="720"/>
        <w:jc w:val="both"/>
      </w:pPr>
      <w:r>
        <w:rPr>
          <w:rFonts w:ascii="Times New Roman" w:cs="Times New Roman" w:eastAsia="Times New Roman" w:hAnsi="Times New Roman"/>
          <w:color w:val="2C2C2C"/>
          <w:sz w:val="24"/>
          <w:szCs w:val="24"/>
        </w:rPr>
        <w:t xml:space="preserve">Sur le plan pédagogique, ce travail a permis de consolider plusieurs compétences clés : la maîtrise des outils Python (Scikit-learn, pandas, matplotlib), la compréhension des mécanismes algorithmiques sous-jacents aux différentes familles de modèles, et le développement d'un regard critique sur les performances obtenues — en distinguant notamment ce qui relève de la performance intrinsèque d'un modèle de ce qui relève des artefacts de l'évaluation.</w:t>
      </w:r>
    </w:p>
    <w:p>
      <w:pPr>
        <w:spacing w:before="0" w:after="200"/>
      </w:pPr>
      <w:r>
        <w:t xml:space="preserve"/>
      </w:r>
    </w:p>
    <w:p>
      <w:pPr>
        <w:pBdr>
          <w:bottom w:val="single" w:color="006633" w:sz="12" w:space="1"/>
        </w:pBdr>
        <w:spacing w:before="100" w:after="100"/>
      </w:pPr>
      <w:r>
        <w:t xml:space="preserve"/>
      </w:r>
    </w:p>
    <w:p>
      <w:pPr>
        <w:spacing w:before="0" w:after="200"/>
      </w:pPr>
      <w:r>
        <w:t xml:space="preserve"/>
      </w:r>
    </w:p>
    <w:p>
      <w:pPr>
        <w:spacing w:before="240" w:after="180"/>
      </w:pPr>
      <w:r>
        <w:rPr>
          <w:rFonts w:ascii="Times New Roman" w:cs="Times New Roman" w:eastAsia="Times New Roman" w:hAnsi="Times New Roman"/>
          <w:b/>
          <w:bCs/>
          <w:color w:val="006633"/>
          <w:sz w:val="28"/>
          <w:szCs w:val="28"/>
        </w:rPr>
        <w:t xml:space="preserve">BIBLIOGRAPHIE / WEBOGRAPHIE</w:t>
      </w:r>
    </w:p>
    <w:p>
      <w:pPr>
        <w:spacing w:line="360" w:lineRule="auto" w:before="0" w:after="120"/>
        <w:jc w:val="both"/>
      </w:pPr>
      <w:r>
        <w:rPr>
          <w:rFonts w:ascii="Times New Roman" w:cs="Times New Roman" w:eastAsia="Times New Roman" w:hAnsi="Times New Roman"/>
          <w:color w:val="2C2C2C"/>
          <w:sz w:val="24"/>
          <w:szCs w:val="24"/>
        </w:rPr>
        <w:t xml:space="preserve">Larhlimi, A. (2026). Apprentissage Supervisé — Algorithmes de Prédiction. Cours de Machine Learning, ENCG Settat, Mars 2026.</w:t>
      </w:r>
    </w:p>
    <w:p>
      <w:pPr>
        <w:spacing w:line="360" w:lineRule="auto" w:before="0" w:after="120"/>
        <w:jc w:val="both"/>
      </w:pPr>
      <w:r>
        <w:rPr>
          <w:rFonts w:ascii="Times New Roman" w:cs="Times New Roman" w:eastAsia="Times New Roman" w:hAnsi="Times New Roman"/>
          <w:color w:val="2C2C2C"/>
          <w:sz w:val="24"/>
          <w:szCs w:val="24"/>
        </w:rPr>
        <w:t xml:space="preserve">Larhlimi, A. (2026). Algorithmes de Clustering — Classification Non Supervisée. Cours de Machine Learning, ENCG Settat, Mars 2026.</w:t>
      </w:r>
    </w:p>
    <w:p>
      <w:pPr>
        <w:spacing w:line="360" w:lineRule="auto" w:before="0" w:after="120"/>
        <w:jc w:val="both"/>
      </w:pPr>
      <w:r>
        <w:rPr>
          <w:rFonts w:ascii="Times New Roman" w:cs="Times New Roman" w:eastAsia="Times New Roman" w:hAnsi="Times New Roman"/>
          <w:color w:val="2C2C2C"/>
          <w:sz w:val="24"/>
          <w:szCs w:val="24"/>
        </w:rPr>
        <w:t xml:space="preserve">Pedregosa, F. et al. (2011). Scikit-learn: Machine Learning in Python. Journal of Machine Learning Research, 12, 2825–2830.</w:t>
      </w:r>
    </w:p>
    <w:p>
      <w:pPr>
        <w:spacing w:line="360" w:lineRule="auto" w:before="0" w:after="120"/>
        <w:jc w:val="both"/>
      </w:pPr>
      <w:r>
        <w:rPr>
          <w:rFonts w:ascii="Times New Roman" w:cs="Times New Roman" w:eastAsia="Times New Roman" w:hAnsi="Times New Roman"/>
          <w:color w:val="2C2C2C"/>
          <w:sz w:val="24"/>
          <w:szCs w:val="24"/>
        </w:rPr>
        <w:t xml:space="preserve">Chen, T., &amp; Guestrin, C. (2016). XGBoost: A Scalable Tree Boosting System. Proceedings of the 22nd ACM SIGKDD International Conference on Knowledge Discovery and Data Mining, 785–794.</w:t>
      </w:r>
    </w:p>
    <w:p>
      <w:pPr>
        <w:spacing w:line="360" w:lineRule="auto" w:before="0" w:after="120"/>
        <w:jc w:val="both"/>
      </w:pPr>
      <w:r>
        <w:rPr>
          <w:rFonts w:ascii="Times New Roman" w:cs="Times New Roman" w:eastAsia="Times New Roman" w:hAnsi="Times New Roman"/>
          <w:color w:val="2C2C2C"/>
          <w:sz w:val="24"/>
          <w:szCs w:val="24"/>
        </w:rPr>
        <w:t xml:space="preserve">Dataset BankChurners — Kaggle : https://www.kaggle.com/datasets/sakshigoyal7/credit-card-customers</w:t>
      </w:r>
    </w:p>
    <w:p>
      <w:pPr>
        <w:spacing w:line="360" w:lineRule="auto" w:before="0" w:after="120"/>
        <w:jc w:val="both"/>
      </w:pPr>
      <w:r>
        <w:rPr>
          <w:rFonts w:ascii="Times New Roman" w:cs="Times New Roman" w:eastAsia="Times New Roman" w:hAnsi="Times New Roman"/>
          <w:color w:val="2C2C2C"/>
          <w:sz w:val="24"/>
          <w:szCs w:val="24"/>
        </w:rPr>
        <w:t xml:space="preserve">Documentation Scikit-learn — https://scikit-learn.org/stable/</w:t>
      </w:r>
    </w:p>
    <w:p>
      <w:pPr>
        <w:spacing w:before="0" w:after="200"/>
      </w:pPr>
      <w:r>
        <w:t xml:space="preserve"/>
      </w:r>
    </w:p>
    <w:p>
      <w:pPr>
        <w:pBdr>
          <w:bottom w:val="single" w:color="006633" w:sz="12" w:space="1"/>
        </w:pBdr>
        <w:spacing w:before="100" w:after="100"/>
      </w:pPr>
      <w:r>
        <w:t xml:space="preserve"/>
      </w:r>
    </w:p>
    <w:p>
      <w:pPr>
        <w:spacing w:before="0" w:after="200"/>
      </w:pPr>
      <w:r>
        <w:t xml:space="preserve"/>
      </w:r>
    </w:p>
    <w:p>
      <w:pPr>
        <w:spacing w:before="240" w:after="180"/>
      </w:pPr>
      <w:r>
        <w:rPr>
          <w:rFonts w:ascii="Times New Roman" w:cs="Times New Roman" w:eastAsia="Times New Roman" w:hAnsi="Times New Roman"/>
          <w:b/>
          <w:bCs/>
          <w:color w:val="006633"/>
          <w:sz w:val="28"/>
          <w:szCs w:val="28"/>
        </w:rPr>
        <w:t xml:space="preserve">ANNEXES</w:t>
      </w:r>
    </w:p>
    <w:p>
      <w:pPr>
        <w:pStyle w:val="Heading2"/>
        <w:spacing w:before="240" w:after="120"/>
        <w:ind w:left="360"/>
      </w:pPr>
      <w:r>
        <w:rPr>
          <w:rFonts w:ascii="Times New Roman" w:cs="Times New Roman" w:eastAsia="Times New Roman" w:hAnsi="Times New Roman"/>
          <w:b/>
          <w:bCs/>
          <w:color w:val="004422"/>
          <w:sz w:val="24"/>
          <w:szCs w:val="24"/>
        </w:rPr>
        <w:t xml:space="preserve">Annexe A — Extrait du code Python (preprocessing)</w:t>
      </w:r>
    </w:p>
    <w:p>
      <w:pPr>
        <w:pBdr>
          <w:left w:val="single" w:color="006633" w:sz="12" w:space="4"/>
        </w:pBdr>
        <w:shd w:fill="F5F5F5" w:val="clear"/>
        <w:spacing w:line="260" w:lineRule="auto" w:before="0" w:after="80"/>
        <w:ind w:left="400"/>
      </w:pPr>
      <w:r>
        <w:rPr>
          <w:rFonts w:ascii="Courier New" w:cs="Courier New" w:eastAsia="Courier New" w:hAnsi="Courier New"/>
          <w:color w:val="666666"/>
          <w:sz w:val="20"/>
          <w:szCs w:val="20"/>
        </w:rPr>
        <w:t xml:space="preserve"># Split stratifié 80/20 + StandardScaler anti data leakage</w:t>
      </w:r>
    </w:p>
    <w:p>
      <w:pPr>
        <w:pBdr>
          <w:left w:val="single" w:color="006633" w:sz="12" w:space="4"/>
        </w:pBdr>
        <w:spacing w:line="260" w:lineRule="auto" w:before="0" w:after="80"/>
        <w:ind w:left="400"/>
      </w:pPr>
      <w:r>
        <w:rPr>
          <w:rFonts w:ascii="Courier New" w:cs="Courier New" w:eastAsia="Courier New" w:hAnsi="Courier New"/>
          <w:color w:val="2C2C2C"/>
          <w:sz w:val="20"/>
          <w:szCs w:val="20"/>
        </w:rPr>
        <w:t xml:space="preserve">X_train, X_test, y_train, y_test = train_test_split(</w:t>
      </w:r>
    </w:p>
    <w:p>
      <w:pPr>
        <w:pBdr>
          <w:left w:val="single" w:color="006633" w:sz="12" w:space="4"/>
        </w:pBdr>
        <w:spacing w:line="260" w:lineRule="auto" w:before="0" w:after="80"/>
        <w:ind w:left="400"/>
      </w:pPr>
      <w:r>
        <w:rPr>
          <w:rFonts w:ascii="Courier New" w:cs="Courier New" w:eastAsia="Courier New" w:hAnsi="Courier New"/>
          <w:color w:val="2C2C2C"/>
          <w:sz w:val="20"/>
          <w:szCs w:val="20"/>
        </w:rPr>
        <w:t xml:space="preserve">    X, y, test_size=0.2, stratify=y, random_state=42)</w:t>
      </w:r>
    </w:p>
    <w:p>
      <w:pPr>
        <w:pBdr>
          <w:left w:val="single" w:color="006633" w:sz="12" w:space="4"/>
        </w:pBdr>
        <w:spacing w:line="260" w:lineRule="auto" w:before="0" w:after="80"/>
        <w:ind w:left="400"/>
      </w:pPr>
      <w:r>
        <w:rPr>
          <w:rFonts w:ascii="Courier New" w:cs="Courier New" w:eastAsia="Courier New" w:hAnsi="Courier New"/>
          <w:color w:val="2C2C2C"/>
          <w:sz w:val="20"/>
          <w:szCs w:val="20"/>
        </w:rPr>
        <w:t xml:space="preserve">scaler = StandardScaler()</w:t>
      </w:r>
    </w:p>
    <w:p>
      <w:pPr>
        <w:pBdr>
          <w:left w:val="single" w:color="006633" w:sz="12" w:space="4"/>
        </w:pBdr>
        <w:spacing w:line="260" w:lineRule="auto" w:before="0" w:after="80"/>
        <w:ind w:left="400"/>
      </w:pPr>
      <w:r>
        <w:rPr>
          <w:rFonts w:ascii="Courier New" w:cs="Courier New" w:eastAsia="Courier New" w:hAnsi="Courier New"/>
          <w:color w:val="2C2C2C"/>
          <w:sz w:val="20"/>
          <w:szCs w:val="20"/>
        </w:rPr>
        <w:t xml:space="preserve">X_train_sc = scaler.fit_transform(X_train)  # fit sur train uniquement</w:t>
      </w:r>
    </w:p>
    <w:p>
      <w:pPr>
        <w:pBdr>
          <w:left w:val="single" w:color="006633" w:sz="12" w:space="4"/>
        </w:pBdr>
        <w:spacing w:line="260" w:lineRule="auto" w:before="0" w:after="160"/>
        <w:ind w:left="400"/>
      </w:pPr>
      <w:r>
        <w:rPr>
          <w:rFonts w:ascii="Courier New" w:cs="Courier New" w:eastAsia="Courier New" w:hAnsi="Courier New"/>
          <w:color w:val="2C2C2C"/>
          <w:sz w:val="20"/>
          <w:szCs w:val="20"/>
        </w:rPr>
        <w:t xml:space="preserve">X_test_sc  = scaler.transform(X_test)        # transform seulement</w:t>
      </w:r>
    </w:p>
    <w:p>
      <w:pPr>
        <w:pStyle w:val="Heading2"/>
        <w:spacing w:before="240" w:after="120"/>
        <w:ind w:left="360"/>
      </w:pPr>
      <w:r>
        <w:rPr>
          <w:rFonts w:ascii="Times New Roman" w:cs="Times New Roman" w:eastAsia="Times New Roman" w:hAnsi="Times New Roman"/>
          <w:b/>
          <w:bCs/>
          <w:color w:val="004422"/>
          <w:sz w:val="24"/>
          <w:szCs w:val="24"/>
        </w:rPr>
        <w:t xml:space="preserve">Annexe B — Récapitulatif des métriques et paramètres</w:t>
      </w:r>
    </w:p>
    <w:p>
      <w:pPr>
        <w:spacing w:line="360" w:lineRule="auto" w:before="0" w:after="120"/>
        <w:jc w:val="both"/>
      </w:pPr>
      <w:r>
        <w:rPr>
          <w:rFonts w:ascii="Times New Roman" w:cs="Times New Roman" w:eastAsia="Times New Roman" w:hAnsi="Times New Roman"/>
          <w:color w:val="2C2C2C"/>
          <w:sz w:val="24"/>
          <w:szCs w:val="24"/>
        </w:rPr>
        <w:t xml:space="preserve">Le notebook Jupyter complet (BankChurners_Prediction.ipynb, 40 cellules) est disponible en accompagnement de ce compte rendu. Il contient l'intégralité du code Python commenté, les visualisations (courbes ROC, matrices de confusion, feature importances, graphique seuil optimal), ainsi que les sorties d'exécution détaillées pour chacun des neuf modèles évalués.</w:t>
      </w:r>
    </w:p>
    <w:sectPr>
      <w:footerReference w:type="default" r:id="rId6"/>
      <w:pgSz w:w="11906" w:h="16838" w:orient="portrait"/>
      <w:pgMar w:top="1440" w:right="1440" w:bottom="1440" w:left="216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6633" w:sz="6" w:space="4"/>
      </w:pBdr>
      <w:spacing w:before="100"/>
      <w:jc w:val="center"/>
    </w:pPr>
    <w:r>
      <w:rPr>
        <w:rFonts w:ascii="Times New Roman" w:cs="Times New Roman" w:eastAsia="Times New Roman" w:hAnsi="Times New Roman"/>
        <w:color w:val="888888"/>
        <w:sz w:val="18"/>
        <w:szCs w:val="18"/>
      </w:rPr>
      <w:t xml:space="preserve">ENCG Settat — Compte Rendu de Projet S8 | </w:t>
    </w:r>
    <w:r>
      <w:rPr>
        <w:rFonts w:ascii="Times New Roman" w:cs="Times New Roman" w:eastAsia="Times New Roman" w:hAnsi="Times New Roman"/>
        <w:color w:val="888888"/>
        <w:sz w:val="18"/>
        <w:szCs w:val="18"/>
      </w:rPr>
      <w:t xml:space="preserve">Page </w:t>
    </w:r>
    <w:r>
      <w:rPr>
        <w:rFonts w:ascii="Times New Roman" w:cs="Times New Roman" w:eastAsia="Times New Roman" w:hAnsi="Times New Roman"/>
        <w:color w:val="006633"/>
        <w:sz w:val="18"/>
        <w:szCs w:val="18"/>
      </w:rPr>
      <w:fldChar w:fldCharType="begin"/>
      <w:instrText xml:space="preserve">PAGE</w:instrText>
      <w:fldChar w:fldCharType="separate"/>
      <w:fldChar w:fldCharType="end"/>
    </w:r>
    <w:r>
      <w:rPr>
        <w:rFonts w:ascii="Times New Roman" w:cs="Times New Roman" w:eastAsia="Times New Roman" w:hAnsi="Times New Roman"/>
        <w:color w:val="888888"/>
        <w:sz w:val="18"/>
        <w:szCs w:val="18"/>
      </w:rPr>
      <w:t xml:space="preserve"> / </w:t>
    </w:r>
    <w:r>
      <w:rPr>
        <w:rFonts w:ascii="Times New Roman" w:cs="Times New Roman" w:eastAsia="Times New Roman" w:hAnsi="Times New Roman"/>
        <w:color w:val="006633"/>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Times New Roman" w:cs="Times New Roman" w:eastAsia="Times New Roman" w:hAnsi="Times New Roman"/>
      <w:b/>
      <w:bCs/>
      <w:color w:val="006633"/>
      <w:sz w:val="28"/>
      <w:szCs w:val="28"/>
    </w:rPr>
  </w:style>
  <w:style w:type="paragraph" w:styleId="Heading2">
    <w:name w:val="Heading 2"/>
    <w:basedOn w:val="Normal"/>
    <w:next w:val="Normal"/>
    <w:qFormat/>
    <w:pPr>
      <w:spacing w:before="240" w:after="120"/>
      <w:outlineLvl w:val="1"/>
    </w:pPr>
    <w:rPr>
      <w:rFonts w:ascii="Times New Roman" w:cs="Times New Roman" w:eastAsia="Times New Roman" w:hAnsi="Times New Roman"/>
      <w:b/>
      <w:bCs/>
      <w:color w:val="00442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2026-03-17T22:47:29.754Z</dcterms:created>
  <dcterms:modified xsi:type="dcterms:W3CDTF">2026-03-17T22:47:29.755Z</dcterms:modified>
</cp:coreProperties>
</file>

<file path=docProps/custom.xml><?xml version="1.0" encoding="utf-8"?>
<Properties xmlns="http://schemas.openxmlformats.org/officeDocument/2006/custom-properties" xmlns:vt="http://schemas.openxmlformats.org/officeDocument/2006/docPropsVTypes"/>
</file>