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Calibri" w:cs="Calibri" w:eastAsia="Calibri" w:hAnsi="Calibri"/>
          <w:b/>
          <w:bCs/>
          <w:color w:val="0A192F"/>
          <w:sz w:val="56"/>
          <w:szCs w:val="56"/>
        </w:rPr>
        <w:t xml:space="preserve">SIDOSEA LOGISTICS</w:t>
      </w:r>
    </w:p>
    <w:p>
      <w:pPr>
        <w:jc w:val="center"/>
      </w:pPr>
      <w:r>
        <w:rPr>
          <w:rFonts w:ascii="Calibri" w:cs="Calibri" w:eastAsia="Calibri" w:hAnsi="Calibri"/>
          <w:color w:val="FF5F1F"/>
          <w:sz w:val="28"/>
          <w:szCs w:val="28"/>
        </w:rPr>
        <w:t xml:space="preserve">Corporate Website — Technical Documentation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Version 1.0 | March 2026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Prepared by CraftWave Solutions</w:t>
      </w:r>
    </w:p>
    <w:p>
      <w:pPr>
        <w:pStyle w:val="Heading1"/>
        <w:spacing w:before="600"/>
      </w:pPr>
      <w:r>
        <w:t xml:space="preserve">1. Executive Summary</w:t>
      </w:r>
    </w:p>
    <w:p>
      <w:pPr>
        <w:spacing w:after="200"/>
      </w:pPr>
      <w:r>
        <w:t xml:space="preserve">SIDOSEA Logistics is a modern, institutional-grade corporate website designed for a Nigerian crude oil export facilitation company specializing in Bonny Light Crude Oil (BLCO). The platform reflects authority, compliance strength, structured execution capability, and international trading professionalism.</w:t>
      </w:r>
    </w:p>
    <w:p>
      <w:r>
        <w:t xml:space="preserve">The website is built as a Single Page Application (SPA) using React with Next.js App Router, featuring server-side rendering, SEO optimization, and a lightweight content management system (CMS) for internal administration.</w:t>
      </w:r>
    </w:p>
    <w:p>
      <w:pPr>
        <w:pStyle w:val="Heading1"/>
        <w:spacing w:before="600"/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Server-side rendering, routing, API routes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UI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Component-based user interface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Tailwind CSS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Utility-first CSS framework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Smooth page transitions and micro-animations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Zod + react-hook-form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Schema-based input validation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Consistent SVG icon library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IBM Plex Sans /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Professional institutional typeface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Cookie-based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Lightweight admin panel auth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Type-safe development</w:t>
            </w:r>
          </w:p>
        </w:tc>
      </w:tr>
    </w:tbl>
    <w:p>
      <w:pPr>
        <w:pStyle w:val="Heading1"/>
        <w:spacing w:before="600"/>
      </w:pPr>
      <w:r>
        <w:t xml:space="preserve">3. Site Architecture &amp; Sections</w:t>
      </w:r>
    </w:p>
    <w:p>
      <w:pPr>
        <w:spacing w:before="200"/>
      </w:pPr>
      <w:r>
        <w:rPr>
          <w:b/>
          <w:bCs/>
          <w:color w:val="0A192F"/>
        </w:rPr>
        <w:t xml:space="preserve">Navigation Bar</w:t>
      </w:r>
    </w:p>
    <w:p>
      <w:r>
        <w:rPr>
          <w:color w:val="555555"/>
        </w:rPr>
        <w:t xml:space="preserve">Sticky glassmorphism navbar with responsive hamburger menu, brand mark, and a live "MARKETS OPEN" pulsing indicator.</w:t>
      </w:r>
    </w:p>
    <w:p>
      <w:pPr>
        <w:spacing w:before="200"/>
      </w:pPr>
      <w:r>
        <w:rPr>
          <w:b/>
          <w:bCs/>
          <w:color w:val="0A192F"/>
        </w:rPr>
        <w:t xml:space="preserve">Page Loader</w:t>
      </w:r>
    </w:p>
    <w:p>
      <w:r>
        <w:rPr>
          <w:color w:val="555555"/>
        </w:rPr>
        <w:t xml:space="preserve">Full-screen animated splash screen with wave text transition displaying "SIDOSEA Logistics" on initial page load.</w:t>
      </w:r>
    </w:p>
    <w:p>
      <w:pPr>
        <w:spacing w:before="200"/>
      </w:pPr>
      <w:r>
        <w:rPr>
          <w:b/>
          <w:bCs/>
          <w:color w:val="0A192F"/>
        </w:rPr>
        <w:t xml:space="preserve">Hero Section</w:t>
      </w:r>
    </w:p>
    <w:p>
      <w:r>
        <w:rPr>
          <w:color w:val="555555"/>
        </w:rPr>
        <w:t xml:space="preserve">Full-viewport hero with background imagery (tanker/inspection lab), animated headline, subheadline, and dual CTA buttons.</w:t>
      </w:r>
    </w:p>
    <w:p>
      <w:pPr>
        <w:spacing w:before="200"/>
      </w:pPr>
      <w:r>
        <w:rPr>
          <w:b/>
          <w:bCs/>
          <w:color w:val="0A192F"/>
        </w:rPr>
        <w:t xml:space="preserve">Value Blocks</w:t>
      </w:r>
    </w:p>
    <w:p>
      <w:r>
        <w:rPr>
          <w:color w:val="555555"/>
        </w:rPr>
        <w:t xml:space="preserve">Four-column grid highlighting core propositions: Verified Allocations, Documentation Management, Compliance Screening, Market Access.</w:t>
      </w:r>
    </w:p>
    <w:p>
      <w:pPr>
        <w:spacing w:before="200"/>
      </w:pPr>
      <w:r>
        <w:rPr>
          <w:b/>
          <w:bCs/>
          <w:color w:val="0A192F"/>
        </w:rPr>
        <w:t xml:space="preserve">About / Identity</w:t>
      </w:r>
    </w:p>
    <w:p>
      <w:r>
        <w:rPr>
          <w:color w:val="555555"/>
        </w:rPr>
        <w:t xml:space="preserve">Two-column layout with company positioning text and an interactive Bonny Light Technical Profile panel (API Gravity, Sulfur Content, Market Premium, Primary Yields).</w:t>
      </w:r>
    </w:p>
    <w:p>
      <w:pPr>
        <w:spacing w:before="200"/>
      </w:pPr>
      <w:r>
        <w:rPr>
          <w:b/>
          <w:bCs/>
          <w:color w:val="0A192F"/>
        </w:rPr>
        <w:t xml:space="preserve">Transaction Lifecycle</w:t>
      </w:r>
    </w:p>
    <w:p>
      <w:r>
        <w:rPr>
          <w:color w:val="555555"/>
        </w:rPr>
        <w:t xml:space="preserve">Interactive 6-step horizontal diagram: Allocation Validation → Commercial Structuring → Regulatory Compliance → Lifting Coordination → Documentation Execution → Financial Settlement.</w:t>
      </w:r>
    </w:p>
    <w:p>
      <w:pPr>
        <w:spacing w:before="200"/>
      </w:pPr>
      <w:r>
        <w:rPr>
          <w:b/>
          <w:bCs/>
          <w:color w:val="0A192F"/>
        </w:rPr>
        <w:t xml:space="preserve">Markets Served</w:t>
      </w:r>
    </w:p>
    <w:p>
      <w:r>
        <w:rPr>
          <w:color w:val="555555"/>
        </w:rPr>
        <w:t xml:space="preserve">Global market coverage (Europe, United States, Asia, Emerging Markets) with refinery sunset imagery.</w:t>
      </w:r>
    </w:p>
    <w:p>
      <w:pPr>
        <w:spacing w:before="200"/>
      </w:pPr>
      <w:r>
        <w:rPr>
          <w:b/>
          <w:bCs/>
          <w:color w:val="0A192F"/>
        </w:rPr>
        <w:t xml:space="preserve">Risk &amp; Compliance</w:t>
      </w:r>
    </w:p>
    <w:p>
      <w:r>
        <w:rPr>
          <w:color w:val="555555"/>
        </w:rPr>
        <w:t xml:space="preserve">Institutional risk matrix covering Title Fraud, Payment Default, Operational Variance, and Regulatory Delays with structured mitigation strategies.</w:t>
      </w:r>
    </w:p>
    <w:p>
      <w:pPr>
        <w:spacing w:before="200"/>
      </w:pPr>
      <w:r>
        <w:rPr>
          <w:b/>
          <w:bCs/>
          <w:color w:val="0A192F"/>
        </w:rPr>
        <w:t xml:space="preserve">Supply Engagement Form</w:t>
      </w:r>
    </w:p>
    <w:p>
      <w:r>
        <w:rPr>
          <w:color w:val="555555"/>
        </w:rPr>
        <w:t xml:space="preserve">Lead qualification form with Zod validation, banking instrument dropdown, volume range selection, and NDA checkbox. Submissions sent to /api/lead.</w:t>
      </w:r>
    </w:p>
    <w:p>
      <w:pPr>
        <w:spacing w:before="200"/>
      </w:pPr>
      <w:r>
        <w:rPr>
          <w:b/>
          <w:bCs/>
          <w:color w:val="0A192F"/>
        </w:rPr>
        <w:t xml:space="preserve">Footer</w:t>
      </w:r>
    </w:p>
    <w:p>
      <w:r>
        <w:rPr>
          <w:color w:val="555555"/>
        </w:rPr>
        <w:t xml:space="preserve">Three-column footer with Lagos, London, and Houston office locations.</w:t>
      </w:r>
    </w:p>
    <w:p>
      <w:pPr>
        <w:spacing w:before="200"/>
      </w:pPr>
      <w:r>
        <w:rPr>
          <w:b/>
          <w:bCs/>
          <w:color w:val="0A192F"/>
        </w:rPr>
        <w:t xml:space="preserve">Back to Top</w:t>
      </w:r>
    </w:p>
    <w:p>
      <w:r>
        <w:rPr>
          <w:color w:val="555555"/>
        </w:rPr>
        <w:t xml:space="preserve">Modern center-positioned floating button that appears on scroll with smooth animation.</w:t>
      </w:r>
    </w:p>
    <w:p>
      <w:pPr>
        <w:pStyle w:val="Heading1"/>
        <w:spacing w:before="600"/>
      </w:pPr>
      <w:r>
        <w:t xml:space="preserve">4. Content Management System (CMS)</w:t>
      </w:r>
    </w:p>
    <w:p>
      <w:r>
        <w:t xml:space="preserve">The platform includes a lightweight admin panel accessible at /admin/login. Features include:</w:t>
      </w:r>
    </w:p>
    <w:p>
      <w:pPr>
        <w:pStyle w:val="ListParagraph"/>
        <w:numPr>
          <w:ilvl w:val="0"/>
          <w:numId w:val="1"/>
        </w:numPr>
      </w:pPr>
      <w:r>
        <w:t xml:space="preserve">Dashboard with key statistics (leads, compliance, allocations, edits)</w:t>
      </w:r>
    </w:p>
    <w:p>
      <w:pPr>
        <w:pStyle w:val="ListParagraph"/>
        <w:numPr>
          <w:ilvl w:val="0"/>
          <w:numId w:val="1"/>
        </w:numPr>
      </w:pPr>
      <w:r>
        <w:t xml:space="preserve">Content editor for homepage and about section text</w:t>
      </w:r>
    </w:p>
    <w:p>
      <w:pPr>
        <w:pStyle w:val="ListParagraph"/>
        <w:numPr>
          <w:ilvl w:val="0"/>
          <w:numId w:val="1"/>
        </w:numPr>
      </w:pPr>
      <w:r>
        <w:t xml:space="preserve">Lead submission viewer</w:t>
      </w:r>
    </w:p>
    <w:p>
      <w:pPr>
        <w:pStyle w:val="ListParagraph"/>
        <w:numPr>
          <w:ilvl w:val="0"/>
          <w:numId w:val="1"/>
        </w:numPr>
      </w:pPr>
      <w:r>
        <w:t xml:space="preserve">Risk matrix management</w:t>
      </w:r>
    </w:p>
    <w:p>
      <w:pPr>
        <w:pStyle w:val="ListParagraph"/>
        <w:numPr>
          <w:ilvl w:val="0"/>
          <w:numId w:val="1"/>
        </w:numPr>
      </w:pPr>
      <w:r>
        <w:t xml:space="preserve">Quick action buttons for common tasks</w:t>
      </w:r>
    </w:p>
    <w:p>
      <w:pPr>
        <w:spacing w:before="200"/>
      </w:pPr>
      <w:r>
        <w:rPr>
          <w:b/>
          <w:bCs/>
        </w:rPr>
        <w:t xml:space="preserve">Authentication: </w:t>
      </w:r>
      <w:r>
        <w:t xml:space="preserve">Cookie-based session auth with environment variable credentials (ADMIN_USERNAME / ADMIN_PASSWORD).</w:t>
      </w:r>
    </w:p>
    <w:p>
      <w:pPr>
        <w:pStyle w:val="Heading1"/>
        <w:spacing w:before="600"/>
      </w:pPr>
      <w:r>
        <w:t xml:space="preserve">5.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Submit lead qualification form data with Zod validation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Retrieve CMS-managed content from content.json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CMS content (authenticated)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 authentication with cookie session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Clear admin session cookie</w:t>
            </w:r>
          </w:p>
        </w:tc>
      </w:tr>
    </w:tbl>
    <w:p>
      <w:pPr>
        <w:pStyle w:val="Heading1"/>
        <w:spacing w:before="600"/>
      </w:pPr>
      <w:r>
        <w:t xml:space="preserve">6. Design System</w:t>
      </w:r>
    </w:p>
    <w:p>
      <w:pPr>
        <w:pStyle w:val="Heading2"/>
      </w:pPr>
      <w:r>
        <w:t xml:space="preserve">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Neon 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#FF5F1F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Primary accent, CTAs, highlights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Navy 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#0A192F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Primary backgrounds, headings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Off-White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Content backgrounds, body text areas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#22C55E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status indicators (MARKETS OPEN)</w:t>
            </w:r>
          </w:p>
        </w:tc>
      </w:tr>
    </w:tbl>
    <w:p>
      <w:pPr>
        <w:pStyle w:val="Heading2"/>
        <w:spacing w:before="300"/>
      </w:pPr>
      <w:r>
        <w:t xml:space="preserve">Typography</w:t>
      </w:r>
    </w:p>
    <w:p>
      <w:r>
        <w:rPr>
          <w:b/>
          <w:bCs/>
        </w:rPr>
        <w:t xml:space="preserve">Primary: </w:t>
      </w:r>
      <w:r>
        <w:t xml:space="preserve">IBM Plex Sans (weights: 300-700)</w:t>
      </w:r>
    </w:p>
    <w:p>
      <w:r>
        <w:rPr>
          <w:b/>
          <w:bCs/>
        </w:rPr>
        <w:t xml:space="preserve">Monospace: </w:t>
      </w:r>
      <w:r>
        <w:t xml:space="preserve">IBM Plex Mono (data panels, technical specs)</w:t>
      </w:r>
    </w:p>
    <w:p>
      <w:pPr>
        <w:pStyle w:val="Heading1"/>
        <w:spacing w:before="600"/>
      </w:pPr>
      <w:r>
        <w:t xml:space="preserve">7. Project File Structure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src/app/page.tsx — Main SPA homepage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src/app/layout.tsx — Root layout with SEO metadata and fonts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src/app/globals.css — Global styles and Tailwind config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src/components/shared/Navbar.tsx — Responsive navigation bar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src/components/shared/PageLoader.tsx — Animated page loader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src/components/shared/BackToTop.tsx — Back to top button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src/components/sections/Hero.tsx — Hero section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src/components/sections/About.tsx — About and Bonny Light panel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src/components/sections/Lifecycle.tsx — 6-step transaction diagram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src/components/sections/Markets.tsx — Markets served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src/components/sections/Risk.tsx — Risk &amp; compliance matrix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src/components/sections/Contact.tsx — Lead qualification form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src/components/sections/ValueBlocks.tsx — Core value propositions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src/lib/schemas.ts — Zod validation schemas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src/lib/auth.ts — Authentication utilities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src/lib/content.json — CMS content store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src/app/api/ — API route handlers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src/app/admin/ — Admin panel pages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public/images/ — Optimized image assets</w:t>
      </w:r>
    </w:p>
    <w:p>
      <w:pPr>
        <w:pStyle w:val="Heading1"/>
        <w:spacing w:before="600"/>
      </w:pPr>
      <w:r>
        <w:t xml:space="preserve">8. Performance &amp; Security</w:t>
      </w:r>
    </w:p>
    <w:p>
      <w:pPr>
        <w:pStyle w:val="ListParagraph"/>
        <w:numPr>
          <w:ilvl w:val="0"/>
          <w:numId w:val="1"/>
        </w:numPr>
      </w:pPr>
      <w:r>
        <w:t xml:space="preserve">Server-side rendering for optimal SEO and initial load performance</w:t>
      </w:r>
    </w:p>
    <w:p>
      <w:pPr>
        <w:pStyle w:val="ListParagraph"/>
        <w:numPr>
          <w:ilvl w:val="0"/>
          <w:numId w:val="1"/>
        </w:numPr>
      </w:pPr>
      <w:r>
        <w:t xml:space="preserve">Image optimization via Next.js Image component</w:t>
      </w:r>
    </w:p>
    <w:p>
      <w:pPr>
        <w:pStyle w:val="ListParagraph"/>
        <w:numPr>
          <w:ilvl w:val="0"/>
          <w:numId w:val="1"/>
        </w:numPr>
      </w:pPr>
      <w:r>
        <w:t xml:space="preserve">Security headers: X-Content-Type-Options, X-Frame-Options, X-XSS-Protection, Referrer-Policy</w:t>
      </w:r>
    </w:p>
    <w:p>
      <w:pPr>
        <w:pStyle w:val="ListParagraph"/>
        <w:numPr>
          <w:ilvl w:val="0"/>
          <w:numId w:val="1"/>
        </w:numPr>
      </w:pPr>
      <w:r>
        <w:t xml:space="preserve">Zod-based input validation on both client and server</w:t>
      </w:r>
    </w:p>
    <w:p>
      <w:pPr>
        <w:pStyle w:val="ListParagraph"/>
        <w:numPr>
          <w:ilvl w:val="0"/>
          <w:numId w:val="1"/>
        </w:numPr>
      </w:pPr>
      <w:r>
        <w:t xml:space="preserve">HttpOnly, Secure, SameSite cookie-based authentication</w:t>
      </w:r>
    </w:p>
    <w:p>
      <w:pPr>
        <w:pStyle w:val="ListParagraph"/>
        <w:numPr>
          <w:ilvl w:val="0"/>
          <w:numId w:val="1"/>
        </w:numPr>
      </w:pPr>
      <w:r>
        <w:t xml:space="preserve">Environment variable-based credential management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A192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FF5F1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2026-03-03T02:24:44.977Z</dcterms:created>
  <dcterms:modified xsi:type="dcterms:W3CDTF">2026-03-03T02:24:44.982Z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