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none"/>
          <w:bottom w:val="none"/>
          <w:left w:val="none"/>
          <w:right w:val="none"/>
        </w:pBdr>
        <w:shd w:fill="1F3864" w:val="clear"/>
        <w:spacing w:before="0" w:after="0"/>
        <w:jc w:val="center"/>
      </w:pPr>
      <w:r>
        <w:rPr>
          <w:rFonts w:ascii="Arial" w:cs="Arial" w:eastAsia="Arial" w:hAnsi="Arial"/>
          <w:b/>
          <w:bCs/>
          <w:color w:val="FFFFFF"/>
          <w:sz w:val="20"/>
          <w:szCs w:val="20"/>
        </w:rPr>
        <w:t xml:space="preserve">EPSI MONTPELLIER  –  MSc 2 Expert Informatique &amp; SI</w:t>
      </w:r>
    </w:p>
    <w:p>
      <w:pPr>
        <w:shd w:fill="1F3864" w:val="clear"/>
        <w:spacing w:before="0" w:after="240"/>
        <w:jc w:val="center"/>
      </w:pPr>
      <w:r>
        <w:rPr>
          <w:rFonts w:ascii="Arial" w:cs="Arial" w:eastAsia="Arial" w:hAnsi="Arial"/>
          <w:color w:val="D6E4F0"/>
          <w:sz w:val="18"/>
          <w:szCs w:val="18"/>
        </w:rPr>
        <w:t xml:space="preserve">Rythme : 1 semaine école / 2 semaines entreprise  –  Année 2024-2025</w:t>
      </w:r>
    </w:p>
    <w:p>
      <w:pPr>
        <w:spacing w:before="60" w:after="0"/>
      </w:pPr>
      <w:r>
        <w:rPr>
          <w:rFonts w:ascii="Arial" w:cs="Arial" w:eastAsia="Arial" w:hAnsi="Arial"/>
          <w:sz w:val="22"/>
          <w:szCs w:val="22"/>
        </w:rPr>
        <w:t xml:space="preserve"/>
      </w:r>
    </w:p>
    <w:p>
      <w:pPr>
        <w:spacing w:before="60" w:after="0"/>
      </w:pPr>
      <w:r>
        <w:rPr>
          <w:rFonts w:ascii="Arial" w:cs="Arial" w:eastAsia="Arial" w:hAnsi="Arial"/>
          <w:sz w:val="22"/>
          <w:szCs w:val="22"/>
        </w:rPr>
        <w:t xml:space="preserve"/>
      </w:r>
    </w:p>
    <w:p>
      <w:pPr>
        <w:spacing w:before="60" w:after="0"/>
      </w:pPr>
      <w:r>
        <w:rPr>
          <w:rFonts w:ascii="Arial" w:cs="Arial" w:eastAsia="Arial" w:hAnsi="Arial"/>
          <w:sz w:val="22"/>
          <w:szCs w:val="22"/>
        </w:rPr>
        <w:t xml:space="preserve"/>
      </w:r>
    </w:p>
    <w:p>
      <w:pPr>
        <w:spacing w:before="0" w:after="120"/>
        <w:jc w:val="center"/>
      </w:pPr>
      <w:r>
        <w:rPr>
          <w:rFonts w:ascii="Arial" w:cs="Arial" w:eastAsia="Arial" w:hAnsi="Arial"/>
          <w:b/>
          <w:bCs/>
          <w:color w:val="1F3864"/>
          <w:sz w:val="52"/>
          <w:szCs w:val="52"/>
        </w:rPr>
        <w:t xml:space="preserve">CAHIER DES CHARGES</w:t>
      </w:r>
    </w:p>
    <w:p>
      <w:pPr>
        <w:spacing w:before="0" w:after="80"/>
        <w:jc w:val="center"/>
      </w:pPr>
      <w:r>
        <w:rPr>
          <w:rFonts w:ascii="Arial" w:cs="Arial" w:eastAsia="Arial" w:hAnsi="Arial"/>
          <w:b/>
          <w:bCs/>
          <w:color w:val="2E75B6"/>
          <w:sz w:val="40"/>
          <w:szCs w:val="40"/>
        </w:rPr>
        <w:t xml:space="preserve">Logiciel de Gestion de Stock Industriel</w:t>
      </w:r>
    </w:p>
    <w:p>
      <w:pPr>
        <w:spacing w:before="0" w:after="480"/>
        <w:jc w:val="center"/>
      </w:pPr>
      <w:r>
        <w:rPr>
          <w:rFonts w:ascii="Arial" w:cs="Arial" w:eastAsia="Arial" w:hAnsi="Arial"/>
          <w:color w:val="2E75B6"/>
          <w:sz w:val="30"/>
          <w:szCs w:val="30"/>
        </w:rPr>
        <w:t xml:space="preserve">avec Site Vitrine &amp; Gestion des Leads / Devis en Ligne</w:t>
      </w:r>
    </w:p>
    <w:p>
      <w:pPr>
        <w:spacing w:before="0" w:after="480"/>
        <w:jc w:val="center"/>
      </w:pPr>
      <w:r>
        <w:rPr>
          <w:rFonts w:ascii="Arial" w:cs="Arial" w:eastAsia="Arial" w:hAnsi="Arial"/>
          <w:color w:val="2E75B6"/>
          <w:sz w:val="24"/>
          <w:szCs w:val="24"/>
        </w:rPr>
        <w:t xml:space="preserve">────────────────────────────────────────────</w:t>
      </w:r>
    </w:p>
    <w:p>
      <w:pPr>
        <w:spacing w:before="0" w:after="120"/>
        <w:jc w:val="center"/>
      </w:pPr>
      <w:r>
        <w:rPr>
          <w:rFonts w:ascii="Arial" w:cs="Arial" w:eastAsia="Arial" w:hAnsi="Arial"/>
          <w:i/>
          <w:iCs/>
          <w:color w:val="666666"/>
          <w:sz w:val="24"/>
          <w:szCs w:val="24"/>
        </w:rPr>
        <w:t xml:space="preserve">Document de cadrage et d'analyse</w:t>
      </w:r>
    </w:p>
    <w:p>
      <w:pPr>
        <w:spacing w:before="0" w:after="0"/>
        <w:jc w:val="center"/>
      </w:pPr>
      <w:r>
        <w:rPr>
          <w:rFonts w:ascii="Arial" w:cs="Arial" w:eastAsia="Arial" w:hAnsi="Arial"/>
          <w:color w:val="888888"/>
          <w:sz w:val="22"/>
          <w:szCs w:val="22"/>
        </w:rPr>
        <w:t xml:space="preserve">Version 1.0  –  Mars 2025</w:t>
      </w:r>
    </w:p>
    <w:p>
      <w:pPr>
        <w:spacing w:before="60" w:after="0"/>
      </w:pPr>
      <w:r>
        <w:rPr>
          <w:rFonts w:ascii="Arial" w:cs="Arial" w:eastAsia="Arial" w:hAnsi="Arial"/>
          <w:sz w:val="22"/>
          <w:szCs w:val="22"/>
        </w:rPr>
        <w:t xml:space="preserve"/>
      </w:r>
    </w:p>
    <w:p>
      <w:pPr>
        <w:spacing w:before="60" w:after="0"/>
      </w:pPr>
      <w:r>
        <w:rPr>
          <w:rFonts w:ascii="Arial" w:cs="Arial" w:eastAsia="Arial" w:hAnsi="Arial"/>
          <w:sz w:val="22"/>
          <w:szCs w:val="22"/>
        </w:rPr>
        <w:t xml:space="preserve"/>
      </w:r>
    </w:p>
    <w:p>
      <w:pPr>
        <w:spacing w:before="60" w:after="0"/>
      </w:pPr>
      <w:r>
        <w:rPr>
          <w:rFonts w:ascii="Arial" w:cs="Arial" w:eastAsia="Arial" w:hAnsi="Arial"/>
          <w:sz w:val="22"/>
          <w:szCs w:val="22"/>
        </w:rPr>
        <w:t xml:space="preserve"/>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D6E4F0" w:val="clear"/>
          </w:tcPr>
          <w:p>
            <w:pPr>
              <w:spacing w:before="60" w:after="60"/>
            </w:pPr>
            <w:r>
              <w:rPr>
                <w:rFonts w:ascii="Arial" w:cs="Arial" w:eastAsia="Arial" w:hAnsi="Arial"/>
                <w:b/>
                <w:bCs/>
                <w:sz w:val="20"/>
                <w:szCs w:val="20"/>
              </w:rPr>
              <w:t xml:space="preserve">Auteur</w:t>
            </w:r>
          </w:p>
        </w:tc>
        <w:tc>
          <w:tcPr>
            <w:tcW w:type="dxa" w:w="7160"/>
            <w:tcBorders>
              <w:top w:val="single" w:color="DDDDDD" w:sz="1"/>
              <w:left w:val="single" w:color="DDDDDD" w:sz="1"/>
              <w:bottom w:val="single" w:color="DDDDDD" w:sz="1"/>
              <w:right w:val="single" w:color="DDDDDD" w:sz="1"/>
            </w:tcBorders>
            <w:shd w:fill="FFFFFF" w:val="clear"/>
          </w:tcPr>
          <w:p>
            <w:pPr>
              <w:spacing w:before="60" w:after="60"/>
            </w:pPr>
            <w:r>
              <w:rPr>
                <w:rFonts w:ascii="Arial" w:cs="Arial" w:eastAsia="Arial" w:hAnsi="Arial"/>
                <w:sz w:val="20"/>
                <w:szCs w:val="20"/>
              </w:rPr>
              <w:t xml:space="preserve">Étudiant MSc 2 – Expert Informatique &amp; SI</w:t>
            </w:r>
          </w:p>
        </w:tc>
      </w:tr>
      <w:tr>
        <w:tc>
          <w:tcPr>
            <w:tcW w:type="dxa" w:w="2200"/>
            <w:tcBorders>
              <w:top w:val="single" w:color="DDDDDD" w:sz="1"/>
              <w:left w:val="single" w:color="DDDDDD" w:sz="1"/>
              <w:bottom w:val="single" w:color="DDDDDD" w:sz="1"/>
              <w:right w:val="single" w:color="DDDDDD" w:sz="1"/>
            </w:tcBorders>
            <w:shd w:fill="D6E4F0" w:val="clear"/>
          </w:tcPr>
          <w:p>
            <w:pPr>
              <w:spacing w:before="60" w:after="60"/>
            </w:pPr>
            <w:r>
              <w:rPr>
                <w:rFonts w:ascii="Arial" w:cs="Arial" w:eastAsia="Arial" w:hAnsi="Arial"/>
                <w:b/>
                <w:bCs/>
                <w:sz w:val="20"/>
                <w:szCs w:val="20"/>
              </w:rPr>
              <w:t xml:space="preserve">Établissement</w:t>
            </w:r>
          </w:p>
        </w:tc>
        <w:tc>
          <w:tcPr>
            <w:tcW w:type="dxa" w:w="7160"/>
            <w:tcBorders>
              <w:top w:val="single" w:color="DDDDDD" w:sz="1"/>
              <w:left w:val="single" w:color="DDDDDD" w:sz="1"/>
              <w:bottom w:val="single" w:color="DDDDDD" w:sz="1"/>
              <w:right w:val="single" w:color="DDDDDD" w:sz="1"/>
            </w:tcBorders>
            <w:shd w:fill="FFFFFF" w:val="clear"/>
          </w:tcPr>
          <w:p>
            <w:pPr>
              <w:spacing w:before="60" w:after="60"/>
            </w:pPr>
            <w:r>
              <w:rPr>
                <w:rFonts w:ascii="Arial" w:cs="Arial" w:eastAsia="Arial" w:hAnsi="Arial"/>
                <w:sz w:val="20"/>
                <w:szCs w:val="20"/>
              </w:rPr>
              <w:t xml:space="preserve">EPSI Montpellier</w:t>
            </w:r>
          </w:p>
        </w:tc>
      </w:tr>
      <w:tr>
        <w:tc>
          <w:tcPr>
            <w:tcW w:type="dxa" w:w="2200"/>
            <w:tcBorders>
              <w:top w:val="single" w:color="DDDDDD" w:sz="1"/>
              <w:left w:val="single" w:color="DDDDDD" w:sz="1"/>
              <w:bottom w:val="single" w:color="DDDDDD" w:sz="1"/>
              <w:right w:val="single" w:color="DDDDDD" w:sz="1"/>
            </w:tcBorders>
            <w:shd w:fill="D6E4F0" w:val="clear"/>
          </w:tcPr>
          <w:p>
            <w:pPr>
              <w:spacing w:before="60" w:after="60"/>
            </w:pPr>
            <w:r>
              <w:rPr>
                <w:rFonts w:ascii="Arial" w:cs="Arial" w:eastAsia="Arial" w:hAnsi="Arial"/>
                <w:b/>
                <w:bCs/>
                <w:sz w:val="20"/>
                <w:szCs w:val="20"/>
              </w:rPr>
              <w:t xml:space="preserve">Formation</w:t>
            </w:r>
          </w:p>
        </w:tc>
        <w:tc>
          <w:tcPr>
            <w:tcW w:type="dxa" w:w="7160"/>
            <w:tcBorders>
              <w:top w:val="single" w:color="DDDDDD" w:sz="1"/>
              <w:left w:val="single" w:color="DDDDDD" w:sz="1"/>
              <w:bottom w:val="single" w:color="DDDDDD" w:sz="1"/>
              <w:right w:val="single" w:color="DDDDDD" w:sz="1"/>
            </w:tcBorders>
            <w:shd w:fill="FFFFFF" w:val="clear"/>
          </w:tcPr>
          <w:p>
            <w:pPr>
              <w:spacing w:before="60" w:after="60"/>
            </w:pPr>
            <w:r>
              <w:rPr>
                <w:rFonts w:ascii="Arial" w:cs="Arial" w:eastAsia="Arial" w:hAnsi="Arial"/>
                <w:sz w:val="20"/>
                <w:szCs w:val="20"/>
              </w:rPr>
              <w:t xml:space="preserve">MSc 2 – Expert Informatique &amp; Systèmes d'Information</w:t>
            </w:r>
          </w:p>
        </w:tc>
      </w:tr>
      <w:tr>
        <w:tc>
          <w:tcPr>
            <w:tcW w:type="dxa" w:w="2200"/>
            <w:tcBorders>
              <w:top w:val="single" w:color="DDDDDD" w:sz="1"/>
              <w:left w:val="single" w:color="DDDDDD" w:sz="1"/>
              <w:bottom w:val="single" w:color="DDDDDD" w:sz="1"/>
              <w:right w:val="single" w:color="DDDDDD" w:sz="1"/>
            </w:tcBorders>
            <w:shd w:fill="D6E4F0" w:val="clear"/>
          </w:tcPr>
          <w:p>
            <w:pPr>
              <w:spacing w:before="60" w:after="60"/>
            </w:pPr>
            <w:r>
              <w:rPr>
                <w:rFonts w:ascii="Arial" w:cs="Arial" w:eastAsia="Arial" w:hAnsi="Arial"/>
                <w:b/>
                <w:bCs/>
                <w:sz w:val="20"/>
                <w:szCs w:val="20"/>
              </w:rPr>
              <w:t xml:space="preserve">Projet</w:t>
            </w:r>
          </w:p>
        </w:tc>
        <w:tc>
          <w:tcPr>
            <w:tcW w:type="dxa" w:w="7160"/>
            <w:tcBorders>
              <w:top w:val="single" w:color="DDDDDD" w:sz="1"/>
              <w:left w:val="single" w:color="DDDDDD" w:sz="1"/>
              <w:bottom w:val="single" w:color="DDDDDD" w:sz="1"/>
              <w:right w:val="single" w:color="DDDDDD" w:sz="1"/>
            </w:tcBorders>
            <w:shd w:fill="FFFFFF" w:val="clear"/>
          </w:tcPr>
          <w:p>
            <w:pPr>
              <w:spacing w:before="60" w:after="60"/>
            </w:pPr>
            <w:r>
              <w:rPr>
                <w:rFonts w:ascii="Arial" w:cs="Arial" w:eastAsia="Arial" w:hAnsi="Arial"/>
                <w:sz w:val="20"/>
                <w:szCs w:val="20"/>
              </w:rPr>
              <w:t xml:space="preserve">Projet de Fin d'Études (PFE)</w:t>
            </w:r>
          </w:p>
        </w:tc>
      </w:tr>
      <w:tr>
        <w:tc>
          <w:tcPr>
            <w:tcW w:type="dxa" w:w="2200"/>
            <w:tcBorders>
              <w:top w:val="single" w:color="DDDDDD" w:sz="1"/>
              <w:left w:val="single" w:color="DDDDDD" w:sz="1"/>
              <w:bottom w:val="single" w:color="DDDDDD" w:sz="1"/>
              <w:right w:val="single" w:color="DDDDDD" w:sz="1"/>
            </w:tcBorders>
            <w:shd w:fill="D6E4F0" w:val="clear"/>
          </w:tcPr>
          <w:p>
            <w:pPr>
              <w:spacing w:before="60" w:after="60"/>
            </w:pPr>
            <w:r>
              <w:rPr>
                <w:rFonts w:ascii="Arial" w:cs="Arial" w:eastAsia="Arial" w:hAnsi="Arial"/>
                <w:b/>
                <w:bCs/>
                <w:sz w:val="20"/>
                <w:szCs w:val="20"/>
              </w:rPr>
              <w:t xml:space="preserve">Version</w:t>
            </w:r>
          </w:p>
        </w:tc>
        <w:tc>
          <w:tcPr>
            <w:tcW w:type="dxa" w:w="7160"/>
            <w:tcBorders>
              <w:top w:val="single" w:color="DDDDDD" w:sz="1"/>
              <w:left w:val="single" w:color="DDDDDD" w:sz="1"/>
              <w:bottom w:val="single" w:color="DDDDDD" w:sz="1"/>
              <w:right w:val="single" w:color="DDDDDD" w:sz="1"/>
            </w:tcBorders>
            <w:shd w:fill="FFFFFF" w:val="clear"/>
          </w:tcPr>
          <w:p>
            <w:pPr>
              <w:spacing w:before="60" w:after="60"/>
            </w:pPr>
            <w:r>
              <w:rPr>
                <w:rFonts w:ascii="Arial" w:cs="Arial" w:eastAsia="Arial" w:hAnsi="Arial"/>
                <w:sz w:val="20"/>
                <w:szCs w:val="20"/>
              </w:rPr>
              <w:t xml:space="preserve">1.0 – Document initial</w:t>
            </w:r>
          </w:p>
        </w:tc>
      </w:tr>
    </w:tbl>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Historique des révisions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4320"/>
        <w:gridCol w:w="1800"/>
      </w:tblGrid>
      <w:tr>
        <w:tc>
          <w:tcPr>
            <w:tcW w:type="dxa" w:w="144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Version</w:t>
            </w:r>
          </w:p>
        </w:tc>
        <w:tc>
          <w:tcPr>
            <w:tcW w:type="dxa" w:w="180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Date</w:t>
            </w:r>
          </w:p>
        </w:tc>
        <w:tc>
          <w:tcPr>
            <w:tcW w:type="dxa" w:w="432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Description</w:t>
            </w:r>
          </w:p>
        </w:tc>
        <w:tc>
          <w:tcPr>
            <w:tcW w:type="dxa" w:w="180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Auteur</w:t>
            </w:r>
          </w:p>
        </w:tc>
      </w:tr>
      <w:tr>
        <w:tc>
          <w:tcPr>
            <w:tcW w:type="dxa" w:w="1440"/>
            <w:tcBorders>
              <w:top w:val="single" w:color="BBBBBB" w:sz="1"/>
              <w:left w:val="single" w:color="BBBBBB" w:sz="1"/>
              <w:bottom w:val="single" w:color="BBBBBB" w:sz="1"/>
              <w:right w:val="single" w:color="BBBBBB" w:sz="1"/>
            </w:tcBorders>
            <w:shd w:fill="FFFFFF" w:val="clear"/>
          </w:tcPr>
          <w:p>
            <w:pPr>
              <w:spacing w:before="60" w:after="60"/>
              <w:jc w:val="center"/>
            </w:pPr>
            <w:r>
              <w:rPr>
                <w:rFonts w:ascii="Arial" w:cs="Arial" w:eastAsia="Arial" w:hAnsi="Arial"/>
                <w:sz w:val="20"/>
                <w:szCs w:val="20"/>
              </w:rPr>
              <w:t xml:space="preserve">1.0</w:t>
            </w:r>
          </w:p>
        </w:tc>
        <w:tc>
          <w:tcPr>
            <w:tcW w:type="dxa" w:w="1800"/>
            <w:tcBorders>
              <w:top w:val="single" w:color="BBBBBB" w:sz="1"/>
              <w:left w:val="single" w:color="BBBBBB" w:sz="1"/>
              <w:bottom w:val="single" w:color="BBBBBB" w:sz="1"/>
              <w:right w:val="single" w:color="BBBBBB" w:sz="1"/>
            </w:tcBorders>
            <w:shd w:fill="FFFFFF" w:val="clear"/>
          </w:tcPr>
          <w:p>
            <w:pPr>
              <w:spacing w:before="60" w:after="60"/>
              <w:jc w:val="center"/>
            </w:pPr>
            <w:r>
              <w:rPr>
                <w:rFonts w:ascii="Arial" w:cs="Arial" w:eastAsia="Arial" w:hAnsi="Arial"/>
                <w:sz w:val="20"/>
                <w:szCs w:val="20"/>
              </w:rPr>
              <w:t xml:space="preserve">Mars 2025</w:t>
            </w:r>
          </w:p>
        </w:tc>
        <w:tc>
          <w:tcPr>
            <w:tcW w:type="dxa" w:w="432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sz w:val="20"/>
                <w:szCs w:val="20"/>
              </w:rPr>
              <w:t xml:space="preserve">Création initiale du cahier des charges</w:t>
            </w:r>
          </w:p>
        </w:tc>
        <w:tc>
          <w:tcPr>
            <w:tcW w:type="dxa" w:w="180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sz w:val="20"/>
                <w:szCs w:val="20"/>
              </w:rPr>
              <w:t xml:space="preserve">Étudiant PFE</w:t>
            </w:r>
          </w:p>
        </w:tc>
      </w:tr>
    </w:tbl>
    <w:p>
      <w:pPr>
        <w:spacing w:before="60" w:after="0"/>
      </w:pPr>
      <w:r>
        <w:rPr>
          <w:rFonts w:ascii="Arial" w:cs="Arial" w:eastAsia="Arial" w:hAnsi="Arial"/>
          <w:sz w:val="22"/>
          <w:szCs w:val="22"/>
        </w:rPr>
        <w:t xml:space="preserve"/>
      </w:r>
    </w:p>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1. Présentation du projet</w:t>
      </w:r>
    </w:p>
    <w:p>
      <w:pPr>
        <w:pStyle w:val="Heading2"/>
        <w:spacing w:before="280" w:after="120"/>
      </w:pPr>
      <w:r>
        <w:rPr>
          <w:rFonts w:ascii="Arial" w:cs="Arial" w:eastAsia="Arial" w:hAnsi="Arial"/>
          <w:b/>
          <w:bCs/>
          <w:color w:val="2E75B6"/>
          <w:sz w:val="26"/>
          <w:szCs w:val="26"/>
        </w:rPr>
        <w:t xml:space="preserve">1.1 Contexte général</w:t>
      </w:r>
    </w:p>
    <w:p>
      <w:pPr>
        <w:spacing w:before="60" w:after="80"/>
        <w:jc w:val="both"/>
      </w:pPr>
      <w:r>
        <w:rPr>
          <w:rFonts w:ascii="Arial" w:cs="Arial" w:eastAsia="Arial" w:hAnsi="Arial"/>
          <w:sz w:val="22"/>
          <w:szCs w:val="22"/>
        </w:rPr>
        <w:t xml:space="preserve">Les entreprises spécialisées dans la distribution de matériel industriel (pièces électriques, variateurs, moteurs, équipements de froid, outillage, etc.) font face à des défis croissants en matière de gestion de leur stock : multiplicité des familles de produits, diversité des états (neuf, occasion, reconditionné), gestion multi-dépôts, traçabilité par numéro de série ou par lot, et besoin de réactivité commerciale face aux demandes de devis.</w:t>
      </w:r>
    </w:p>
    <w:p>
      <w:pPr>
        <w:spacing w:before="60" w:after="80"/>
        <w:jc w:val="both"/>
      </w:pPr>
      <w:r>
        <w:rPr>
          <w:rFonts w:ascii="Arial" w:cs="Arial" w:eastAsia="Arial" w:hAnsi="Arial"/>
          <w:sz w:val="22"/>
          <w:szCs w:val="22"/>
        </w:rPr>
        <w:t xml:space="preserve">Dans ce contexte, ce projet de fin d'études vise à concevoir et développer un système d'information complet répondant à deux besoins complémentaires : d'une part, un back-office de gestion de stock industriel, et d'autre part, un site vitrine orienté clients permettant la soumission de demandes de devis en ligne.</w:t>
      </w:r>
    </w:p>
    <w:p>
      <w:pPr>
        <w:pStyle w:val="Heading2"/>
        <w:spacing w:before="280" w:after="120"/>
      </w:pPr>
      <w:r>
        <w:rPr>
          <w:rFonts w:ascii="Arial" w:cs="Arial" w:eastAsia="Arial" w:hAnsi="Arial"/>
          <w:b/>
          <w:bCs/>
          <w:color w:val="2E75B6"/>
          <w:sz w:val="26"/>
          <w:szCs w:val="26"/>
        </w:rPr>
        <w:t xml:space="preserve">1.2 Objectifs du projet</w:t>
      </w:r>
    </w:p>
    <w:p>
      <w:pPr>
        <w:pStyle w:val="ListParagraph"/>
        <w:numPr>
          <w:ilvl w:val="0"/>
          <w:numId w:val="2"/>
        </w:numPr>
        <w:spacing w:before="40" w:after="40"/>
      </w:pPr>
      <w:r>
        <w:rPr>
          <w:rFonts w:ascii="Arial" w:cs="Arial" w:eastAsia="Arial" w:hAnsi="Arial"/>
          <w:sz w:val="22"/>
          <w:szCs w:val="22"/>
        </w:rPr>
        <w:t xml:space="preserve">Concevoir et développer un logiciel de gestion de stock multi-dépôts adapté au contexte industriel.</w:t>
      </w:r>
    </w:p>
    <w:p>
      <w:pPr>
        <w:pStyle w:val="ListParagraph"/>
        <w:numPr>
          <w:ilvl w:val="0"/>
          <w:numId w:val="2"/>
        </w:numPr>
        <w:spacing w:before="40" w:after="40"/>
      </w:pPr>
      <w:r>
        <w:rPr>
          <w:rFonts w:ascii="Arial" w:cs="Arial" w:eastAsia="Arial" w:hAnsi="Arial"/>
          <w:sz w:val="22"/>
          <w:szCs w:val="22"/>
        </w:rPr>
        <w:t xml:space="preserve">Gérer des articles avec différents types de gestion : sérialisé (par numéro de série), par lot (batch), et par quantité.</w:t>
      </w:r>
    </w:p>
    <w:p>
      <w:pPr>
        <w:pStyle w:val="ListParagraph"/>
        <w:numPr>
          <w:ilvl w:val="0"/>
          <w:numId w:val="2"/>
        </w:numPr>
        <w:spacing w:before="40" w:after="40"/>
      </w:pPr>
      <w:r>
        <w:rPr>
          <w:rFonts w:ascii="Arial" w:cs="Arial" w:eastAsia="Arial" w:hAnsi="Arial"/>
          <w:sz w:val="22"/>
          <w:szCs w:val="22"/>
        </w:rPr>
        <w:t xml:space="preserve">Supporter plusieurs familles de produits avec leurs champs spécifiques respectifs (plus de 16 familles, 120+ catégories).</w:t>
      </w:r>
    </w:p>
    <w:p>
      <w:pPr>
        <w:pStyle w:val="ListParagraph"/>
        <w:numPr>
          <w:ilvl w:val="0"/>
          <w:numId w:val="2"/>
        </w:numPr>
        <w:spacing w:before="40" w:after="40"/>
      </w:pPr>
      <w:r>
        <w:rPr>
          <w:rFonts w:ascii="Arial" w:cs="Arial" w:eastAsia="Arial" w:hAnsi="Arial"/>
          <w:sz w:val="22"/>
          <w:szCs w:val="22"/>
        </w:rPr>
        <w:t xml:space="preserve">Intégrer un site vitrine public permettant aux prospects et clients de consulter les produits disponibles et de soumettre des demandes de devis.</w:t>
      </w:r>
    </w:p>
    <w:p>
      <w:pPr>
        <w:pStyle w:val="ListParagraph"/>
        <w:numPr>
          <w:ilvl w:val="0"/>
          <w:numId w:val="2"/>
        </w:numPr>
        <w:spacing w:before="40" w:after="40"/>
      </w:pPr>
      <w:r>
        <w:rPr>
          <w:rFonts w:ascii="Arial" w:cs="Arial" w:eastAsia="Arial" w:hAnsi="Arial"/>
          <w:sz w:val="22"/>
          <w:szCs w:val="22"/>
        </w:rPr>
        <w:t xml:space="preserve">Mettre en place un module de gestion des leads commerciaux reliant les demandes entrantes au back-office.</w:t>
      </w:r>
    </w:p>
    <w:p>
      <w:pPr>
        <w:pStyle w:val="ListParagraph"/>
        <w:numPr>
          <w:ilvl w:val="0"/>
          <w:numId w:val="2"/>
        </w:numPr>
        <w:spacing w:before="40" w:after="40"/>
      </w:pPr>
      <w:r>
        <w:rPr>
          <w:rFonts w:ascii="Arial" w:cs="Arial" w:eastAsia="Arial" w:hAnsi="Arial"/>
          <w:sz w:val="22"/>
          <w:szCs w:val="22"/>
        </w:rPr>
        <w:t xml:space="preserve">Produire des documents commerciaux : bons de commande, bons de livraison.</w:t>
      </w:r>
    </w:p>
    <w:p>
      <w:pPr>
        <w:pStyle w:val="ListParagraph"/>
        <w:numPr>
          <w:ilvl w:val="0"/>
          <w:numId w:val="2"/>
        </w:numPr>
        <w:spacing w:before="40" w:after="40"/>
      </w:pPr>
      <w:r>
        <w:rPr>
          <w:rFonts w:ascii="Arial" w:cs="Arial" w:eastAsia="Arial" w:hAnsi="Arial"/>
          <w:sz w:val="22"/>
          <w:szCs w:val="22"/>
        </w:rPr>
        <w:t xml:space="preserve">Fournir des tableaux de bord et alertes sur les niveaux de stock.</w:t>
      </w:r>
    </w:p>
    <w:p>
      <w:pPr>
        <w:pStyle w:val="Heading2"/>
        <w:spacing w:before="280" w:after="120"/>
      </w:pPr>
      <w:r>
        <w:rPr>
          <w:rFonts w:ascii="Arial" w:cs="Arial" w:eastAsia="Arial" w:hAnsi="Arial"/>
          <w:b/>
          <w:bCs/>
          <w:color w:val="2E75B6"/>
          <w:sz w:val="26"/>
          <w:szCs w:val="26"/>
        </w:rPr>
        <w:t xml:space="preserve">1.3 Périmètre du projet</w:t>
      </w:r>
    </w:p>
    <w:p>
      <w:pPr>
        <w:spacing w:before="60" w:after="80"/>
        <w:jc w:val="both"/>
      </w:pPr>
      <w:r>
        <w:rPr>
          <w:rFonts w:ascii="Arial" w:cs="Arial" w:eastAsia="Arial" w:hAnsi="Arial"/>
          <w:sz w:val="22"/>
          <w:szCs w:val="22"/>
        </w:rPr>
        <w:t xml:space="preserve">Le périmètre du présent projet englobe deux sous-systèmes distincts mais interconnectés :</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2"/>
                <w:szCs w:val="22"/>
              </w:rPr>
              <w:t xml:space="preserve">Sous-système 1 – Back-office</w:t>
            </w:r>
          </w:p>
        </w:tc>
        <w:tc>
          <w:tcPr>
            <w:tcW w:type="dxa" w:w="468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2"/>
                <w:szCs w:val="22"/>
              </w:rPr>
              <w:t xml:space="preserve">Sous-système 2 – Site vitrine</w:t>
            </w:r>
          </w:p>
        </w:tc>
      </w:tr>
      <w:tr>
        <w:tc>
          <w:tcPr>
            <w:tcW w:type="dxa" w:w="4680"/>
            <w:tcBorders>
              <w:top w:val="single" w:color="BBBBBB" w:sz="1"/>
              <w:left w:val="single" w:color="BBBBBB" w:sz="1"/>
              <w:bottom w:val="single" w:color="BBBBBB" w:sz="1"/>
              <w:right w:val="single" w:color="BBBBBB" w:sz="1"/>
            </w:tcBorders>
            <w:shd w:fill="D6E4F0" w:val="clear"/>
          </w:tcPr>
          <w:p>
            <w:pPr>
              <w:pStyle w:val="ListParagraph"/>
              <w:numPr>
                <w:ilvl w:val="0"/>
                <w:numId w:val="2"/>
              </w:numPr>
              <w:spacing w:before="40" w:after="40"/>
            </w:pPr>
            <w:r>
              <w:rPr>
                <w:rFonts w:ascii="Arial" w:cs="Arial" w:eastAsia="Arial" w:hAnsi="Arial"/>
                <w:sz w:val="20"/>
                <w:szCs w:val="20"/>
              </w:rPr>
              <w:t xml:space="preserve">Gestion des articles, familles, catégories</w:t>
            </w:r>
          </w:p>
          <w:p>
            <w:pPr>
              <w:pStyle w:val="ListParagraph"/>
              <w:numPr>
                <w:ilvl w:val="0"/>
                <w:numId w:val="2"/>
              </w:numPr>
              <w:spacing w:before="40" w:after="40"/>
            </w:pPr>
            <w:r>
              <w:rPr>
                <w:rFonts w:ascii="Arial" w:cs="Arial" w:eastAsia="Arial" w:hAnsi="Arial"/>
                <w:sz w:val="20"/>
                <w:szCs w:val="20"/>
              </w:rPr>
              <w:t xml:space="preserve">Gestion des dépôts et mouvements de stock</w:t>
            </w:r>
          </w:p>
          <w:p>
            <w:pPr>
              <w:pStyle w:val="ListParagraph"/>
              <w:numPr>
                <w:ilvl w:val="0"/>
                <w:numId w:val="2"/>
              </w:numPr>
              <w:spacing w:before="40" w:after="40"/>
            </w:pPr>
            <w:r>
              <w:rPr>
                <w:rFonts w:ascii="Arial" w:cs="Arial" w:eastAsia="Arial" w:hAnsi="Arial"/>
                <w:sz w:val="20"/>
                <w:szCs w:val="20"/>
              </w:rPr>
              <w:t xml:space="preserve">Gestion des lots, numéros de série, quantités</w:t>
            </w:r>
          </w:p>
          <w:p>
            <w:pPr>
              <w:pStyle w:val="ListParagraph"/>
              <w:numPr>
                <w:ilvl w:val="0"/>
                <w:numId w:val="2"/>
              </w:numPr>
              <w:spacing w:before="40" w:after="40"/>
            </w:pPr>
            <w:r>
              <w:rPr>
                <w:rFonts w:ascii="Arial" w:cs="Arial" w:eastAsia="Arial" w:hAnsi="Arial"/>
                <w:sz w:val="20"/>
                <w:szCs w:val="20"/>
              </w:rPr>
              <w:t xml:space="preserve">Alertes de seuil de stock</w:t>
            </w:r>
          </w:p>
          <w:p>
            <w:pPr>
              <w:pStyle w:val="ListParagraph"/>
              <w:numPr>
                <w:ilvl w:val="0"/>
                <w:numId w:val="2"/>
              </w:numPr>
              <w:spacing w:before="40" w:after="40"/>
            </w:pPr>
            <w:r>
              <w:rPr>
                <w:rFonts w:ascii="Arial" w:cs="Arial" w:eastAsia="Arial" w:hAnsi="Arial"/>
                <w:sz w:val="20"/>
                <w:szCs w:val="20"/>
              </w:rPr>
              <w:t xml:space="preserve">Génération de bons de commande / livraison</w:t>
            </w:r>
          </w:p>
          <w:p>
            <w:pPr>
              <w:pStyle w:val="ListParagraph"/>
              <w:numPr>
                <w:ilvl w:val="0"/>
                <w:numId w:val="2"/>
              </w:numPr>
              <w:spacing w:before="40" w:after="40"/>
            </w:pPr>
            <w:r>
              <w:rPr>
                <w:rFonts w:ascii="Arial" w:cs="Arial" w:eastAsia="Arial" w:hAnsi="Arial"/>
                <w:sz w:val="20"/>
                <w:szCs w:val="20"/>
              </w:rPr>
              <w:t xml:space="preserve">Tableaux de bord &amp; reporting</w:t>
            </w:r>
          </w:p>
          <w:p>
            <w:pPr>
              <w:pStyle w:val="ListParagraph"/>
              <w:numPr>
                <w:ilvl w:val="0"/>
                <w:numId w:val="2"/>
              </w:numPr>
              <w:spacing w:before="40" w:after="40"/>
            </w:pPr>
            <w:r>
              <w:rPr>
                <w:rFonts w:ascii="Arial" w:cs="Arial" w:eastAsia="Arial" w:hAnsi="Arial"/>
                <w:sz w:val="20"/>
                <w:szCs w:val="20"/>
              </w:rPr>
              <w:t xml:space="preserve">Gestion des utilisateurs et droits</w:t>
            </w:r>
          </w:p>
        </w:tc>
        <w:tc>
          <w:tcPr>
            <w:tcW w:type="dxa" w:w="4680"/>
            <w:tcBorders>
              <w:top w:val="single" w:color="BBBBBB" w:sz="1"/>
              <w:left w:val="single" w:color="BBBBBB" w:sz="1"/>
              <w:bottom w:val="single" w:color="BBBBBB" w:sz="1"/>
              <w:right w:val="single" w:color="BBBBBB" w:sz="1"/>
            </w:tcBorders>
            <w:shd w:fill="F2F2F2" w:val="clear"/>
          </w:tcPr>
          <w:p>
            <w:pPr>
              <w:pStyle w:val="ListParagraph"/>
              <w:numPr>
                <w:ilvl w:val="0"/>
                <w:numId w:val="2"/>
              </w:numPr>
              <w:spacing w:before="40" w:after="40"/>
            </w:pPr>
            <w:r>
              <w:rPr>
                <w:rFonts w:ascii="Arial" w:cs="Arial" w:eastAsia="Arial" w:hAnsi="Arial"/>
                <w:sz w:val="20"/>
                <w:szCs w:val="20"/>
              </w:rPr>
              <w:t xml:space="preserve">Catalogue produits public</w:t>
            </w:r>
          </w:p>
          <w:p>
            <w:pPr>
              <w:pStyle w:val="ListParagraph"/>
              <w:numPr>
                <w:ilvl w:val="0"/>
                <w:numId w:val="2"/>
              </w:numPr>
              <w:spacing w:before="40" w:after="40"/>
            </w:pPr>
            <w:r>
              <w:rPr>
                <w:rFonts w:ascii="Arial" w:cs="Arial" w:eastAsia="Arial" w:hAnsi="Arial"/>
                <w:sz w:val="20"/>
                <w:szCs w:val="20"/>
              </w:rPr>
              <w:t xml:space="preserve">Formulaire de demande de devis en ligne</w:t>
            </w:r>
          </w:p>
          <w:p>
            <w:pPr>
              <w:pStyle w:val="ListParagraph"/>
              <w:numPr>
                <w:ilvl w:val="0"/>
                <w:numId w:val="2"/>
              </w:numPr>
              <w:spacing w:before="40" w:after="40"/>
            </w:pPr>
            <w:r>
              <w:rPr>
                <w:rFonts w:ascii="Arial" w:cs="Arial" w:eastAsia="Arial" w:hAnsi="Arial"/>
                <w:sz w:val="20"/>
                <w:szCs w:val="20"/>
              </w:rPr>
              <w:t xml:space="preserve">Réception et traitement des leads</w:t>
            </w:r>
          </w:p>
          <w:p>
            <w:pPr>
              <w:pStyle w:val="ListParagraph"/>
              <w:numPr>
                <w:ilvl w:val="0"/>
                <w:numId w:val="2"/>
              </w:numPr>
              <w:spacing w:before="40" w:after="40"/>
            </w:pPr>
            <w:r>
              <w:rPr>
                <w:rFonts w:ascii="Arial" w:cs="Arial" w:eastAsia="Arial" w:hAnsi="Arial"/>
                <w:sz w:val="20"/>
                <w:szCs w:val="20"/>
              </w:rPr>
              <w:t xml:space="preserve">Suivi des statuts de devis (en attente, traité, refusé)</w:t>
            </w:r>
          </w:p>
          <w:p>
            <w:pPr>
              <w:pStyle w:val="ListParagraph"/>
              <w:numPr>
                <w:ilvl w:val="0"/>
                <w:numId w:val="2"/>
              </w:numPr>
              <w:spacing w:before="40" w:after="40"/>
            </w:pPr>
            <w:r>
              <w:rPr>
                <w:rFonts w:ascii="Arial" w:cs="Arial" w:eastAsia="Arial" w:hAnsi="Arial"/>
                <w:sz w:val="20"/>
                <w:szCs w:val="20"/>
              </w:rPr>
              <w:t xml:space="preserve">Interface de contact et présentation de l'entreprise</w:t>
            </w:r>
          </w:p>
        </w:tc>
      </w:tr>
    </w:tbl>
    <w:p>
      <w:pPr>
        <w:spacing w:before="60" w:after="0"/>
      </w:pPr>
      <w:r>
        <w:rPr>
          <w:rFonts w:ascii="Arial" w:cs="Arial" w:eastAsia="Arial" w:hAnsi="Arial"/>
          <w:sz w:val="22"/>
          <w:szCs w:val="22"/>
        </w:rPr>
        <w:t xml:space="preserve"/>
      </w:r>
    </w:p>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2. Acteurs et parties prenantes</w:t>
      </w:r>
    </w:p>
    <w:p>
      <w:pPr>
        <w:pStyle w:val="Heading2"/>
        <w:spacing w:before="280" w:after="120"/>
      </w:pPr>
      <w:r>
        <w:rPr>
          <w:rFonts w:ascii="Arial" w:cs="Arial" w:eastAsia="Arial" w:hAnsi="Arial"/>
          <w:b/>
          <w:bCs/>
          <w:color w:val="2E75B6"/>
          <w:sz w:val="26"/>
          <w:szCs w:val="26"/>
        </w:rPr>
        <w:t xml:space="preserve">2.1 Tableau des acteurs</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Acteur</w:t>
            </w:r>
          </w:p>
        </w:tc>
        <w:tc>
          <w:tcPr>
            <w:tcW w:type="dxa" w:w="240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Périmètre d'accès</w:t>
            </w:r>
          </w:p>
        </w:tc>
        <w:tc>
          <w:tcPr>
            <w:tcW w:type="dxa" w:w="516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Droits &amp; responsabilités</w:t>
            </w:r>
          </w:p>
        </w:tc>
      </w:tr>
      <w:tr>
        <w:tc>
          <w:tcPr>
            <w:tcW w:type="dxa" w:w="180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b/>
                <w:bCs/>
                <w:sz w:val="20"/>
                <w:szCs w:val="20"/>
              </w:rPr>
              <w:t xml:space="preserve">Administrateur stock</w:t>
            </w:r>
          </w:p>
        </w:tc>
        <w:tc>
          <w:tcPr>
            <w:tcW w:type="dxa" w:w="240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sz w:val="20"/>
                <w:szCs w:val="20"/>
              </w:rPr>
              <w:t xml:space="preserve">Back-office complet</w:t>
            </w:r>
          </w:p>
        </w:tc>
        <w:tc>
          <w:tcPr>
            <w:tcW w:type="dxa" w:w="516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sz w:val="20"/>
                <w:szCs w:val="20"/>
              </w:rPr>
              <w:t xml:space="preserve">Accès total : articles, dépôts, lots, mouvements, utilisateurs, paramétrage système, reporting complet.</w:t>
            </w:r>
          </w:p>
        </w:tc>
      </w:tr>
      <w:tr>
        <w:tc>
          <w:tcPr>
            <w:tcW w:type="dxa" w:w="180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b/>
                <w:bCs/>
                <w:sz w:val="20"/>
                <w:szCs w:val="20"/>
              </w:rPr>
              <w:t xml:space="preserve">Commercial / ADV</w:t>
            </w:r>
          </w:p>
        </w:tc>
        <w:tc>
          <w:tcPr>
            <w:tcW w:type="dxa" w:w="240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sz w:val="20"/>
                <w:szCs w:val="20"/>
              </w:rPr>
              <w:t xml:space="preserve">Back-office partiel + leads</w:t>
            </w:r>
          </w:p>
        </w:tc>
        <w:tc>
          <w:tcPr>
            <w:tcW w:type="dxa" w:w="516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sz w:val="20"/>
                <w:szCs w:val="20"/>
              </w:rPr>
              <w:t xml:space="preserve">Consultation stock, traitement des devis reçus, création de bons de commande/livraison, suivi des leads clients.</w:t>
            </w:r>
          </w:p>
        </w:tc>
      </w:tr>
      <w:tr>
        <w:tc>
          <w:tcPr>
            <w:tcW w:type="dxa" w:w="180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b/>
                <w:bCs/>
                <w:sz w:val="20"/>
                <w:szCs w:val="20"/>
              </w:rPr>
              <w:t xml:space="preserve">Technicien magasin</w:t>
            </w:r>
          </w:p>
        </w:tc>
        <w:tc>
          <w:tcPr>
            <w:tcW w:type="dxa" w:w="240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sz w:val="20"/>
                <w:szCs w:val="20"/>
              </w:rPr>
              <w:t xml:space="preserve">Back-office opérationnel</w:t>
            </w:r>
          </w:p>
        </w:tc>
        <w:tc>
          <w:tcPr>
            <w:tcW w:type="dxa" w:w="516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sz w:val="20"/>
                <w:szCs w:val="20"/>
              </w:rPr>
              <w:t xml:space="preserve">Entrées/sorties de stock, mouvements entre dépôts, scan de numéros de série, gestion des lots, consultation uniquement des articles.</w:t>
            </w:r>
          </w:p>
        </w:tc>
      </w:tr>
      <w:tr>
        <w:tc>
          <w:tcPr>
            <w:tcW w:type="dxa" w:w="180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b/>
                <w:bCs/>
                <w:sz w:val="20"/>
                <w:szCs w:val="20"/>
              </w:rPr>
              <w:t xml:space="preserve">Client final</w:t>
            </w:r>
          </w:p>
        </w:tc>
        <w:tc>
          <w:tcPr>
            <w:tcW w:type="dxa" w:w="240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sz w:val="20"/>
                <w:szCs w:val="20"/>
              </w:rPr>
              <w:t xml:space="preserve">Site vitrine public</w:t>
            </w:r>
          </w:p>
        </w:tc>
        <w:tc>
          <w:tcPr>
            <w:tcW w:type="dxa" w:w="516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sz w:val="20"/>
                <w:szCs w:val="20"/>
              </w:rPr>
              <w:t xml:space="preserve">Navigation catalogue, soumission de demandes de devis, suivi de l'état de son devis via un espace dédié.</w:t>
            </w:r>
          </w:p>
        </w:tc>
      </w:tr>
    </w:tbl>
    <w:p>
      <w:pPr>
        <w:spacing w:before="60" w:after="0"/>
      </w:pPr>
      <w:r>
        <w:rPr>
          <w:rFonts w:ascii="Arial" w:cs="Arial" w:eastAsia="Arial" w:hAnsi="Arial"/>
          <w:sz w:val="22"/>
          <w:szCs w:val="22"/>
        </w:rPr>
        <w:t xml:space="preserve"/>
      </w:r>
    </w:p>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3. Besoins fonctionnels</w:t>
      </w:r>
    </w:p>
    <w:p>
      <w:pPr>
        <w:spacing w:before="60" w:after="80"/>
        <w:jc w:val="both"/>
      </w:pPr>
      <w:r>
        <w:rPr>
          <w:rFonts w:ascii="Arial" w:cs="Arial" w:eastAsia="Arial" w:hAnsi="Arial"/>
          <w:sz w:val="22"/>
          <w:szCs w:val="22"/>
        </w:rPr>
        <w:t xml:space="preserve">Les besoins fonctionnels sont organisés en 7 modules couvrant l'ensemble du périmètre défini. Chaque module est décrit ci-dessous avec ses fonctionnalités attendues.</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9360"/>
            <w:gridSpan w:val="2"/>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Module 1 – Gestion du catalogue articles</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1.</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Création, modification, archivage d'articles avec champs communs et champs spécifiques selon la famille/catégorie.</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2.</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Support de 16 familles et 120+ catégories avec leurs champs dynamiques.</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3.</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Gestion de 3 états d'articles : Neuf, Occasion, Reconditionné – chaque état ayant ses propres champs obligatoires.</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4.</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Trois types de gestion de stock : Sérialisé (par numéro de série unique), Lot/Batch (groupe d'unités identiques), Quantité (comptage global).</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5.</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Association de plusieurs lots à un même article, avec traçabilité complète par lot.</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6.</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Gestion de photos, documents techniques et certificats associés aux articles.</w:t>
            </w:r>
          </w:p>
        </w:tc>
      </w:tr>
      <w:tr>
        <w:tc>
          <w:tcPr>
            <w:tcW w:type="dxa" w:w="9360"/>
            <w:gridSpan w:val="2"/>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Module 2 – Gestion des dépôts &amp; mouvements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1.</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Création et paramétrage de plusieurs dépôts (magasins, entrepôts, zones).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2.</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Enregistrement de tous les mouvements de stock : entrée, sortie, transfert inter-dépôts, retour.</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3.</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Historique complet et horodaté de chaque mouvement avec l'utilisateur responsable.</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4.</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Consultation du stock disponible par article, par dépôt, par lot.</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5.</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Gestion des emplacements au sein d'un dépôt (optionnel – phase 2).</w:t>
            </w:r>
          </w:p>
        </w:tc>
      </w:tr>
      <w:tr>
        <w:tc>
          <w:tcPr>
            <w:tcW w:type="dxa" w:w="9360"/>
            <w:gridSpan w:val="2"/>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Module 3 – Alertes de seuil de stock</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1.</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Définition d'un seuil minimum par article et par dépôt.</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2.</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Déclenchement automatique d'alertes (notification in-app, e-mail) dès qu'un seuil est atteint.</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3.</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Tableau de bord des articles en rupture ou en alerte.</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4.</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Historique des alertes déclenchées.</w:t>
            </w:r>
          </w:p>
        </w:tc>
      </w:tr>
      <w:tr>
        <w:tc>
          <w:tcPr>
            <w:tcW w:type="dxa" w:w="9360"/>
            <w:gridSpan w:val="2"/>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Module 4 – Bons de commande &amp; livraison</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1.</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Création de bons de commande (BC) à destination des fournisseurs.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2.</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Création de bons de livraison (BL) associés aux sorties de stock.</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3.</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Génération de documents PDF professionnels (en-tête, logo, articles, quantités, prix, signatures).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4.</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Suivi du statut des bons : brouillon, validé, envoyé, reçu/livré, annulé.</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5.</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Lien entre un BC et les mouvements d'entrée de stock correspondants.</w:t>
            </w:r>
          </w:p>
        </w:tc>
      </w:tr>
      <w:tr>
        <w:tc>
          <w:tcPr>
            <w:tcW w:type="dxa" w:w="9360"/>
            <w:gridSpan w:val="2"/>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Module 5 – Tableaux de bord &amp; reporting</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1.</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Dashboard principal : stock global, alertes actives, derniers mouvements, devis en attente.</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2.</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Rapport de valorisation du stock (quantité × prix unitaire).</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3.</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Rapport des mouvements par période, par article, par dépôt, par utilisateur.</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4.</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Indicateurs clés : taux de rotation, articles les plus mouvementés, évolution du stock.</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5.</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Export des rapports en PDF et Excel.</w:t>
            </w:r>
          </w:p>
        </w:tc>
      </w:tr>
      <w:tr>
        <w:tc>
          <w:tcPr>
            <w:tcW w:type="dxa" w:w="9360"/>
            <w:gridSpan w:val="2"/>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Module 6 – Site vitrine &amp; catalogue public</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1.</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Présentation de l'entreprise, des services et des gammes de produits.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2.</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Catalogue de produits consultable et filtrable par famille, catégorie, état, disponibilité.</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3.</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Fiche produit détaillée avec caractéristiques techniques affichées.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4.</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Design responsive adapté aux mobiles et tablettes.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1F3864"/>
                <w:sz w:val="20"/>
                <w:szCs w:val="20"/>
              </w:rPr>
              <w:t xml:space="preserve">5.</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SEO de base intégré (balises meta, structure sémantique).</w:t>
            </w:r>
          </w:p>
        </w:tc>
      </w:tr>
      <w:tr>
        <w:tc>
          <w:tcPr>
            <w:tcW w:type="dxa" w:w="9360"/>
            <w:gridSpan w:val="2"/>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Module 7 – Demandes de devis &amp; gestion des leads</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1.</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Formulaire de demande de devis en ligne : coordonnées client, liste d'articles souhaités, quantités, commentaires.</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2.</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Envoi automatique d'un e-mail de confirmation au client.</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3.</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Réception dans le back-office avec statut initial : 'Nouveau lead'.</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4.</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Workflow de traitement : Nouveau → En cours → Devis envoyé → Accepté / Refusé.</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5.</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Affectation d'un commercial responsable au lead.</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20"/>
                <w:szCs w:val="20"/>
              </w:rPr>
              <w:t xml:space="preserve">6.</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Conversion d'un lead accepté en bon de commande client.</w:t>
            </w:r>
          </w:p>
        </w:tc>
      </w:tr>
    </w:tbl>
    <w:p>
      <w:pPr>
        <w:spacing w:before="60" w:after="0"/>
      </w:pPr>
      <w:r>
        <w:rPr>
          <w:rFonts w:ascii="Arial" w:cs="Arial" w:eastAsia="Arial" w:hAnsi="Arial"/>
          <w:sz w:val="22"/>
          <w:szCs w:val="22"/>
        </w:rPr>
        <w:t xml:space="preserve"/>
      </w:r>
    </w:p>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4. Besoins non 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9360"/>
            <w:gridSpan w:val="2"/>
            <w:tcBorders>
              <w:top w:val="single" w:color="BBBBBB" w:sz="1"/>
              <w:left w:val="single" w:color="BBBBBB" w:sz="1"/>
              <w:bottom w:val="single" w:color="BBBBBB" w:sz="1"/>
              <w:right w:val="single" w:color="BBBBBB" w:sz="1"/>
            </w:tcBorders>
            <w:shd w:fill="2E75B6" w:val="clear"/>
          </w:tcPr>
          <w:p>
            <w:pPr>
              <w:spacing w:before="60" w:after="60"/>
            </w:pPr>
            <w:r>
              <w:rPr>
                <w:rFonts w:ascii="Arial" w:cs="Arial" w:eastAsia="Arial" w:hAnsi="Arial"/>
                <w:b/>
                <w:bCs/>
                <w:color w:val="FFFFFF"/>
                <w:sz w:val="22"/>
                <w:szCs w:val="22"/>
              </w:rPr>
              <w:t xml:space="preserve">Performance</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Temps de réponse des pages back-office inférieur à 2 secondes pour 95 % des requêtes.</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Support de 20 utilisateurs simultanés sans dégradation notable.</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Chargement du site vitrine inférieur à 3 secondes (First Contentful Paint).</w:t>
            </w:r>
          </w:p>
        </w:tc>
      </w:tr>
      <w:tr>
        <w:tc>
          <w:tcPr>
            <w:tcW w:type="dxa" w:w="9360"/>
            <w:gridSpan w:val="2"/>
            <w:tcBorders>
              <w:top w:val="single" w:color="BBBBBB" w:sz="1"/>
              <w:left w:val="single" w:color="BBBBBB" w:sz="1"/>
              <w:bottom w:val="single" w:color="BBBBBB" w:sz="1"/>
              <w:right w:val="single" w:color="BBBBBB" w:sz="1"/>
            </w:tcBorders>
            <w:shd w:fill="2E75B6" w:val="clear"/>
          </w:tcPr>
          <w:p>
            <w:pPr>
              <w:spacing w:before="60" w:after="60"/>
            </w:pPr>
            <w:r>
              <w:rPr>
                <w:rFonts w:ascii="Arial" w:cs="Arial" w:eastAsia="Arial" w:hAnsi="Arial"/>
                <w:b/>
                <w:bCs/>
                <w:color w:val="FFFFFF"/>
                <w:sz w:val="22"/>
                <w:szCs w:val="22"/>
              </w:rPr>
              <w:t xml:space="preserve">Sécurité</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Authentification par identifiant / mot de passe avec gestion des sessions sécurisées.</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Gestion des rôles et droits par profil utilisateur (RBAC – Role-Based Access Control).</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Protection contre les attaques courantes : XSS, CSRF, injections SQL.</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Chiffrement HTTPS obligatoire en production.</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Journalisation des actions sensibles (connexions, modifications critiques).</w:t>
            </w:r>
          </w:p>
        </w:tc>
      </w:tr>
      <w:tr>
        <w:tc>
          <w:tcPr>
            <w:tcW w:type="dxa" w:w="9360"/>
            <w:gridSpan w:val="2"/>
            <w:tcBorders>
              <w:top w:val="single" w:color="BBBBBB" w:sz="1"/>
              <w:left w:val="single" w:color="BBBBBB" w:sz="1"/>
              <w:bottom w:val="single" w:color="BBBBBB" w:sz="1"/>
              <w:right w:val="single" w:color="BBBBBB" w:sz="1"/>
            </w:tcBorders>
            <w:shd w:fill="2E75B6" w:val="clear"/>
          </w:tcPr>
          <w:p>
            <w:pPr>
              <w:spacing w:before="60" w:after="60"/>
            </w:pPr>
            <w:r>
              <w:rPr>
                <w:rFonts w:ascii="Arial" w:cs="Arial" w:eastAsia="Arial" w:hAnsi="Arial"/>
                <w:b/>
                <w:bCs/>
                <w:color w:val="FFFFFF"/>
                <w:sz w:val="22"/>
                <w:szCs w:val="22"/>
              </w:rPr>
              <w:t xml:space="preserve">Disponibilité &amp; Fiabilité</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Disponibilité cible de 99 % en heures ouvrées.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Sauvegardes automatiques de la base de données (fréquence minimale : quotidienne).</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Mécanisme de reprise sur erreur pour les traitements critiques (devis, mouvements de stock).</w:t>
            </w:r>
          </w:p>
        </w:tc>
      </w:tr>
      <w:tr>
        <w:tc>
          <w:tcPr>
            <w:tcW w:type="dxa" w:w="9360"/>
            <w:gridSpan w:val="2"/>
            <w:tcBorders>
              <w:top w:val="single" w:color="BBBBBB" w:sz="1"/>
              <w:left w:val="single" w:color="BBBBBB" w:sz="1"/>
              <w:bottom w:val="single" w:color="BBBBBB" w:sz="1"/>
              <w:right w:val="single" w:color="BBBBBB" w:sz="1"/>
            </w:tcBorders>
            <w:shd w:fill="2E75B6" w:val="clear"/>
          </w:tcPr>
          <w:p>
            <w:pPr>
              <w:spacing w:before="60" w:after="60"/>
            </w:pPr>
            <w:r>
              <w:rPr>
                <w:rFonts w:ascii="Arial" w:cs="Arial" w:eastAsia="Arial" w:hAnsi="Arial"/>
                <w:b/>
                <w:bCs/>
                <w:color w:val="FFFFFF"/>
                <w:sz w:val="22"/>
                <w:szCs w:val="22"/>
              </w:rPr>
              <w:t xml:space="preserve">Maintenabilité</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Code source organisé selon les bonnes pratiques de l'architecture choisie (ex. MVC).</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Documentation du code et des API (commentaires, README, Swagger/OpenAPI).</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Tests unitaires et fonctionnels couvrant les modules critiques.</w:t>
            </w:r>
          </w:p>
        </w:tc>
      </w:tr>
      <w:tr>
        <w:tc>
          <w:tcPr>
            <w:tcW w:type="dxa" w:w="9360"/>
            <w:gridSpan w:val="2"/>
            <w:tcBorders>
              <w:top w:val="single" w:color="BBBBBB" w:sz="1"/>
              <w:left w:val="single" w:color="BBBBBB" w:sz="1"/>
              <w:bottom w:val="single" w:color="BBBBBB" w:sz="1"/>
              <w:right w:val="single" w:color="BBBBBB" w:sz="1"/>
            </w:tcBorders>
            <w:shd w:fill="2E75B6" w:val="clear"/>
          </w:tcPr>
          <w:p>
            <w:pPr>
              <w:spacing w:before="60" w:after="60"/>
            </w:pPr>
            <w:r>
              <w:rPr>
                <w:rFonts w:ascii="Arial" w:cs="Arial" w:eastAsia="Arial" w:hAnsi="Arial"/>
                <w:b/>
                <w:bCs/>
                <w:color w:val="FFFFFF"/>
                <w:sz w:val="22"/>
                <w:szCs w:val="22"/>
              </w:rPr>
              <w:t xml:space="preserve">Ergonomie &amp; Accessibilité</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Interface back-office claire, épurée et adaptée à un usage quotidien intensif.</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Site vitrine responsive (mobile-first).</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Navigation intuitive ne nécessitant pas de formation spécifique pour les techniciens.</w:t>
            </w:r>
          </w:p>
        </w:tc>
      </w:tr>
      <w:tr>
        <w:tc>
          <w:tcPr>
            <w:tcW w:type="dxa" w:w="9360"/>
            <w:gridSpan w:val="2"/>
            <w:tcBorders>
              <w:top w:val="single" w:color="BBBBBB" w:sz="1"/>
              <w:left w:val="single" w:color="BBBBBB" w:sz="1"/>
              <w:bottom w:val="single" w:color="BBBBBB" w:sz="1"/>
              <w:right w:val="single" w:color="BBBBBB" w:sz="1"/>
            </w:tcBorders>
            <w:shd w:fill="2E75B6" w:val="clear"/>
          </w:tcPr>
          <w:p>
            <w:pPr>
              <w:spacing w:before="60" w:after="60"/>
            </w:pPr>
            <w:r>
              <w:rPr>
                <w:rFonts w:ascii="Arial" w:cs="Arial" w:eastAsia="Arial" w:hAnsi="Arial"/>
                <w:b/>
                <w:bCs/>
                <w:color w:val="FFFFFF"/>
                <w:sz w:val="22"/>
                <w:szCs w:val="22"/>
              </w:rPr>
              <w:t xml:space="preserve">Internationalisation</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Interface en français (langue principale).</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w:t>
            </w:r>
          </w:p>
        </w:tc>
        <w:tc>
          <w:tcPr>
            <w:tcW w:type="dxa" w:w="8880"/>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Architecture permettant une future internationalisation (i18n).</w:t>
            </w:r>
          </w:p>
        </w:tc>
      </w:tr>
    </w:tbl>
    <w:p>
      <w:pPr>
        <w:spacing w:before="60" w:after="0"/>
      </w:pPr>
      <w:r>
        <w:rPr>
          <w:rFonts w:ascii="Arial" w:cs="Arial" w:eastAsia="Arial" w:hAnsi="Arial"/>
          <w:sz w:val="22"/>
          <w:szCs w:val="22"/>
        </w:rPr>
        <w:t xml:space="preserve"/>
      </w:r>
    </w:p>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5. Contraintes techniques</w:t>
      </w:r>
    </w:p>
    <w:p>
      <w:pPr>
        <w:pStyle w:val="Heading2"/>
        <w:spacing w:before="280" w:after="120"/>
      </w:pPr>
      <w:r>
        <w:rPr>
          <w:rFonts w:ascii="Arial" w:cs="Arial" w:eastAsia="Arial" w:hAnsi="Arial"/>
          <w:b/>
          <w:bCs/>
          <w:color w:val="2E75B6"/>
          <w:sz w:val="26"/>
          <w:szCs w:val="26"/>
        </w:rPr>
        <w:t xml:space="preserve">5.1 Architecture générale</w:t>
      </w:r>
    </w:p>
    <w:p>
      <w:pPr>
        <w:spacing w:before="60" w:after="80"/>
        <w:jc w:val="both"/>
      </w:pPr>
      <w:r>
        <w:rPr>
          <w:rFonts w:ascii="Arial" w:cs="Arial" w:eastAsia="Arial" w:hAnsi="Arial"/>
          <w:sz w:val="22"/>
          <w:szCs w:val="22"/>
        </w:rPr>
        <w:t xml:space="preserve">Le système adopte une architecture three-tier découplant la présentation, la logique métier et la persistance des données. Les deux sous-systèmes (back-office et site vitrine) partagent la même API back-end, garantissant la cohérence des données.</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Couche</w:t>
            </w:r>
          </w:p>
        </w:tc>
        <w:tc>
          <w:tcPr>
            <w:tcW w:type="dxa" w:w="696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Technologies envisagées</w:t>
            </w:r>
          </w:p>
        </w:tc>
      </w:tr>
      <w:tr>
        <w:tc>
          <w:tcPr>
            <w:tcW w:type="dxa" w:w="240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b/>
                <w:bCs/>
                <w:sz w:val="20"/>
                <w:szCs w:val="20"/>
              </w:rPr>
              <w:t xml:space="preserve">Front-end Back-office</w:t>
            </w:r>
          </w:p>
        </w:tc>
        <w:tc>
          <w:tcPr>
            <w:tcW w:type="dxa" w:w="696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sz w:val="20"/>
                <w:szCs w:val="20"/>
              </w:rPr>
              <w:t xml:space="preserve">React.js ou Vue.js – Interface SPA (Single Page Application) consommant l'API REST</w:t>
            </w:r>
          </w:p>
        </w:tc>
      </w:tr>
      <w:tr>
        <w:tc>
          <w:tcPr>
            <w:tcW w:type="dxa" w:w="240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b/>
                <w:bCs/>
                <w:sz w:val="20"/>
                <w:szCs w:val="20"/>
              </w:rPr>
              <w:t xml:space="preserve">Front-end Site vitrine</w:t>
            </w:r>
          </w:p>
        </w:tc>
        <w:tc>
          <w:tcPr>
            <w:tcW w:type="dxa" w:w="696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sz w:val="20"/>
                <w:szCs w:val="20"/>
              </w:rPr>
              <w:t xml:space="preserve">Next.js ou Nuxt.js (SSR/SSG) pour le SEO et la performance public</w:t>
            </w:r>
          </w:p>
        </w:tc>
      </w:tr>
      <w:tr>
        <w:tc>
          <w:tcPr>
            <w:tcW w:type="dxa" w:w="240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b/>
                <w:bCs/>
                <w:sz w:val="20"/>
                <w:szCs w:val="20"/>
              </w:rPr>
              <w:t xml:space="preserve">Back-end / API</w:t>
            </w:r>
          </w:p>
        </w:tc>
        <w:tc>
          <w:tcPr>
            <w:tcW w:type="dxa" w:w="696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sz w:val="20"/>
                <w:szCs w:val="20"/>
              </w:rPr>
              <w:t xml:space="preserve">Laravel (PHP) ou Node.js/Express – API RESTful documentée via Swagger/OpenAPI</w:t>
            </w:r>
          </w:p>
        </w:tc>
      </w:tr>
      <w:tr>
        <w:tc>
          <w:tcPr>
            <w:tcW w:type="dxa" w:w="240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b/>
                <w:bCs/>
                <w:sz w:val="20"/>
                <w:szCs w:val="20"/>
              </w:rPr>
              <w:t xml:space="preserve">Base de données</w:t>
            </w:r>
          </w:p>
        </w:tc>
        <w:tc>
          <w:tcPr>
            <w:tcW w:type="dxa" w:w="696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sz w:val="20"/>
                <w:szCs w:val="20"/>
              </w:rPr>
              <w:t xml:space="preserve">MySQL / PostgreSQL – SGBDR relationnel pour la cohérence transactionnelle</w:t>
            </w:r>
          </w:p>
        </w:tc>
      </w:tr>
      <w:tr>
        <w:tc>
          <w:tcPr>
            <w:tcW w:type="dxa" w:w="240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b/>
                <w:bCs/>
                <w:sz w:val="20"/>
                <w:szCs w:val="20"/>
              </w:rPr>
              <w:t xml:space="preserve">Serveur</w:t>
            </w:r>
          </w:p>
        </w:tc>
        <w:tc>
          <w:tcPr>
            <w:tcW w:type="dxa" w:w="696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sz w:val="20"/>
                <w:szCs w:val="20"/>
              </w:rPr>
              <w:t xml:space="preserve">Linux Ubuntu – Nginx ou Apache – Déploiement local ou VPS</w:t>
            </w:r>
          </w:p>
        </w:tc>
      </w:tr>
      <w:tr>
        <w:tc>
          <w:tcPr>
            <w:tcW w:type="dxa" w:w="240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b/>
                <w:bCs/>
                <w:sz w:val="20"/>
                <w:szCs w:val="20"/>
              </w:rPr>
              <w:t xml:space="preserve">Gestion du code</w:t>
            </w:r>
          </w:p>
        </w:tc>
        <w:tc>
          <w:tcPr>
            <w:tcW w:type="dxa" w:w="6960"/>
            <w:tcBorders>
              <w:top w:val="single" w:color="BBBBBB" w:sz="1"/>
              <w:left w:val="single" w:color="BBBBBB" w:sz="1"/>
              <w:bottom w:val="single" w:color="BBBBBB" w:sz="1"/>
              <w:right w:val="single" w:color="BBBBBB" w:sz="1"/>
            </w:tcBorders>
            <w:shd w:fill="FFFFFF" w:val="clear"/>
          </w:tcPr>
          <w:p>
            <w:pPr>
              <w:spacing w:before="60" w:after="60"/>
            </w:pPr>
            <w:r>
              <w:rPr>
                <w:rFonts w:ascii="Arial" w:cs="Arial" w:eastAsia="Arial" w:hAnsi="Arial"/>
                <w:sz w:val="20"/>
                <w:szCs w:val="20"/>
              </w:rPr>
              <w:t xml:space="preserve">Git / GitHub ou GitLab – Versionning et branches de développement</w:t>
            </w:r>
          </w:p>
        </w:tc>
      </w:tr>
      <w:tr>
        <w:tc>
          <w:tcPr>
            <w:tcW w:type="dxa" w:w="240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b/>
                <w:bCs/>
                <w:sz w:val="20"/>
                <w:szCs w:val="20"/>
              </w:rPr>
              <w:t xml:space="preserve">Génération PDF</w:t>
            </w:r>
          </w:p>
        </w:tc>
        <w:tc>
          <w:tcPr>
            <w:tcW w:type="dxa" w:w="6960"/>
            <w:tcBorders>
              <w:top w:val="single" w:color="BBBBBB" w:sz="1"/>
              <w:left w:val="single" w:color="BBBBBB" w:sz="1"/>
              <w:bottom w:val="single" w:color="BBBBBB" w:sz="1"/>
              <w:right w:val="single" w:color="BBBBBB" w:sz="1"/>
            </w:tcBorders>
            <w:shd w:fill="D6E4F0" w:val="clear"/>
          </w:tcPr>
          <w:p>
            <w:pPr>
              <w:spacing w:before="60" w:after="60"/>
            </w:pPr>
            <w:r>
              <w:rPr>
                <w:rFonts w:ascii="Arial" w:cs="Arial" w:eastAsia="Arial" w:hAnsi="Arial"/>
                <w:sz w:val="20"/>
                <w:szCs w:val="20"/>
              </w:rPr>
              <w:t xml:space="preserve">DOMPDF (Laravel) ou Puppeteer (Node) pour les bons de commande/livraison</w:t>
            </w:r>
          </w:p>
        </w:tc>
      </w:tr>
    </w:tbl>
    <w:p>
      <w:pPr>
        <w:spacing w:before="60" w:after="0"/>
      </w:pPr>
      <w:r>
        <w:rPr>
          <w:rFonts w:ascii="Arial" w:cs="Arial" w:eastAsia="Arial" w:hAnsi="Arial"/>
          <w:sz w:val="22"/>
          <w:szCs w:val="22"/>
        </w:rPr>
        <w:t xml:space="preserve"/>
      </w:r>
    </w:p>
    <w:p>
      <w:pPr>
        <w:pStyle w:val="Heading2"/>
        <w:spacing w:before="280" w:after="120"/>
      </w:pPr>
      <w:r>
        <w:rPr>
          <w:rFonts w:ascii="Arial" w:cs="Arial" w:eastAsia="Arial" w:hAnsi="Arial"/>
          <w:b/>
          <w:bCs/>
          <w:color w:val="2E75B6"/>
          <w:sz w:val="26"/>
          <w:szCs w:val="26"/>
        </w:rPr>
        <w:t xml:space="preserve">5.2 Contraintes de développement</w:t>
      </w:r>
    </w:p>
    <w:p>
      <w:pPr>
        <w:pStyle w:val="ListParagraph"/>
        <w:numPr>
          <w:ilvl w:val="0"/>
          <w:numId w:val="2"/>
        </w:numPr>
        <w:spacing w:before="40" w:after="40"/>
      </w:pPr>
      <w:r>
        <w:rPr>
          <w:rFonts w:ascii="Arial" w:cs="Arial" w:eastAsia="Arial" w:hAnsi="Arial"/>
          <w:sz w:val="22"/>
          <w:szCs w:val="22"/>
        </w:rPr>
        <w:t xml:space="preserve">Le projet est développé individuellement dans le cadre d'un rythme d'alternance 1 semaine école / 2 semaines entreprise.</w:t>
      </w:r>
    </w:p>
    <w:p>
      <w:pPr>
        <w:pStyle w:val="ListParagraph"/>
        <w:numPr>
          <w:ilvl w:val="0"/>
          <w:numId w:val="2"/>
        </w:numPr>
        <w:spacing w:before="40" w:after="40"/>
      </w:pPr>
      <w:r>
        <w:rPr>
          <w:rFonts w:ascii="Arial" w:cs="Arial" w:eastAsia="Arial" w:hAnsi="Arial"/>
          <w:sz w:val="22"/>
          <w:szCs w:val="22"/>
        </w:rPr>
        <w:t xml:space="preserve">Le code source sera déposé sur un dépôt Git versionné tout au long du projet.</w:t>
      </w:r>
    </w:p>
    <w:p>
      <w:pPr>
        <w:pStyle w:val="ListParagraph"/>
        <w:numPr>
          <w:ilvl w:val="0"/>
          <w:numId w:val="2"/>
        </w:numPr>
        <w:spacing w:before="40" w:after="40"/>
      </w:pPr>
      <w:r>
        <w:rPr>
          <w:rFonts w:ascii="Arial" w:cs="Arial" w:eastAsia="Arial" w:hAnsi="Arial"/>
          <w:sz w:val="22"/>
          <w:szCs w:val="22"/>
        </w:rPr>
        <w:t xml:space="preserve">Le projet devra faire l'objet d'une démonstration fonctionnelle lors de la soutenance finale.</w:t>
      </w:r>
    </w:p>
    <w:p>
      <w:pPr>
        <w:pStyle w:val="ListParagraph"/>
        <w:numPr>
          <w:ilvl w:val="0"/>
          <w:numId w:val="2"/>
        </w:numPr>
        <w:spacing w:before="40" w:after="40"/>
      </w:pPr>
      <w:r>
        <w:rPr>
          <w:rFonts w:ascii="Arial" w:cs="Arial" w:eastAsia="Arial" w:hAnsi="Arial"/>
          <w:sz w:val="22"/>
          <w:szCs w:val="22"/>
        </w:rPr>
        <w:t xml:space="preserve">Les données sensibles (mots de passe, clés API) ne seront jamais committées en clair.</w:t>
      </w:r>
    </w:p>
    <w:p>
      <w:pPr>
        <w:pStyle w:val="ListParagraph"/>
        <w:numPr>
          <w:ilvl w:val="0"/>
          <w:numId w:val="2"/>
        </w:numPr>
        <w:spacing w:before="40" w:after="40"/>
      </w:pPr>
      <w:r>
        <w:rPr>
          <w:rFonts w:ascii="Arial" w:cs="Arial" w:eastAsia="Arial" w:hAnsi="Arial"/>
          <w:sz w:val="22"/>
          <w:szCs w:val="22"/>
        </w:rPr>
        <w:t xml:space="preserve">Un environnement de développement local (Docker ou WAMP/LAMP) sera utilisé, avec possibilité de déploiement sur VPS pour la démo.</w:t>
      </w:r>
    </w:p>
    <w:p>
      <w:pPr>
        <w:spacing w:before="60" w:after="0"/>
      </w:pPr>
      <w:r>
        <w:rPr>
          <w:rFonts w:ascii="Arial" w:cs="Arial" w:eastAsia="Arial" w:hAnsi="Arial"/>
          <w:sz w:val="22"/>
          <w:szCs w:val="22"/>
        </w:rPr>
        <w:t xml:space="preserve"/>
      </w:r>
    </w:p>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6. Cas d'utilisation principaux</w:t>
      </w:r>
    </w:p>
    <w:p>
      <w:pPr>
        <w:spacing w:before="60" w:after="80"/>
        <w:jc w:val="both"/>
      </w:pPr>
      <w:r>
        <w:rPr>
          <w:rFonts w:ascii="Arial" w:cs="Arial" w:eastAsia="Arial" w:hAnsi="Arial"/>
          <w:sz w:val="22"/>
          <w:szCs w:val="22"/>
        </w:rPr>
        <w:t xml:space="preserve">Le tableau suivant recense les cas d'utilisation identifiés pour le périmètre MVP du projet.</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520"/>
        <w:gridCol w:w="2400"/>
        <w:gridCol w:w="3600"/>
      </w:tblGrid>
      <w:tr>
        <w:tc>
          <w:tcPr>
            <w:tcW w:type="dxa" w:w="84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ID</w:t>
            </w:r>
          </w:p>
        </w:tc>
        <w:tc>
          <w:tcPr>
            <w:tcW w:type="dxa" w:w="2520"/>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0"/>
                <w:szCs w:val="20"/>
              </w:rPr>
              <w:t xml:space="preserve">Intitulé</w:t>
            </w:r>
          </w:p>
        </w:tc>
        <w:tc>
          <w:tcPr>
            <w:tcW w:type="dxa" w:w="2400"/>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0"/>
                <w:szCs w:val="20"/>
              </w:rPr>
              <w:t xml:space="preserve">Acteur(s)</w:t>
            </w:r>
          </w:p>
        </w:tc>
        <w:tc>
          <w:tcPr>
            <w:tcW w:type="dxa" w:w="3600"/>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0"/>
                <w:szCs w:val="20"/>
              </w:rPr>
              <w:t xml:space="preserve">Description synthétique</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UC-01</w:t>
            </w:r>
          </w:p>
        </w:tc>
        <w:tc>
          <w:tcPr>
            <w:tcW w:type="dxa" w:w="25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sz w:val="19"/>
                <w:szCs w:val="19"/>
              </w:rPr>
              <w:t xml:space="preserve">Se connecter au back-office</w:t>
            </w:r>
          </w:p>
        </w:tc>
        <w:tc>
          <w:tcPr>
            <w:tcW w:type="dxa" w:w="24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Administrateur, Commercial, Technicien</w:t>
            </w:r>
          </w:p>
        </w:tc>
        <w:tc>
          <w:tcPr>
            <w:tcW w:type="dxa" w:w="36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Saisie identifiants, vérification des droits, redirection vers le tableau de bord.</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UC-02</w:t>
            </w:r>
          </w:p>
        </w:tc>
        <w:tc>
          <w:tcPr>
            <w:tcW w:type="dxa" w:w="25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sz w:val="19"/>
                <w:szCs w:val="19"/>
              </w:rPr>
              <w:t xml:space="preserve">Créer un article</w:t>
            </w:r>
          </w:p>
        </w:tc>
        <w:tc>
          <w:tcPr>
            <w:tcW w:type="dxa" w:w="24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Administrateur, Technicien</w:t>
            </w:r>
          </w:p>
        </w:tc>
        <w:tc>
          <w:tcPr>
            <w:tcW w:type="dxa" w:w="36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Sélection famille/catégorie, saisie champs communs + spécifiques, définition de l'état et du type de gestion.</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UC-03</w:t>
            </w:r>
          </w:p>
        </w:tc>
        <w:tc>
          <w:tcPr>
            <w:tcW w:type="dxa" w:w="25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sz w:val="19"/>
                <w:szCs w:val="19"/>
              </w:rPr>
              <w:t xml:space="preserve">Effectuer une entrée de stock</w:t>
            </w:r>
          </w:p>
        </w:tc>
        <w:tc>
          <w:tcPr>
            <w:tcW w:type="dxa" w:w="24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Administrateur, Technicien</w:t>
            </w:r>
          </w:p>
        </w:tc>
        <w:tc>
          <w:tcPr>
            <w:tcW w:type="dxa" w:w="36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Sélection article, choix dépôt, saisie quantité/numéro de série/lot, enregistrement mouvement.</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UC-04</w:t>
            </w:r>
          </w:p>
        </w:tc>
        <w:tc>
          <w:tcPr>
            <w:tcW w:type="dxa" w:w="25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sz w:val="19"/>
                <w:szCs w:val="19"/>
              </w:rPr>
              <w:t xml:space="preserve">Effectuer une sortie de stock</w:t>
            </w:r>
          </w:p>
        </w:tc>
        <w:tc>
          <w:tcPr>
            <w:tcW w:type="dxa" w:w="24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Administrateur, Commercial, Technicien</w:t>
            </w:r>
          </w:p>
        </w:tc>
        <w:tc>
          <w:tcPr>
            <w:tcW w:type="dxa" w:w="36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Sélection article et lot/série, saisie quantité, choix dépôt source, enregistrement et vérification seuil.</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UC-05</w:t>
            </w:r>
          </w:p>
        </w:tc>
        <w:tc>
          <w:tcPr>
            <w:tcW w:type="dxa" w:w="25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sz w:val="19"/>
                <w:szCs w:val="19"/>
              </w:rPr>
              <w:t xml:space="preserve">Transférer du stock entre dépôts</w:t>
            </w:r>
          </w:p>
        </w:tc>
        <w:tc>
          <w:tcPr>
            <w:tcW w:type="dxa" w:w="24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Administrateur, Technicien</w:t>
            </w:r>
          </w:p>
        </w:tc>
        <w:tc>
          <w:tcPr>
            <w:tcW w:type="dxa" w:w="36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Sélection article, dépôt source, dépôt destination, quantité/série/lot, validation.</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UC-06</w:t>
            </w:r>
          </w:p>
        </w:tc>
        <w:tc>
          <w:tcPr>
            <w:tcW w:type="dxa" w:w="25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sz w:val="19"/>
                <w:szCs w:val="19"/>
              </w:rPr>
              <w:t xml:space="preserve">Consulter le tableau de bord</w:t>
            </w:r>
          </w:p>
        </w:tc>
        <w:tc>
          <w:tcPr>
            <w:tcW w:type="dxa" w:w="24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Administrateur, Commercial</w:t>
            </w:r>
          </w:p>
        </w:tc>
        <w:tc>
          <w:tcPr>
            <w:tcW w:type="dxa" w:w="36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Visualisation des indicateurs : stock global, alertes actives, derniers mouvements, leads en attente.</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UC-07</w:t>
            </w:r>
          </w:p>
        </w:tc>
        <w:tc>
          <w:tcPr>
            <w:tcW w:type="dxa" w:w="25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sz w:val="19"/>
                <w:szCs w:val="19"/>
              </w:rPr>
              <w:t xml:space="preserve">Générer un bon de livraison</w:t>
            </w:r>
          </w:p>
        </w:tc>
        <w:tc>
          <w:tcPr>
            <w:tcW w:type="dxa" w:w="24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Administrateur, Commercial</w:t>
            </w:r>
          </w:p>
        </w:tc>
        <w:tc>
          <w:tcPr>
            <w:tcW w:type="dxa" w:w="36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Sélection des sorties, génération et téléchargement du BL en PDF.</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UC-08</w:t>
            </w:r>
          </w:p>
        </w:tc>
        <w:tc>
          <w:tcPr>
            <w:tcW w:type="dxa" w:w="25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sz w:val="19"/>
                <w:szCs w:val="19"/>
              </w:rPr>
              <w:t xml:space="preserve">Gérer les alertes de seuil</w:t>
            </w:r>
          </w:p>
        </w:tc>
        <w:tc>
          <w:tcPr>
            <w:tcW w:type="dxa" w:w="24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Administrateur</w:t>
            </w:r>
          </w:p>
        </w:tc>
        <w:tc>
          <w:tcPr>
            <w:tcW w:type="dxa" w:w="36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Définition des seuils, consultation des articles en alerte, acquittement d'une alerte.</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UC-09</w:t>
            </w:r>
          </w:p>
        </w:tc>
        <w:tc>
          <w:tcPr>
            <w:tcW w:type="dxa" w:w="25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sz w:val="19"/>
                <w:szCs w:val="19"/>
              </w:rPr>
              <w:t xml:space="preserve">Soumettre une demande de devis (web)</w:t>
            </w:r>
          </w:p>
        </w:tc>
        <w:tc>
          <w:tcPr>
            <w:tcW w:type="dxa" w:w="24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Client final</w:t>
            </w:r>
          </w:p>
        </w:tc>
        <w:tc>
          <w:tcPr>
            <w:tcW w:type="dxa" w:w="36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Navigation catalogue, sélection produits, remplissage formulaire, soumission et confirmation.</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UC-10</w:t>
            </w:r>
          </w:p>
        </w:tc>
        <w:tc>
          <w:tcPr>
            <w:tcW w:type="dxa" w:w="25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sz w:val="19"/>
                <w:szCs w:val="19"/>
              </w:rPr>
              <w:t xml:space="preserve">Traiter un lead / devis entrant</w:t>
            </w:r>
          </w:p>
        </w:tc>
        <w:tc>
          <w:tcPr>
            <w:tcW w:type="dxa" w:w="24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Commercial</w:t>
            </w:r>
          </w:p>
        </w:tc>
        <w:tc>
          <w:tcPr>
            <w:tcW w:type="dxa" w:w="36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Consultation de la demande, affectation, réponse au client, changement de statut.</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UC-11</w:t>
            </w:r>
          </w:p>
        </w:tc>
        <w:tc>
          <w:tcPr>
            <w:tcW w:type="dxa" w:w="25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sz w:val="19"/>
                <w:szCs w:val="19"/>
              </w:rPr>
              <w:t xml:space="preserve">Exporter un rapport</w:t>
            </w:r>
          </w:p>
        </w:tc>
        <w:tc>
          <w:tcPr>
            <w:tcW w:type="dxa" w:w="24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Administrateur, Commercial</w:t>
            </w:r>
          </w:p>
        </w:tc>
        <w:tc>
          <w:tcPr>
            <w:tcW w:type="dxa" w:w="360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Choix type de rapport et période, génération en PDF/Excel, téléchargement.</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UC-12</w:t>
            </w:r>
          </w:p>
        </w:tc>
        <w:tc>
          <w:tcPr>
            <w:tcW w:type="dxa" w:w="25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sz w:val="19"/>
                <w:szCs w:val="19"/>
              </w:rPr>
              <w:t xml:space="preserve">Gérer les utilisateurs</w:t>
            </w:r>
          </w:p>
        </w:tc>
        <w:tc>
          <w:tcPr>
            <w:tcW w:type="dxa" w:w="24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Administrateur</w:t>
            </w:r>
          </w:p>
        </w:tc>
        <w:tc>
          <w:tcPr>
            <w:tcW w:type="dxa" w:w="360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Création, modification, désactivation des comptes, attribution des rôles.</w:t>
            </w:r>
          </w:p>
        </w:tc>
      </w:tr>
    </w:tbl>
    <w:p>
      <w:pPr>
        <w:spacing w:before="60" w:after="0"/>
      </w:pPr>
      <w:r>
        <w:rPr>
          <w:rFonts w:ascii="Arial" w:cs="Arial" w:eastAsia="Arial" w:hAnsi="Arial"/>
          <w:sz w:val="22"/>
          <w:szCs w:val="22"/>
        </w:rPr>
        <w:t xml:space="preserve"/>
      </w:r>
    </w:p>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7. Règles de gestion</w:t>
      </w:r>
    </w:p>
    <w:p>
      <w:pPr>
        <w:spacing w:before="60" w:after="80"/>
        <w:jc w:val="both"/>
      </w:pPr>
      <w:r>
        <w:rPr>
          <w:rFonts w:ascii="Arial" w:cs="Arial" w:eastAsia="Arial" w:hAnsi="Arial"/>
          <w:sz w:val="22"/>
          <w:szCs w:val="22"/>
        </w:rPr>
        <w:t xml:space="preserve">Les règles de gestion définissent les contraintes métier que le système doit respecter en toutes circonstances.</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560"/>
        <w:gridCol w:w="6960"/>
      </w:tblGrid>
      <w:tr>
        <w:tc>
          <w:tcPr>
            <w:tcW w:type="dxa" w:w="84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ID</w:t>
            </w:r>
          </w:p>
        </w:tc>
        <w:tc>
          <w:tcPr>
            <w:tcW w:type="dxa" w:w="156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Domaine</w:t>
            </w:r>
          </w:p>
        </w:tc>
        <w:tc>
          <w:tcPr>
            <w:tcW w:type="dxa" w:w="6960"/>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0"/>
                <w:szCs w:val="20"/>
              </w:rPr>
              <w:t xml:space="preserve">Énoncé de la règle</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RG-01</w:t>
            </w:r>
          </w:p>
        </w:tc>
        <w:tc>
          <w:tcPr>
            <w:tcW w:type="dxa" w:w="15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375623"/>
                <w:sz w:val="19"/>
                <w:szCs w:val="19"/>
              </w:rPr>
              <w:t xml:space="preserve">Stock</w:t>
            </w:r>
          </w:p>
        </w:tc>
        <w:tc>
          <w:tcPr>
            <w:tcW w:type="dxa" w:w="69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Un article géré en mode SÉRIALISÉ doit avoir un numéro de série unique par unité. Deux articles ne peuvent pas avoir le même numéro de série au sein d'un même dépôt.</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RG-02</w:t>
            </w:r>
          </w:p>
        </w:tc>
        <w:tc>
          <w:tcPr>
            <w:tcW w:type="dxa" w:w="15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375623"/>
                <w:sz w:val="19"/>
                <w:szCs w:val="19"/>
              </w:rPr>
              <w:t xml:space="preserve">Stock</w:t>
            </w:r>
          </w:p>
        </w:tc>
        <w:tc>
          <w:tcPr>
            <w:tcW w:type="dxa" w:w="69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Un article géré par LOT regroupe des unités entrées ensemble (même fournisseur, même date). Chaque lot dispose d'un identifiant unique et d'une quantité.</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RG-03</w:t>
            </w:r>
          </w:p>
        </w:tc>
        <w:tc>
          <w:tcPr>
            <w:tcW w:type="dxa" w:w="15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375623"/>
                <w:sz w:val="19"/>
                <w:szCs w:val="19"/>
              </w:rPr>
              <w:t xml:space="preserve">Stock</w:t>
            </w:r>
          </w:p>
        </w:tc>
        <w:tc>
          <w:tcPr>
            <w:tcW w:type="dxa" w:w="69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Un article géré par QUANTITÉ ne supporte pas de traçabilité unitaire. Seule la quantité globale par dépôt est gérée.</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RG-04</w:t>
            </w:r>
          </w:p>
        </w:tc>
        <w:tc>
          <w:tcPr>
            <w:tcW w:type="dxa" w:w="15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375623"/>
                <w:sz w:val="19"/>
                <w:szCs w:val="19"/>
              </w:rPr>
              <w:t xml:space="preserve">Stock</w:t>
            </w:r>
          </w:p>
        </w:tc>
        <w:tc>
          <w:tcPr>
            <w:tcW w:type="dxa" w:w="69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Une sortie de stock ne peut être effectuée si la quantité disponible (ou le lot/série concerné) est insuffisant ou inexistant dans le dépôt source.</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RG-05</w:t>
            </w:r>
          </w:p>
        </w:tc>
        <w:tc>
          <w:tcPr>
            <w:tcW w:type="dxa" w:w="15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375623"/>
                <w:sz w:val="19"/>
                <w:szCs w:val="19"/>
              </w:rPr>
              <w:t xml:space="preserve">Alerte</w:t>
            </w:r>
          </w:p>
        </w:tc>
        <w:tc>
          <w:tcPr>
            <w:tcW w:type="dxa" w:w="69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Une alerte de seuil est déclenchée automatiquement lorsque la quantité d'un article dans un dépôt est inférieure ou égale au seuil minimum configuré.</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RG-06</w:t>
            </w:r>
          </w:p>
        </w:tc>
        <w:tc>
          <w:tcPr>
            <w:tcW w:type="dxa" w:w="15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375623"/>
                <w:sz w:val="19"/>
                <w:szCs w:val="19"/>
              </w:rPr>
              <w:t xml:space="preserve">Alerte</w:t>
            </w:r>
          </w:p>
        </w:tc>
        <w:tc>
          <w:tcPr>
            <w:tcW w:type="dxa" w:w="69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Une alerte acquittée ne se déclenche plus jusqu'à ce que le stock repasse au-dessus du seuil puis redescende à nouveau en dessous.</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RG-07</w:t>
            </w:r>
          </w:p>
        </w:tc>
        <w:tc>
          <w:tcPr>
            <w:tcW w:type="dxa" w:w="15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375623"/>
                <w:sz w:val="19"/>
                <w:szCs w:val="19"/>
              </w:rPr>
              <w:t xml:space="preserve">Devis</w:t>
            </w:r>
          </w:p>
        </w:tc>
        <w:tc>
          <w:tcPr>
            <w:tcW w:type="dxa" w:w="69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Un devis soumis en ligne reçoit automatiquement un numéro unique de la forme DEVIS-AAAA-NNNN et un e-mail de confirmation est envoyé au client.</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RG-08</w:t>
            </w:r>
          </w:p>
        </w:tc>
        <w:tc>
          <w:tcPr>
            <w:tcW w:type="dxa" w:w="15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375623"/>
                <w:sz w:val="19"/>
                <w:szCs w:val="19"/>
              </w:rPr>
              <w:t xml:space="preserve">Devis</w:t>
            </w:r>
          </w:p>
        </w:tc>
        <w:tc>
          <w:tcPr>
            <w:tcW w:type="dxa" w:w="69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Un lead ne peut être converti en bon de commande que s'il est au statut 'Devis envoyé' et qu'il a été accepté par le client.</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RG-09</w:t>
            </w:r>
          </w:p>
        </w:tc>
        <w:tc>
          <w:tcPr>
            <w:tcW w:type="dxa" w:w="15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375623"/>
                <w:sz w:val="19"/>
                <w:szCs w:val="19"/>
              </w:rPr>
              <w:t xml:space="preserve">Documents</w:t>
            </w:r>
          </w:p>
        </w:tc>
        <w:tc>
          <w:tcPr>
            <w:tcW w:type="dxa" w:w="69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Un bon de livraison ne peut être généré qu'à partir de mouvements de sortie validés. Il doit référencer au moins un article et une quantité positive.</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RG-10</w:t>
            </w:r>
          </w:p>
        </w:tc>
        <w:tc>
          <w:tcPr>
            <w:tcW w:type="dxa" w:w="15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375623"/>
                <w:sz w:val="19"/>
                <w:szCs w:val="19"/>
              </w:rPr>
              <w:t xml:space="preserve">Sécurité</w:t>
            </w:r>
          </w:p>
        </w:tc>
        <w:tc>
          <w:tcPr>
            <w:tcW w:type="dxa" w:w="69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Un utilisateur inactif depuis plus de 30 minutes est automatiquement déconnecté de sa session.</w:t>
            </w:r>
          </w:p>
        </w:tc>
      </w:tr>
      <w:tr>
        <w:tc>
          <w:tcPr>
            <w:tcW w:type="dxa" w:w="84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1F3864"/>
                <w:sz w:val="19"/>
                <w:szCs w:val="19"/>
              </w:rPr>
              <w:t xml:space="preserve">RG-11</w:t>
            </w:r>
          </w:p>
        </w:tc>
        <w:tc>
          <w:tcPr>
            <w:tcW w:type="dxa" w:w="15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375623"/>
                <w:sz w:val="19"/>
                <w:szCs w:val="19"/>
              </w:rPr>
              <w:t xml:space="preserve">Droits</w:t>
            </w:r>
          </w:p>
        </w:tc>
        <w:tc>
          <w:tcPr>
            <w:tcW w:type="dxa" w:w="696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Un technicien magasin ne peut pas créer, modifier ou supprimer des comptes utilisateurs, ni accéder aux modules financiers (prix, valorisation).</w:t>
            </w:r>
          </w:p>
        </w:tc>
      </w:tr>
      <w:tr>
        <w:tc>
          <w:tcPr>
            <w:tcW w:type="dxa" w:w="840"/>
            <w:tcBorders>
              <w:top w:val="single" w:color="BBBBBB" w:sz="1"/>
              <w:left w:val="single" w:color="BBBBBB" w:sz="1"/>
              <w:bottom w:val="single" w:color="BBBBBB" w:sz="1"/>
              <w:right w:val="single" w:color="BBBBBB" w:sz="1"/>
            </w:tcBorders>
            <w:shd w:fill="FFFFFF" w:val="clear"/>
          </w:tcPr>
          <w:p>
            <w:pPr>
              <w:spacing w:before="40" w:after="40"/>
              <w:jc w:val="center"/>
            </w:pPr>
            <w:r>
              <w:rPr>
                <w:rFonts w:ascii="Arial" w:cs="Arial" w:eastAsia="Arial" w:hAnsi="Arial"/>
                <w:b/>
                <w:bCs/>
                <w:color w:val="1F3864"/>
                <w:sz w:val="19"/>
                <w:szCs w:val="19"/>
              </w:rPr>
              <w:t xml:space="preserve">RG-12</w:t>
            </w:r>
          </w:p>
        </w:tc>
        <w:tc>
          <w:tcPr>
            <w:tcW w:type="dxa" w:w="15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375623"/>
                <w:sz w:val="19"/>
                <w:szCs w:val="19"/>
              </w:rPr>
              <w:t xml:space="preserve">Catalogue</w:t>
            </w:r>
          </w:p>
        </w:tc>
        <w:tc>
          <w:tcPr>
            <w:tcW w:type="dxa" w:w="696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Un article archivé n'apparaît plus dans les formulaires de mouvements mais reste accessible en consultation et dans l'historique.</w:t>
            </w:r>
          </w:p>
        </w:tc>
      </w:tr>
    </w:tbl>
    <w:p>
      <w:pPr>
        <w:spacing w:before="60" w:after="0"/>
      </w:pPr>
      <w:r>
        <w:rPr>
          <w:rFonts w:ascii="Arial" w:cs="Arial" w:eastAsia="Arial" w:hAnsi="Arial"/>
          <w:sz w:val="22"/>
          <w:szCs w:val="22"/>
        </w:rPr>
        <w:t xml:space="preserve"/>
      </w:r>
    </w:p>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8. Planning prévisionnel</w:t>
      </w:r>
    </w:p>
    <w:p>
      <w:pPr>
        <w:spacing w:before="60" w:after="80"/>
        <w:jc w:val="both"/>
      </w:pPr>
      <w:r>
        <w:rPr>
          <w:rFonts w:ascii="Arial" w:cs="Arial" w:eastAsia="Arial" w:hAnsi="Arial"/>
          <w:sz w:val="22"/>
          <w:szCs w:val="22"/>
        </w:rPr>
        <w:t xml:space="preserve">Le planning ci-dessous est indicatif et sera ajusté en fonction de l'avancement réel du projet et des contraintes du rythme d'alternance.</w:t>
      </w:r>
    </w:p>
    <w:p>
      <w:pPr>
        <w:spacing w:before="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9360"/>
            <w:gridSpan w:val="3"/>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 xml:space="preserve">Phase 1 – Cadrage &amp; Analyse</w:t>
            </w:r>
            <w:r>
              <w:rPr>
                <w:rFonts w:ascii="Arial" w:cs="Arial" w:eastAsia="Arial" w:hAnsi="Arial"/>
                <w:i/>
                <w:iCs/>
                <w:color w:val="AACCEE"/>
                <w:sz w:val="20"/>
                <w:szCs w:val="20"/>
              </w:rPr>
              <w:t xml:space="preserve">   |   Mars 2025</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1</w:t>
            </w:r>
          </w:p>
        </w:tc>
        <w:tc>
          <w:tcPr>
            <w:tcW w:type="dxa" w:w="8880"/>
            <w:gridSpan w:val="2"/>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Rédaction du cahier des charges (ce document)</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2</w:t>
            </w:r>
          </w:p>
        </w:tc>
        <w:tc>
          <w:tcPr>
            <w:tcW w:type="dxa" w:w="8880"/>
            <w:gridSpan w:val="2"/>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Modélisation des données : MCD, MLD</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3</w:t>
            </w:r>
          </w:p>
        </w:tc>
        <w:tc>
          <w:tcPr>
            <w:tcW w:type="dxa" w:w="8880"/>
            <w:gridSpan w:val="2"/>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Maquettage des interfaces (wireframes)</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4</w:t>
            </w:r>
          </w:p>
        </w:tc>
        <w:tc>
          <w:tcPr>
            <w:tcW w:type="dxa" w:w="8880"/>
            <w:gridSpan w:val="2"/>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Choix définitif de la stack technique</w:t>
            </w:r>
          </w:p>
        </w:tc>
      </w:tr>
      <w:tr>
        <w:tc>
          <w:tcPr>
            <w:tcW w:type="dxa" w:w="9360"/>
            <w:gridSpan w:val="3"/>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 xml:space="preserve">Phase 2 – Conception</w:t>
            </w:r>
            <w:r>
              <w:rPr>
                <w:rFonts w:ascii="Arial" w:cs="Arial" w:eastAsia="Arial" w:hAnsi="Arial"/>
                <w:i/>
                <w:iCs/>
                <w:color w:val="AACCEE"/>
                <w:sz w:val="20"/>
                <w:szCs w:val="20"/>
              </w:rPr>
              <w:t xml:space="preserve">   |   Avril 2025</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1</w:t>
            </w:r>
          </w:p>
        </w:tc>
        <w:tc>
          <w:tcPr>
            <w:tcW w:type="dxa" w:w="8880"/>
            <w:gridSpan w:val="2"/>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Architecture technique détaillée</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2</w:t>
            </w:r>
          </w:p>
        </w:tc>
        <w:tc>
          <w:tcPr>
            <w:tcW w:type="dxa" w:w="8880"/>
            <w:gridSpan w:val="2"/>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Conception de la base de données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3</w:t>
            </w:r>
          </w:p>
        </w:tc>
        <w:tc>
          <w:tcPr>
            <w:tcW w:type="dxa" w:w="8880"/>
            <w:gridSpan w:val="2"/>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Diagrammes UML (cas d'utilisation, séquence, classes)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4</w:t>
            </w:r>
          </w:p>
        </w:tc>
        <w:tc>
          <w:tcPr>
            <w:tcW w:type="dxa" w:w="8880"/>
            <w:gridSpan w:val="2"/>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Validation du dossier de conception</w:t>
            </w:r>
          </w:p>
        </w:tc>
      </w:tr>
      <w:tr>
        <w:tc>
          <w:tcPr>
            <w:tcW w:type="dxa" w:w="9360"/>
            <w:gridSpan w:val="3"/>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 xml:space="preserve">Phase 3 – Développement – Back-end &amp; BDD</w:t>
            </w:r>
            <w:r>
              <w:rPr>
                <w:rFonts w:ascii="Arial" w:cs="Arial" w:eastAsia="Arial" w:hAnsi="Arial"/>
                <w:i/>
                <w:iCs/>
                <w:color w:val="AACCEE"/>
                <w:sz w:val="20"/>
                <w:szCs w:val="20"/>
              </w:rPr>
              <w:t xml:space="preserve">   |   Avril – Mai 2025</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1</w:t>
            </w:r>
          </w:p>
        </w:tc>
        <w:tc>
          <w:tcPr>
            <w:tcW w:type="dxa" w:w="8880"/>
            <w:gridSpan w:val="2"/>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Mise en place de l'environnement de développement</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2</w:t>
            </w:r>
          </w:p>
        </w:tc>
        <w:tc>
          <w:tcPr>
            <w:tcW w:type="dxa" w:w="8880"/>
            <w:gridSpan w:val="2"/>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Développement de l'API REST</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3</w:t>
            </w:r>
          </w:p>
        </w:tc>
        <w:tc>
          <w:tcPr>
            <w:tcW w:type="dxa" w:w="8880"/>
            <w:gridSpan w:val="2"/>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Implémentation de la base de données</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4</w:t>
            </w:r>
          </w:p>
        </w:tc>
        <w:tc>
          <w:tcPr>
            <w:tcW w:type="dxa" w:w="8880"/>
            <w:gridSpan w:val="2"/>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Modules : articles, dépôts, mouvements, utilisateurs</w:t>
            </w:r>
          </w:p>
        </w:tc>
      </w:tr>
      <w:tr>
        <w:tc>
          <w:tcPr>
            <w:tcW w:type="dxa" w:w="9360"/>
            <w:gridSpan w:val="3"/>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 xml:space="preserve">Phase 4 – Développement – Front-end</w:t>
            </w:r>
            <w:r>
              <w:rPr>
                <w:rFonts w:ascii="Arial" w:cs="Arial" w:eastAsia="Arial" w:hAnsi="Arial"/>
                <w:i/>
                <w:iCs/>
                <w:color w:val="AACCEE"/>
                <w:sz w:val="20"/>
                <w:szCs w:val="20"/>
              </w:rPr>
              <w:t xml:space="preserve">   |   Mai – Juin 2025</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1</w:t>
            </w:r>
          </w:p>
        </w:tc>
        <w:tc>
          <w:tcPr>
            <w:tcW w:type="dxa" w:w="8880"/>
            <w:gridSpan w:val="2"/>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Développement du back-office (interfaces admin/commercial/technicien)</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2</w:t>
            </w:r>
          </w:p>
        </w:tc>
        <w:tc>
          <w:tcPr>
            <w:tcW w:type="dxa" w:w="8880"/>
            <w:gridSpan w:val="2"/>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Développement du site vitrine</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3</w:t>
            </w:r>
          </w:p>
        </w:tc>
        <w:tc>
          <w:tcPr>
            <w:tcW w:type="dxa" w:w="8880"/>
            <w:gridSpan w:val="2"/>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Formulaire de devis en ligne</w:t>
            </w:r>
          </w:p>
        </w:tc>
      </w:tr>
      <w:tr>
        <w:tc>
          <w:tcPr>
            <w:tcW w:type="dxa" w:w="480"/>
            <w:tcBorders>
              <w:top w:val="single" w:color="BBBBBB" w:sz="1"/>
              <w:left w:val="single" w:color="BBBBBB" w:sz="1"/>
              <w:bottom w:val="single" w:color="BBBBBB" w:sz="1"/>
              <w:right w:val="single" w:color="BBBBBB" w:sz="1"/>
            </w:tcBorders>
            <w:shd w:fill="D6E4F0" w:val="clear"/>
          </w:tcPr>
          <w:p>
            <w:pPr>
              <w:spacing w:before="40" w:after="40"/>
              <w:jc w:val="center"/>
            </w:pPr>
            <w:r>
              <w:rPr>
                <w:rFonts w:ascii="Arial" w:cs="Arial" w:eastAsia="Arial" w:hAnsi="Arial"/>
                <w:b/>
                <w:bCs/>
                <w:color w:val="2E75B6"/>
                <w:sz w:val="20"/>
                <w:szCs w:val="20"/>
              </w:rPr>
              <w:t xml:space="preserve">4</w:t>
            </w:r>
          </w:p>
        </w:tc>
        <w:tc>
          <w:tcPr>
            <w:tcW w:type="dxa" w:w="8880"/>
            <w:gridSpan w:val="2"/>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20"/>
                <w:szCs w:val="20"/>
              </w:rPr>
              <w:t xml:space="preserve">Génération des bons PDF</w:t>
            </w:r>
          </w:p>
        </w:tc>
      </w:tr>
      <w:tr>
        <w:tc>
          <w:tcPr>
            <w:tcW w:type="dxa" w:w="9360"/>
            <w:gridSpan w:val="3"/>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 xml:space="preserve">Phase 5 – Tests &amp; Recette</w:t>
            </w:r>
            <w:r>
              <w:rPr>
                <w:rFonts w:ascii="Arial" w:cs="Arial" w:eastAsia="Arial" w:hAnsi="Arial"/>
                <w:i/>
                <w:iCs/>
                <w:color w:val="AACCEE"/>
                <w:sz w:val="20"/>
                <w:szCs w:val="20"/>
              </w:rPr>
              <w:t xml:space="preserve">   |   Juin 2025</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1</w:t>
            </w:r>
          </w:p>
        </w:tc>
        <w:tc>
          <w:tcPr>
            <w:tcW w:type="dxa" w:w="8880"/>
            <w:gridSpan w:val="2"/>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Tests unitaires et d'intégration</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2</w:t>
            </w:r>
          </w:p>
        </w:tc>
        <w:tc>
          <w:tcPr>
            <w:tcW w:type="dxa" w:w="8880"/>
            <w:gridSpan w:val="2"/>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Tests fonctionnels (scénarios de recette)</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3</w:t>
            </w:r>
          </w:p>
        </w:tc>
        <w:tc>
          <w:tcPr>
            <w:tcW w:type="dxa" w:w="8880"/>
            <w:gridSpan w:val="2"/>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Corrections et optimisations</w:t>
            </w:r>
          </w:p>
        </w:tc>
      </w:tr>
      <w:tr>
        <w:tc>
          <w:tcPr>
            <w:tcW w:type="dxa" w:w="480"/>
            <w:tcBorders>
              <w:top w:val="single" w:color="BBBBBB" w:sz="1"/>
              <w:left w:val="single" w:color="BBBBBB" w:sz="1"/>
              <w:bottom w:val="single" w:color="BBBBBB" w:sz="1"/>
              <w:right w:val="single" w:color="BBBBBB" w:sz="1"/>
            </w:tcBorders>
            <w:shd w:fill="E2EFDA" w:val="clear"/>
          </w:tcPr>
          <w:p>
            <w:pPr>
              <w:spacing w:before="40" w:after="40"/>
              <w:jc w:val="center"/>
            </w:pPr>
            <w:r>
              <w:rPr>
                <w:rFonts w:ascii="Arial" w:cs="Arial" w:eastAsia="Arial" w:hAnsi="Arial"/>
                <w:b/>
                <w:bCs/>
                <w:color w:val="2E75B6"/>
                <w:sz w:val="20"/>
                <w:szCs w:val="20"/>
              </w:rPr>
              <w:t xml:space="preserve">4</w:t>
            </w:r>
          </w:p>
        </w:tc>
        <w:tc>
          <w:tcPr>
            <w:tcW w:type="dxa" w:w="8880"/>
            <w:gridSpan w:val="2"/>
            <w:tcBorders>
              <w:top w:val="single" w:color="BBBBBB" w:sz="1"/>
              <w:left w:val="single" w:color="BBBBBB" w:sz="1"/>
              <w:bottom w:val="single" w:color="BBBBBB" w:sz="1"/>
              <w:right w:val="single" w:color="BBBBBB" w:sz="1"/>
            </w:tcBorders>
            <w:shd w:fill="E2EFDA" w:val="clear"/>
          </w:tcPr>
          <w:p>
            <w:pPr>
              <w:spacing w:before="40" w:after="40"/>
            </w:pPr>
            <w:r>
              <w:rPr>
                <w:rFonts w:ascii="Arial" w:cs="Arial" w:eastAsia="Arial" w:hAnsi="Arial"/>
                <w:sz w:val="20"/>
                <w:szCs w:val="20"/>
              </w:rPr>
              <w:t xml:space="preserve">Déploiement de la version de démonstration</w:t>
            </w:r>
          </w:p>
        </w:tc>
      </w:tr>
      <w:tr>
        <w:tc>
          <w:tcPr>
            <w:tcW w:type="dxa" w:w="9360"/>
            <w:gridSpan w:val="3"/>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2"/>
                <w:szCs w:val="22"/>
              </w:rPr>
              <w:t xml:space="preserve">Phase 6 – Documentation &amp; Soutenance</w:t>
            </w:r>
            <w:r>
              <w:rPr>
                <w:rFonts w:ascii="Arial" w:cs="Arial" w:eastAsia="Arial" w:hAnsi="Arial"/>
                <w:i/>
                <w:iCs/>
                <w:color w:val="AACCEE"/>
                <w:sz w:val="20"/>
                <w:szCs w:val="20"/>
              </w:rPr>
              <w:t xml:space="preserve">   |   Juin – Juillet 2025</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1</w:t>
            </w:r>
          </w:p>
        </w:tc>
        <w:tc>
          <w:tcPr>
            <w:tcW w:type="dxa" w:w="8880"/>
            <w:gridSpan w:val="2"/>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Rédaction du rapport de projet</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2</w:t>
            </w:r>
          </w:p>
        </w:tc>
        <w:tc>
          <w:tcPr>
            <w:tcW w:type="dxa" w:w="8880"/>
            <w:gridSpan w:val="2"/>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Préparation de la présentation de soutenance</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3</w:t>
            </w:r>
          </w:p>
        </w:tc>
        <w:tc>
          <w:tcPr>
            <w:tcW w:type="dxa" w:w="8880"/>
            <w:gridSpan w:val="2"/>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Démonstration live du logiciel</w:t>
            </w:r>
          </w:p>
        </w:tc>
      </w:tr>
      <w:tr>
        <w:tc>
          <w:tcPr>
            <w:tcW w:type="dxa" w:w="480"/>
            <w:tcBorders>
              <w:top w:val="single" w:color="BBBBBB" w:sz="1"/>
              <w:left w:val="single" w:color="BBBBBB" w:sz="1"/>
              <w:bottom w:val="single" w:color="BBBBBB" w:sz="1"/>
              <w:right w:val="single" w:color="BBBBBB" w:sz="1"/>
            </w:tcBorders>
            <w:shd w:fill="FCE4D6" w:val="clear"/>
          </w:tcPr>
          <w:p>
            <w:pPr>
              <w:spacing w:before="40" w:after="40"/>
              <w:jc w:val="center"/>
            </w:pPr>
            <w:r>
              <w:rPr>
                <w:rFonts w:ascii="Arial" w:cs="Arial" w:eastAsia="Arial" w:hAnsi="Arial"/>
                <w:b/>
                <w:bCs/>
                <w:color w:val="2E75B6"/>
                <w:sz w:val="20"/>
                <w:szCs w:val="20"/>
              </w:rPr>
              <w:t xml:space="preserve">4</w:t>
            </w:r>
          </w:p>
        </w:tc>
        <w:tc>
          <w:tcPr>
            <w:tcW w:type="dxa" w:w="8880"/>
            <w:gridSpan w:val="2"/>
            <w:tcBorders>
              <w:top w:val="single" w:color="BBBBBB" w:sz="1"/>
              <w:left w:val="single" w:color="BBBBBB" w:sz="1"/>
              <w:bottom w:val="single" w:color="BBBBBB" w:sz="1"/>
              <w:right w:val="single" w:color="BBBBBB" w:sz="1"/>
            </w:tcBorders>
            <w:shd w:fill="FCE4D6" w:val="clear"/>
          </w:tcPr>
          <w:p>
            <w:pPr>
              <w:spacing w:before="40" w:after="40"/>
            </w:pPr>
            <w:r>
              <w:rPr>
                <w:rFonts w:ascii="Arial" w:cs="Arial" w:eastAsia="Arial" w:hAnsi="Arial"/>
                <w:sz w:val="20"/>
                <w:szCs w:val="20"/>
              </w:rPr>
              <w:t xml:space="preserve">Dépôt du dossier final</w:t>
            </w:r>
          </w:p>
        </w:tc>
      </w:tr>
    </w:tbl>
    <w:p>
      <w:pPr>
        <w:spacing w:before="60" w:after="0"/>
      </w:pPr>
      <w:r>
        <w:rPr>
          <w:rFonts w:ascii="Arial" w:cs="Arial" w:eastAsia="Arial" w:hAnsi="Arial"/>
          <w:sz w:val="22"/>
          <w:szCs w:val="22"/>
        </w:rPr>
        <w:t xml:space="preserve"/>
      </w:r>
    </w:p>
    <w:p>
      <w:r>
        <w:br w:type="page"/>
      </w:r>
    </w:p>
    <w:p>
      <w:pPr>
        <w:pStyle w:val="Heading1"/>
        <w:pBdr>
          <w:bottom w:val="single" w:color="2E75B6" w:sz="12" w:space="4"/>
        </w:pBdr>
        <w:spacing w:before="360" w:after="180"/>
      </w:pPr>
      <w:r>
        <w:rPr>
          <w:rFonts w:ascii="Arial" w:cs="Arial" w:eastAsia="Arial" w:hAnsi="Arial"/>
          <w:b/>
          <w:bCs/>
          <w:color w:val="1F3864"/>
          <w:sz w:val="32"/>
          <w:szCs w:val="32"/>
        </w:rPr>
        <w:t xml:space="preserve">9.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7320"/>
      </w:tblGrid>
      <w:tr>
        <w:tc>
          <w:tcPr>
            <w:tcW w:type="dxa" w:w="2040"/>
            <w:tcBorders>
              <w:top w:val="single" w:color="BBBBBB" w:sz="1"/>
              <w:left w:val="single" w:color="BBBBBB" w:sz="1"/>
              <w:bottom w:val="single" w:color="BBBBBB" w:sz="1"/>
              <w:right w:val="single" w:color="BBBBBB" w:sz="1"/>
            </w:tcBorders>
            <w:shd w:fill="1F3864" w:val="clear"/>
          </w:tcPr>
          <w:p>
            <w:pPr>
              <w:spacing w:before="60" w:after="60"/>
              <w:jc w:val="center"/>
            </w:pPr>
            <w:r>
              <w:rPr>
                <w:rFonts w:ascii="Arial" w:cs="Arial" w:eastAsia="Arial" w:hAnsi="Arial"/>
                <w:b/>
                <w:bCs/>
                <w:color w:val="FFFFFF"/>
                <w:sz w:val="20"/>
                <w:szCs w:val="20"/>
              </w:rPr>
              <w:t xml:space="preserve">Terme</w:t>
            </w:r>
          </w:p>
        </w:tc>
        <w:tc>
          <w:tcPr>
            <w:tcW w:type="dxa" w:w="7320"/>
            <w:tcBorders>
              <w:top w:val="single" w:color="BBBBBB" w:sz="1"/>
              <w:left w:val="single" w:color="BBBBBB" w:sz="1"/>
              <w:bottom w:val="single" w:color="BBBBBB" w:sz="1"/>
              <w:right w:val="single" w:color="BBBBBB" w:sz="1"/>
            </w:tcBorders>
            <w:shd w:fill="1F3864" w:val="clear"/>
          </w:tcPr>
          <w:p>
            <w:pPr>
              <w:spacing w:before="60" w:after="60"/>
            </w:pPr>
            <w:r>
              <w:rPr>
                <w:rFonts w:ascii="Arial" w:cs="Arial" w:eastAsia="Arial" w:hAnsi="Arial"/>
                <w:b/>
                <w:bCs/>
                <w:color w:val="FFFFFF"/>
                <w:sz w:val="20"/>
                <w:szCs w:val="20"/>
              </w:rPr>
              <w:t xml:space="preserve">Définition</w:t>
            </w:r>
          </w:p>
        </w:tc>
      </w:tr>
      <w:tr>
        <w:tc>
          <w:tcPr>
            <w:tcW w:type="dxa" w:w="204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1F3864"/>
                <w:sz w:val="19"/>
                <w:szCs w:val="19"/>
              </w:rPr>
              <w:t xml:space="preserve">Article</w:t>
            </w:r>
          </w:p>
        </w:tc>
        <w:tc>
          <w:tcPr>
            <w:tcW w:type="dxa" w:w="73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Élément du catalogue de pièces industrielles, décrit par ses champs communs et ses champs spécifiques.</w:t>
            </w:r>
          </w:p>
        </w:tc>
      </w:tr>
      <w:tr>
        <w:tc>
          <w:tcPr>
            <w:tcW w:type="dxa" w:w="204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1F3864"/>
                <w:sz w:val="19"/>
                <w:szCs w:val="19"/>
              </w:rPr>
              <w:t xml:space="preserve">Dépôt</w:t>
            </w:r>
          </w:p>
        </w:tc>
        <w:tc>
          <w:tcPr>
            <w:tcW w:type="dxa" w:w="73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Emplacement physique ou logique de stockage (entrepôt, magasin, zone) contenant des articles.</w:t>
            </w:r>
          </w:p>
        </w:tc>
      </w:tr>
      <w:tr>
        <w:tc>
          <w:tcPr>
            <w:tcW w:type="dxa" w:w="204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1F3864"/>
                <w:sz w:val="19"/>
                <w:szCs w:val="19"/>
              </w:rPr>
              <w:t xml:space="preserve">Lot / Batch</w:t>
            </w:r>
          </w:p>
        </w:tc>
        <w:tc>
          <w:tcPr>
            <w:tcW w:type="dxa" w:w="73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Groupe d'unités d'un même article entrées ensemble, identifiable par un numéro de lot.</w:t>
            </w:r>
          </w:p>
        </w:tc>
      </w:tr>
      <w:tr>
        <w:tc>
          <w:tcPr>
            <w:tcW w:type="dxa" w:w="204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1F3864"/>
                <w:sz w:val="19"/>
                <w:szCs w:val="19"/>
              </w:rPr>
              <w:t xml:space="preserve">Numéro de série</w:t>
            </w:r>
          </w:p>
        </w:tc>
        <w:tc>
          <w:tcPr>
            <w:tcW w:type="dxa" w:w="73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Identifiant unique attribué à chaque unité d'un article sérialisé.</w:t>
            </w:r>
          </w:p>
        </w:tc>
      </w:tr>
      <w:tr>
        <w:tc>
          <w:tcPr>
            <w:tcW w:type="dxa" w:w="204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1F3864"/>
                <w:sz w:val="19"/>
                <w:szCs w:val="19"/>
              </w:rPr>
              <w:t xml:space="preserve">Mouvement de stock</w:t>
            </w:r>
          </w:p>
        </w:tc>
        <w:tc>
          <w:tcPr>
            <w:tcW w:type="dxa" w:w="73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Toute opération modifiant la quantité d'un article dans un dépôt : entrée, sortie, transfert.</w:t>
            </w:r>
          </w:p>
        </w:tc>
      </w:tr>
      <w:tr>
        <w:tc>
          <w:tcPr>
            <w:tcW w:type="dxa" w:w="204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1F3864"/>
                <w:sz w:val="19"/>
                <w:szCs w:val="19"/>
              </w:rPr>
              <w:t xml:space="preserve">Seuil de stock</w:t>
            </w:r>
          </w:p>
        </w:tc>
        <w:tc>
          <w:tcPr>
            <w:tcW w:type="dxa" w:w="73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Quantité minimale en-dessous de laquelle une alerte est déclenchée.</w:t>
            </w:r>
          </w:p>
        </w:tc>
      </w:tr>
      <w:tr>
        <w:tc>
          <w:tcPr>
            <w:tcW w:type="dxa" w:w="204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1F3864"/>
                <w:sz w:val="19"/>
                <w:szCs w:val="19"/>
              </w:rPr>
              <w:t xml:space="preserve">Lead</w:t>
            </w:r>
          </w:p>
        </w:tc>
        <w:tc>
          <w:tcPr>
            <w:tcW w:type="dxa" w:w="73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Demande commerciale entrante provenant du site vitrine, non encore traitée.</w:t>
            </w:r>
          </w:p>
        </w:tc>
      </w:tr>
      <w:tr>
        <w:tc>
          <w:tcPr>
            <w:tcW w:type="dxa" w:w="204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1F3864"/>
                <w:sz w:val="19"/>
                <w:szCs w:val="19"/>
              </w:rPr>
              <w:t xml:space="preserve">Devis</w:t>
            </w:r>
          </w:p>
        </w:tc>
        <w:tc>
          <w:tcPr>
            <w:tcW w:type="dxa" w:w="73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Document commercial chiffré répondant à une demande de prix d'un client ou prospect.</w:t>
            </w:r>
          </w:p>
        </w:tc>
      </w:tr>
      <w:tr>
        <w:tc>
          <w:tcPr>
            <w:tcW w:type="dxa" w:w="204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1F3864"/>
                <w:sz w:val="19"/>
                <w:szCs w:val="19"/>
              </w:rPr>
              <w:t xml:space="preserve">BC</w:t>
            </w:r>
          </w:p>
        </w:tc>
        <w:tc>
          <w:tcPr>
            <w:tcW w:type="dxa" w:w="73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Bon de Commande – document émis pour formaliser une commande auprès d'un fournisseur.</w:t>
            </w:r>
          </w:p>
        </w:tc>
      </w:tr>
      <w:tr>
        <w:tc>
          <w:tcPr>
            <w:tcW w:type="dxa" w:w="204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1F3864"/>
                <w:sz w:val="19"/>
                <w:szCs w:val="19"/>
              </w:rPr>
              <w:t xml:space="preserve">BL</w:t>
            </w:r>
          </w:p>
        </w:tc>
        <w:tc>
          <w:tcPr>
            <w:tcW w:type="dxa" w:w="73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Bon de Livraison – document accompagnant une expédition de marchandises.</w:t>
            </w:r>
          </w:p>
        </w:tc>
      </w:tr>
      <w:tr>
        <w:tc>
          <w:tcPr>
            <w:tcW w:type="dxa" w:w="204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1F3864"/>
                <w:sz w:val="19"/>
                <w:szCs w:val="19"/>
              </w:rPr>
              <w:t xml:space="preserve">RBAC</w:t>
            </w:r>
          </w:p>
        </w:tc>
        <w:tc>
          <w:tcPr>
            <w:tcW w:type="dxa" w:w="73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Role-Based Access Control – mécanisme de contrôle d'accès basé sur les rôles.</w:t>
            </w:r>
          </w:p>
        </w:tc>
      </w:tr>
      <w:tr>
        <w:tc>
          <w:tcPr>
            <w:tcW w:type="dxa" w:w="204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1F3864"/>
                <w:sz w:val="19"/>
                <w:szCs w:val="19"/>
              </w:rPr>
              <w:t xml:space="preserve">API REST</w:t>
            </w:r>
          </w:p>
        </w:tc>
        <w:tc>
          <w:tcPr>
            <w:tcW w:type="dxa" w:w="73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Interface de programmation permettant la communication entre le front-end et le back-end via HTTP.</w:t>
            </w:r>
          </w:p>
        </w:tc>
      </w:tr>
      <w:tr>
        <w:tc>
          <w:tcPr>
            <w:tcW w:type="dxa" w:w="204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1F3864"/>
                <w:sz w:val="19"/>
                <w:szCs w:val="19"/>
              </w:rPr>
              <w:t xml:space="preserve">SPA</w:t>
            </w:r>
          </w:p>
        </w:tc>
        <w:tc>
          <w:tcPr>
            <w:tcW w:type="dxa" w:w="73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Single Page Application – application web dont le contenu est chargé dynamiquement sans rechargement de page.</w:t>
            </w:r>
          </w:p>
        </w:tc>
      </w:tr>
      <w:tr>
        <w:tc>
          <w:tcPr>
            <w:tcW w:type="dxa" w:w="204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b/>
                <w:bCs/>
                <w:color w:val="1F3864"/>
                <w:sz w:val="19"/>
                <w:szCs w:val="19"/>
              </w:rPr>
              <w:t xml:space="preserve">SSR</w:t>
            </w:r>
          </w:p>
        </w:tc>
        <w:tc>
          <w:tcPr>
            <w:tcW w:type="dxa" w:w="7320"/>
            <w:tcBorders>
              <w:top w:val="single" w:color="BBBBBB" w:sz="1"/>
              <w:left w:val="single" w:color="BBBBBB" w:sz="1"/>
              <w:bottom w:val="single" w:color="BBBBBB" w:sz="1"/>
              <w:right w:val="single" w:color="BBBBBB" w:sz="1"/>
            </w:tcBorders>
            <w:shd w:fill="FFFFFF" w:val="clear"/>
          </w:tcPr>
          <w:p>
            <w:pPr>
              <w:spacing w:before="40" w:after="40"/>
            </w:pPr>
            <w:r>
              <w:rPr>
                <w:rFonts w:ascii="Arial" w:cs="Arial" w:eastAsia="Arial" w:hAnsi="Arial"/>
                <w:sz w:val="19"/>
                <w:szCs w:val="19"/>
              </w:rPr>
              <w:t xml:space="preserve">Server-Side Rendering – rendu côté serveur pour améliorer les performances et le référencement.</w:t>
            </w:r>
          </w:p>
        </w:tc>
      </w:tr>
      <w:tr>
        <w:tc>
          <w:tcPr>
            <w:tcW w:type="dxa" w:w="204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b/>
                <w:bCs/>
                <w:color w:val="1F3864"/>
                <w:sz w:val="19"/>
                <w:szCs w:val="19"/>
              </w:rPr>
              <w:t xml:space="preserve">MVC</w:t>
            </w:r>
          </w:p>
        </w:tc>
        <w:tc>
          <w:tcPr>
            <w:tcW w:type="dxa" w:w="7320"/>
            <w:tcBorders>
              <w:top w:val="single" w:color="BBBBBB" w:sz="1"/>
              <w:left w:val="single" w:color="BBBBBB" w:sz="1"/>
              <w:bottom w:val="single" w:color="BBBBBB" w:sz="1"/>
              <w:right w:val="single" w:color="BBBBBB" w:sz="1"/>
            </w:tcBorders>
            <w:shd w:fill="D6E4F0" w:val="clear"/>
          </w:tcPr>
          <w:p>
            <w:pPr>
              <w:spacing w:before="40" w:after="40"/>
            </w:pPr>
            <w:r>
              <w:rPr>
                <w:rFonts w:ascii="Arial" w:cs="Arial" w:eastAsia="Arial" w:hAnsi="Arial"/>
                <w:sz w:val="19"/>
                <w:szCs w:val="19"/>
              </w:rPr>
              <w:t xml:space="preserve">Model-View-Controller – patron d'architecture logicielle séparant données, affichage et logique.</w:t>
            </w:r>
          </w:p>
        </w:tc>
      </w:tr>
    </w:tbl>
    <w:p>
      <w:pPr>
        <w:spacing w:before="60" w:after="0"/>
      </w:pPr>
      <w:r>
        <w:rPr>
          <w:rFonts w:ascii="Arial" w:cs="Arial" w:eastAsia="Arial" w:hAnsi="Arial"/>
          <w:sz w:val="22"/>
          <w:szCs w:val="22"/>
        </w:rPr>
        <w:t xml:space="preserve"/>
      </w:r>
    </w:p>
    <w:p>
      <w:r>
        <w:br w:type="page"/>
      </w:r>
    </w:p>
    <w:p>
      <w:r>
        <w:br w:type="page"/>
      </w:r>
    </w:p>
    <w:p>
      <w:pPr>
        <w:pStyle w:val="Heading1"/>
      </w:pPr>
      <w:r>
        <w:t xml:space="preserve">10. Stratégie d'acquisition digitale &amp; génération de leads</w:t>
      </w:r>
    </w:p>
    <w:p>
      <w:pPr>
        <w:spacing w:before="80" w:after="80"/>
      </w:pPr>
      <w:r>
        <w:t xml:space="preserve">Ce chapitre définit la stratégie marketing digital adaptée au contexte géographique et sectoriel réel du projet : un marché cible principalement marocain, étendu aux pays francophones d'Afrique du Nord et d'Afrique subsaharienne, avec une ouverture secondaire vers quelques clients européens. La proposition de valeur centrale repose sur la disponibilité de pièces neuves, d'occasion et — différenciateur clé — d'équipements obsolètes introuvables localement.</w:t>
      </w:r>
    </w:p>
    <w:p>
      <w:pPr>
        <w:spacing w:before="100" w:after="100"/>
      </w:pPr>
    </w:p>
    <w:p>
      <w:pPr>
        <w:pStyle w:val="Heading2"/>
      </w:pPr>
      <w:r>
        <w:t xml:space="preserve">10.1 Contexte marché &amp; proposition de valeur différenciante</w:t>
      </w:r>
    </w:p>
    <w:p>
      <w:pPr>
        <w:spacing w:before="80" w:after="80"/>
      </w:pPr>
      <w:r>
        <w:t xml:space="preserve">Les industries marocaines (textile, agro-alimentaire, ciment, phosphates, énergie, BTP) exploitent fréquemment des équipements industriels âgés de 15 à 30 ans. Lorsqu'une pièce critique tombe en panne — variateur, carte électronique, disjoncteur, contacteur hors catalogue — le responsable de maintenance se heurte à un double obstacle : la pièce n'est plus fabriquée, et les délais d'importation depuis l'Europe atteignent 3 à 6 semaines, immobilisant la ligne de production à coût très élevé.</w:t>
      </w:r>
    </w:p>
    <w:p>
      <w:pPr>
        <w:spacing w:before="100" w:after="100"/>
      </w:pPr>
    </w:p>
    <w:p>
      <w:pPr>
        <w:spacing w:before="80" w:after="80"/>
      </w:pPr>
      <w:r>
        <w:rPr>
          <w:b/>
        </w:rPr>
        <w:t xml:space="preserve">La proposition de valeur de la plateforme répond directement à cette douleur marché :</w:t>
      </w:r>
    </w:p>
    <w:p>
      <w:pPr>
        <w:pStyle w:val="ListParagraph"/>
        <w:numPr>
          <w:ilvl w:val="0"/>
          <w:numId w:val="1"/>
        </w:numPr>
      </w:pPr>
      <w:r>
        <w:t xml:space="preserve">Disponibilité locale de pièces obsolètes et hors catalogue, normalement introuvables au Maroc.</w:t>
      </w:r>
    </w:p>
    <w:p>
      <w:pPr>
        <w:pStyle w:val="ListParagraph"/>
        <w:numPr>
          <w:ilvl w:val="0"/>
          <w:numId w:val="1"/>
        </w:numPr>
      </w:pPr>
      <w:r>
        <w:t xml:space="preserve">Stock d'occasion certifié et reconditionné à prix compétitif, alternative crédible à l'import neuf.</w:t>
      </w:r>
    </w:p>
    <w:p>
      <w:pPr>
        <w:pStyle w:val="ListParagraph"/>
        <w:numPr>
          <w:ilvl w:val="0"/>
          <w:numId w:val="1"/>
        </w:numPr>
      </w:pPr>
      <w:r>
        <w:t xml:space="preserve">Catalogue multi-familles couvrant l'ensemble des équipements industriels courants et rares.</w:t>
      </w:r>
    </w:p>
    <w:p>
      <w:pPr>
        <w:pStyle w:val="ListParagraph"/>
        <w:numPr>
          <w:ilvl w:val="0"/>
          <w:numId w:val="1"/>
        </w:numPr>
      </w:pPr>
      <w:r>
        <w:t xml:space="preserve">Réponse rapide via formulaire de devis en ligne, traitement sous 24h ouvrées.</w:t>
      </w:r>
    </w:p>
    <w:p>
      <w:pPr>
        <w:pStyle w:val="ListParagraph"/>
        <w:numPr>
          <w:ilvl w:val="0"/>
          <w:numId w:val="1"/>
        </w:numPr>
      </w:pPr>
      <w:r>
        <w:t xml:space="preserve">Livraison locale (Maroc) et export vers l'Afrique francophone et l'Europe.</w:t>
      </w:r>
    </w:p>
    <w:p>
      <w:pPr>
        <w:spacing w:before="100" w:after="100"/>
      </w:pPr>
    </w:p>
    <w:p>
      <w:pPr>
        <w:spacing w:before="60" w:after="60"/>
        <w:ind w:left="400"/>
      </w:pPr>
      <w:r>
        <w:rPr>
          <w:i/>
          <w:color w:val="555555"/>
        </w:rPr>
        <w:t xml:space="preserve">Avantage concurrentiel : aucun acteur local marocain ne propose un catalogue structuré, en ligne, combinant neuf / occasion / obsolète sur autant de familles. Ce positionnement "pièce de dépannage critique" justifie une prime de prix acceptée par les acheteurs industriels.</w:t>
      </w:r>
    </w:p>
    <w:p>
      <w:pPr>
        <w:spacing w:before="100" w:after="100"/>
      </w:pPr>
    </w:p>
    <w:p>
      <w:pPr>
        <w:pStyle w:val="Heading2"/>
      </w:pPr>
      <w:r>
        <w:t xml:space="preserve">10.2 Marchés cibles &amp; zones géographiques</w:t>
      </w:r>
    </w:p>
    <w:tbl>
      <w:tblPr>
        <w:tblW w:w="8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00"/>
        <w:gridCol w:w="1100"/>
        <w:gridCol w:w="2600"/>
        <w:gridCol w:w="1200"/>
        <w:gridCol w:w="2400"/>
      </w:tblGrid>
      <w:tr>
        <w:tc>
          <w:tcPr>
            <w:tcW w:w="1400" w:type="dxa"/>
            <w:shd w:val="clear" w:color="auto" w:fill="1F3864"/>
          </w:tcPr>
          <w:p>
            <w:r>
              <w:rPr>
                <w:b/>
                <w:color w:val="FFFFFF"/>
                <w:sz w:val="17"/>
                <w:szCs w:val="17"/>
              </w:rPr>
              <w:t xml:space="preserve">Zone</w:t>
            </w:r>
          </w:p>
        </w:tc>
        <w:tc>
          <w:tcPr>
            <w:tcW w:w="1100" w:type="dxa"/>
            <w:shd w:val="clear" w:color="auto" w:fill="1F3864"/>
          </w:tcPr>
          <w:p>
            <w:r>
              <w:rPr>
                <w:b/>
                <w:color w:val="FFFFFF"/>
                <w:sz w:val="17"/>
                <w:szCs w:val="17"/>
              </w:rPr>
              <w:t xml:space="preserve">Priorité</w:t>
            </w:r>
          </w:p>
        </w:tc>
        <w:tc>
          <w:tcPr>
            <w:tcW w:w="2600" w:type="dxa"/>
            <w:shd w:val="clear" w:color="auto" w:fill="1F3864"/>
          </w:tcPr>
          <w:p>
            <w:r>
              <w:rPr>
                <w:b/>
                <w:color w:val="FFFFFF"/>
                <w:sz w:val="17"/>
                <w:szCs w:val="17"/>
              </w:rPr>
              <w:t xml:space="preserve">Profil client type</w:t>
            </w:r>
          </w:p>
        </w:tc>
        <w:tc>
          <w:tcPr>
            <w:tcW w:w="1200" w:type="dxa"/>
            <w:shd w:val="clear" w:color="auto" w:fill="1F3864"/>
          </w:tcPr>
          <w:p>
            <w:r>
              <w:rPr>
                <w:b/>
                <w:color w:val="FFFFFF"/>
                <w:sz w:val="17"/>
                <w:szCs w:val="17"/>
              </w:rPr>
              <w:t xml:space="preserve">Potentiel</w:t>
            </w:r>
          </w:p>
        </w:tc>
        <w:tc>
          <w:tcPr>
            <w:tcW w:w="2400" w:type="dxa"/>
            <w:shd w:val="clear" w:color="auto" w:fill="1F3864"/>
          </w:tcPr>
          <w:p>
            <w:r>
              <w:rPr>
                <w:b/>
                <w:color w:val="FFFFFF"/>
                <w:sz w:val="17"/>
                <w:szCs w:val="17"/>
              </w:rPr>
              <w:t xml:space="preserve">Approche recommandée</w:t>
            </w:r>
          </w:p>
        </w:tc>
      </w:tr>
      <w:tr>
        <w:tc>
          <w:tcPr>
            <w:tcW w:w="1400" w:type="dxa"/>
            <w:shd w:val="clear" w:color="auto" w:fill="EEF4FB"/>
          </w:tcPr>
          <w:p>
            <w:r>
              <w:rPr>
                <w:color w:val="000000"/>
                <w:sz w:val="17"/>
                <w:szCs w:val="17"/>
              </w:rPr>
              <w:t xml:space="preserve">Maroc</w:t>
            </w:r>
          </w:p>
        </w:tc>
        <w:tc>
          <w:tcPr>
            <w:tcW w:w="1100" w:type="dxa"/>
            <w:shd w:val="clear" w:color="auto" w:fill="EEF4FB"/>
          </w:tcPr>
          <w:p>
            <w:r>
              <w:rPr>
                <w:color w:val="000000"/>
                <w:sz w:val="17"/>
                <w:szCs w:val="17"/>
              </w:rPr>
              <w:t xml:space="preserve">Primaire</w:t>
            </w:r>
          </w:p>
        </w:tc>
        <w:tc>
          <w:tcPr>
            <w:tcW w:w="2600" w:type="dxa"/>
            <w:shd w:val="clear" w:color="auto" w:fill="EEF4FB"/>
          </w:tcPr>
          <w:p>
            <w:r>
              <w:rPr>
                <w:color w:val="000000"/>
                <w:sz w:val="17"/>
                <w:szCs w:val="17"/>
              </w:rPr>
              <w:t xml:space="preserve">Responsables maintenance, resp. électriques, directeurs techniques, acheteurs industriels grandes usines et PME</w:t>
            </w:r>
          </w:p>
        </w:tc>
        <w:tc>
          <w:tcPr>
            <w:tcW w:w="1200" w:type="dxa"/>
            <w:shd w:val="clear" w:color="auto" w:fill="EEF4FB"/>
          </w:tcPr>
          <w:p>
            <w:r>
              <w:rPr>
                <w:color w:val="000000"/>
                <w:sz w:val="17"/>
                <w:szCs w:val="17"/>
              </w:rPr>
              <w:t xml:space="preserve">Très élevé</w:t>
            </w:r>
          </w:p>
        </w:tc>
        <w:tc>
          <w:tcPr>
            <w:tcW w:w="2400" w:type="dxa"/>
            <w:shd w:val="clear" w:color="auto" w:fill="EEF4FB"/>
          </w:tcPr>
          <w:p>
            <w:r>
              <w:rPr>
                <w:color w:val="000000"/>
                <w:sz w:val="17"/>
                <w:szCs w:val="17"/>
              </w:rPr>
              <w:t xml:space="preserve">LinkedIn, SEO, WhatsApp Business, prospection directe</w:t>
            </w:r>
          </w:p>
        </w:tc>
      </w:tr>
      <w:tr>
        <w:tc>
          <w:tcPr>
            <w:tcW w:w="1400" w:type="dxa"/>
            <w:shd w:val="clear" w:color="auto" w:fill="FFFFFF"/>
          </w:tcPr>
          <w:p>
            <w:r>
              <w:rPr>
                <w:color w:val="000000"/>
                <w:sz w:val="17"/>
                <w:szCs w:val="17"/>
              </w:rPr>
              <w:t xml:space="preserve">Afrique du Nord francophone (Tunisie, Algérie)</w:t>
            </w:r>
          </w:p>
        </w:tc>
        <w:tc>
          <w:tcPr>
            <w:tcW w:w="1100" w:type="dxa"/>
            <w:shd w:val="clear" w:color="auto" w:fill="FFFFFF"/>
          </w:tcPr>
          <w:p>
            <w:r>
              <w:rPr>
                <w:color w:val="000000"/>
                <w:sz w:val="17"/>
                <w:szCs w:val="17"/>
              </w:rPr>
              <w:t xml:space="preserve">Secondaire</w:t>
            </w:r>
          </w:p>
        </w:tc>
        <w:tc>
          <w:tcPr>
            <w:tcW w:w="2600" w:type="dxa"/>
            <w:shd w:val="clear" w:color="auto" w:fill="FFFFFF"/>
          </w:tcPr>
          <w:p>
            <w:r>
              <w:rPr>
                <w:color w:val="000000"/>
                <w:sz w:val="17"/>
                <w:szCs w:val="17"/>
              </w:rPr>
              <w:t xml:space="preserve">Profils similaires, industries textiles, agroalim., énergie</w:t>
            </w:r>
          </w:p>
        </w:tc>
        <w:tc>
          <w:tcPr>
            <w:tcW w:w="1200" w:type="dxa"/>
            <w:shd w:val="clear" w:color="auto" w:fill="FFFFFF"/>
          </w:tcPr>
          <w:p>
            <w:r>
              <w:rPr>
                <w:color w:val="000000"/>
                <w:sz w:val="17"/>
                <w:szCs w:val="17"/>
              </w:rPr>
              <w:t xml:space="preserve">Élevé</w:t>
            </w:r>
          </w:p>
        </w:tc>
        <w:tc>
          <w:tcPr>
            <w:tcW w:w="2400" w:type="dxa"/>
            <w:shd w:val="clear" w:color="auto" w:fill="FFFFFF"/>
          </w:tcPr>
          <w:p>
            <w:r>
              <w:rPr>
                <w:color w:val="000000"/>
                <w:sz w:val="17"/>
                <w:szCs w:val="17"/>
              </w:rPr>
              <w:t xml:space="preserve">LinkedIn ciblé, SEO, email, export direct</w:t>
            </w:r>
          </w:p>
        </w:tc>
      </w:tr>
      <w:tr>
        <w:tc>
          <w:tcPr>
            <w:tcW w:w="1400" w:type="dxa"/>
            <w:shd w:val="clear" w:color="auto" w:fill="EEF4FB"/>
          </w:tcPr>
          <w:p>
            <w:r>
              <w:rPr>
                <w:color w:val="000000"/>
                <w:sz w:val="17"/>
                <w:szCs w:val="17"/>
              </w:rPr>
              <w:t xml:space="preserve">Afrique subsaharienne francophone (Sénégal, Côte d'Ivoire, Cameroun...)</w:t>
            </w:r>
          </w:p>
        </w:tc>
        <w:tc>
          <w:tcPr>
            <w:tcW w:w="1100" w:type="dxa"/>
            <w:shd w:val="clear" w:color="auto" w:fill="EEF4FB"/>
          </w:tcPr>
          <w:p>
            <w:r>
              <w:rPr>
                <w:color w:val="000000"/>
                <w:sz w:val="17"/>
                <w:szCs w:val="17"/>
              </w:rPr>
              <w:t xml:space="preserve">Tertiaire</w:t>
            </w:r>
          </w:p>
        </w:tc>
        <w:tc>
          <w:tcPr>
            <w:tcW w:w="2600" w:type="dxa"/>
            <w:shd w:val="clear" w:color="auto" w:fill="EEF4FB"/>
          </w:tcPr>
          <w:p>
            <w:r>
              <w:rPr>
                <w:color w:val="000000"/>
                <w:sz w:val="17"/>
                <w:szCs w:val="17"/>
              </w:rPr>
              <w:t xml:space="preserve">Directeurs techniques, responsables de site mines / énergie / agroalim.</w:t>
            </w:r>
          </w:p>
        </w:tc>
        <w:tc>
          <w:tcPr>
            <w:tcW w:w="1200" w:type="dxa"/>
            <w:shd w:val="clear" w:color="auto" w:fill="EEF4FB"/>
          </w:tcPr>
          <w:p>
            <w:r>
              <w:rPr>
                <w:color w:val="000000"/>
                <w:sz w:val="17"/>
                <w:szCs w:val="17"/>
              </w:rPr>
              <w:t xml:space="preserve">Moyen à fort</w:t>
            </w:r>
          </w:p>
        </w:tc>
        <w:tc>
          <w:tcPr>
            <w:tcW w:w="2400" w:type="dxa"/>
            <w:shd w:val="clear" w:color="auto" w:fill="EEF4FB"/>
          </w:tcPr>
          <w:p>
            <w:r>
              <w:rPr>
                <w:color w:val="000000"/>
                <w:sz w:val="17"/>
                <w:szCs w:val="17"/>
              </w:rPr>
              <w:t xml:space="preserve">LinkedIn, partenaires locaux, email</w:t>
            </w:r>
          </w:p>
        </w:tc>
      </w:tr>
      <w:tr>
        <w:tc>
          <w:tcPr>
            <w:tcW w:w="1400" w:type="dxa"/>
            <w:shd w:val="clear" w:color="auto" w:fill="FFFFFF"/>
          </w:tcPr>
          <w:p>
            <w:r>
              <w:rPr>
                <w:color w:val="000000"/>
                <w:sz w:val="17"/>
                <w:szCs w:val="17"/>
              </w:rPr>
              <w:t xml:space="preserve">Europe (France, Belgique, Espagne...)</w:t>
            </w:r>
          </w:p>
        </w:tc>
        <w:tc>
          <w:tcPr>
            <w:tcW w:w="1100" w:type="dxa"/>
            <w:shd w:val="clear" w:color="auto" w:fill="FFFFFF"/>
          </w:tcPr>
          <w:p>
            <w:r>
              <w:rPr>
                <w:color w:val="000000"/>
                <w:sz w:val="17"/>
                <w:szCs w:val="17"/>
              </w:rPr>
              <w:t xml:space="preserve">Opportuniste</w:t>
            </w:r>
          </w:p>
        </w:tc>
        <w:tc>
          <w:tcPr>
            <w:tcW w:w="2600" w:type="dxa"/>
            <w:shd w:val="clear" w:color="auto" w:fill="FFFFFF"/>
          </w:tcPr>
          <w:p>
            <w:r>
              <w:rPr>
                <w:color w:val="000000"/>
                <w:sz w:val="17"/>
                <w:szCs w:val="17"/>
              </w:rPr>
              <w:t xml:space="preserve">Acheteurs industriels cherchant pièces obsolètes introuvables en Europe</w:t>
            </w:r>
          </w:p>
        </w:tc>
        <w:tc>
          <w:tcPr>
            <w:tcW w:w="1200" w:type="dxa"/>
            <w:shd w:val="clear" w:color="auto" w:fill="FFFFFF"/>
          </w:tcPr>
          <w:p>
            <w:r>
              <w:rPr>
                <w:color w:val="000000"/>
                <w:sz w:val="17"/>
                <w:szCs w:val="17"/>
              </w:rPr>
              <w:t xml:space="preserve">Ciblé</w:t>
            </w:r>
          </w:p>
        </w:tc>
        <w:tc>
          <w:tcPr>
            <w:tcW w:w="2400" w:type="dxa"/>
            <w:shd w:val="clear" w:color="auto" w:fill="FFFFFF"/>
          </w:tcPr>
          <w:p>
            <w:r>
              <w:rPr>
                <w:color w:val="000000"/>
                <w:sz w:val="17"/>
                <w:szCs w:val="17"/>
              </w:rPr>
              <w:t xml:space="preserve">SEO sur références exactes, Europages, DirectIndustry</w:t>
            </w:r>
          </w:p>
        </w:tc>
      </w:tr>
    </w:tbl>
    <w:p>
      <w:pPr>
        <w:spacing w:before="100" w:after="100"/>
      </w:pPr>
    </w:p>
    <w:p>
      <w:pPr>
        <w:spacing w:before="60" w:after="60"/>
        <w:ind w:left="400"/>
      </w:pPr>
      <w:r>
        <w:rPr>
          <w:i/>
          <w:color w:val="555555"/>
        </w:rPr>
        <w:t xml:space="preserve">Le marché européen, bien que secondaire en volume, présente un fort intérêt sur le segment "obsolète introuvable" : les usines européennes cherchent également des pièces hors catalogue et acceptent de s'approvisionner hors UE si la qualité et la traçabilité sont garanties.</w:t>
      </w:r>
    </w:p>
    <w:p>
      <w:pPr>
        <w:spacing w:before="100" w:after="100"/>
      </w:pPr>
    </w:p>
    <w:p>
      <w:pPr>
        <w:pStyle w:val="Heading2"/>
      </w:pPr>
      <w:r>
        <w:t xml:space="preserve">10.3 Personas acheteurs industriels</w:t>
      </w:r>
    </w:p>
    <w:p>
      <w:pPr>
        <w:spacing w:before="80" w:after="80"/>
      </w:pPr>
      <w:r>
        <w:t xml:space="preserve">Les décideurs et prescripteurs sont identifiés en fonction de leur rôle dans le cycle d'achat industriel. Tous peuvent s'intéresser à la plateforme dès lors qu'ils font face à un besoin de pièce critique, rare ou obsolète.</w:t>
      </w:r>
    </w:p>
    <w:p>
      <w:pPr>
        <w:spacing w:before="100" w:after="100"/>
      </w:pPr>
    </w:p>
    <w:tbl>
      <w:tblPr>
        <w:tblW w:w="92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600"/>
        <w:gridCol w:w="1700"/>
        <w:gridCol w:w="1900"/>
        <w:gridCol w:w="2000"/>
        <w:gridCol w:w="2000"/>
      </w:tblGrid>
      <w:tr>
        <w:tc>
          <w:tcPr>
            <w:tcW w:w="1600" w:type="dxa"/>
            <w:shd w:val="clear" w:color="auto" w:fill="1F3864"/>
          </w:tcPr>
          <w:p>
            <w:r>
              <w:rPr>
                <w:b/>
                <w:color w:val="FFFFFF"/>
                <w:sz w:val="17"/>
                <w:szCs w:val="17"/>
              </w:rPr>
              <w:t xml:space="preserve">Persona</w:t>
            </w:r>
          </w:p>
        </w:tc>
        <w:tc>
          <w:tcPr>
            <w:tcW w:w="1700" w:type="dxa"/>
            <w:shd w:val="clear" w:color="auto" w:fill="1F3864"/>
          </w:tcPr>
          <w:p>
            <w:r>
              <w:rPr>
                <w:b/>
                <w:color w:val="FFFFFF"/>
                <w:sz w:val="17"/>
                <w:szCs w:val="17"/>
              </w:rPr>
              <w:t xml:space="preserve">Fonction type</w:t>
            </w:r>
          </w:p>
        </w:tc>
        <w:tc>
          <w:tcPr>
            <w:tcW w:w="1900" w:type="dxa"/>
            <w:shd w:val="clear" w:color="auto" w:fill="1F3864"/>
          </w:tcPr>
          <w:p>
            <w:r>
              <w:rPr>
                <w:b/>
                <w:color w:val="FFFFFF"/>
                <w:sz w:val="17"/>
                <w:szCs w:val="17"/>
              </w:rPr>
              <w:t xml:space="preserve">Contexte d'achat</w:t>
            </w:r>
          </w:p>
        </w:tc>
        <w:tc>
          <w:tcPr>
            <w:tcW w:w="2000" w:type="dxa"/>
            <w:shd w:val="clear" w:color="auto" w:fill="1F3864"/>
          </w:tcPr>
          <w:p>
            <w:r>
              <w:rPr>
                <w:b/>
                <w:color w:val="FFFFFF"/>
                <w:sz w:val="17"/>
                <w:szCs w:val="17"/>
              </w:rPr>
              <w:t xml:space="preserve">Déclencheur principal</w:t>
            </w:r>
          </w:p>
        </w:tc>
        <w:tc>
          <w:tcPr>
            <w:tcW w:w="2000" w:type="dxa"/>
            <w:shd w:val="clear" w:color="auto" w:fill="1F3864"/>
          </w:tcPr>
          <w:p>
            <w:r>
              <w:rPr>
                <w:b/>
                <w:color w:val="FFFFFF"/>
                <w:sz w:val="17"/>
                <w:szCs w:val="17"/>
              </w:rPr>
              <w:t xml:space="preserve">Canal préférentiel</w:t>
            </w:r>
          </w:p>
        </w:tc>
      </w:tr>
      <w:tr>
        <w:tc>
          <w:tcPr>
            <w:tcW w:w="1600" w:type="dxa"/>
            <w:shd w:val="clear" w:color="auto" w:fill="EEF4FB"/>
          </w:tcPr>
          <w:p>
            <w:r>
              <w:rPr>
                <w:color w:val="000000"/>
                <w:sz w:val="17"/>
                <w:szCs w:val="17"/>
              </w:rPr>
              <w:t xml:space="preserve">Responsable de maintenance</w:t>
            </w:r>
          </w:p>
        </w:tc>
        <w:tc>
          <w:tcPr>
            <w:tcW w:w="1700" w:type="dxa"/>
            <w:shd w:val="clear" w:color="auto" w:fill="EEF4FB"/>
          </w:tcPr>
          <w:p>
            <w:r>
              <w:rPr>
                <w:color w:val="000000"/>
                <w:sz w:val="17"/>
                <w:szCs w:val="17"/>
              </w:rPr>
              <w:t xml:space="preserve">Chef de maintenance, technicien senior</w:t>
            </w:r>
          </w:p>
        </w:tc>
        <w:tc>
          <w:tcPr>
            <w:tcW w:w="1900" w:type="dxa"/>
            <w:shd w:val="clear" w:color="auto" w:fill="EEF4FB"/>
          </w:tcPr>
          <w:p>
            <w:r>
              <w:rPr>
                <w:color w:val="000000"/>
                <w:sz w:val="17"/>
                <w:szCs w:val="17"/>
              </w:rPr>
              <w:t xml:space="preserve">Panne machine urgente, remplacement préventif</w:t>
            </w:r>
          </w:p>
        </w:tc>
        <w:tc>
          <w:tcPr>
            <w:tcW w:w="2000" w:type="dxa"/>
            <w:shd w:val="clear" w:color="auto" w:fill="EEF4FB"/>
          </w:tcPr>
          <w:p>
            <w:r>
              <w:rPr>
                <w:color w:val="000000"/>
                <w:sz w:val="17"/>
                <w:szCs w:val="17"/>
              </w:rPr>
              <w:t xml:space="preserve">Équipement hors service, pièce obsolète en rupture</w:t>
            </w:r>
          </w:p>
        </w:tc>
        <w:tc>
          <w:tcPr>
            <w:tcW w:w="2000" w:type="dxa"/>
            <w:shd w:val="clear" w:color="auto" w:fill="EEF4FB"/>
          </w:tcPr>
          <w:p>
            <w:r>
              <w:rPr>
                <w:color w:val="000000"/>
                <w:sz w:val="17"/>
                <w:szCs w:val="17"/>
              </w:rPr>
              <w:t xml:space="preserve">LinkedIn, Google (référence exacte), WhatsApp</w:t>
            </w:r>
          </w:p>
        </w:tc>
      </w:tr>
      <w:tr>
        <w:tc>
          <w:tcPr>
            <w:tcW w:w="1600" w:type="dxa"/>
            <w:shd w:val="clear" w:color="auto" w:fill="FFFFFF"/>
          </w:tcPr>
          <w:p>
            <w:r>
              <w:rPr>
                <w:color w:val="000000"/>
                <w:sz w:val="17"/>
                <w:szCs w:val="17"/>
              </w:rPr>
              <w:t xml:space="preserve">Responsable électrique / automatisme / instrumentation</w:t>
            </w:r>
          </w:p>
        </w:tc>
        <w:tc>
          <w:tcPr>
            <w:tcW w:w="1700" w:type="dxa"/>
            <w:shd w:val="clear" w:color="auto" w:fill="FFFFFF"/>
          </w:tcPr>
          <w:p>
            <w:r>
              <w:rPr>
                <w:color w:val="000000"/>
                <w:sz w:val="17"/>
                <w:szCs w:val="17"/>
              </w:rPr>
              <w:t xml:space="preserve">Ingénieur électrique, resp. automatisme</w:t>
            </w:r>
          </w:p>
        </w:tc>
        <w:tc>
          <w:tcPr>
            <w:tcW w:w="1900" w:type="dxa"/>
            <w:shd w:val="clear" w:color="auto" w:fill="FFFFFF"/>
          </w:tcPr>
          <w:p>
            <w:r>
              <w:rPr>
                <w:color w:val="000000"/>
                <w:sz w:val="17"/>
                <w:szCs w:val="17"/>
              </w:rPr>
              <w:t xml:space="preserve">Mise à niveau équipement, remplacement carte défectueuse</w:t>
            </w:r>
          </w:p>
        </w:tc>
        <w:tc>
          <w:tcPr>
            <w:tcW w:w="2000" w:type="dxa"/>
            <w:shd w:val="clear" w:color="auto" w:fill="FFFFFF"/>
          </w:tcPr>
          <w:p>
            <w:r>
              <w:rPr>
                <w:color w:val="000000"/>
                <w:sz w:val="17"/>
                <w:szCs w:val="17"/>
              </w:rPr>
              <w:t xml:space="preserve">Carte ou module hors catalogue, délai import inacceptable</w:t>
            </w:r>
          </w:p>
        </w:tc>
        <w:tc>
          <w:tcPr>
            <w:tcW w:w="2000" w:type="dxa"/>
            <w:shd w:val="clear" w:color="auto" w:fill="FFFFFF"/>
          </w:tcPr>
          <w:p>
            <w:r>
              <w:rPr>
                <w:color w:val="000000"/>
                <w:sz w:val="17"/>
                <w:szCs w:val="17"/>
              </w:rPr>
              <w:t xml:space="preserve">LinkedIn, Google, DirectIndustry</w:t>
            </w:r>
          </w:p>
        </w:tc>
      </w:tr>
      <w:tr>
        <w:tc>
          <w:tcPr>
            <w:tcW w:w="1600" w:type="dxa"/>
            <w:shd w:val="clear" w:color="auto" w:fill="EEF4FB"/>
          </w:tcPr>
          <w:p>
            <w:r>
              <w:rPr>
                <w:color w:val="000000"/>
                <w:sz w:val="17"/>
                <w:szCs w:val="17"/>
              </w:rPr>
              <w:t xml:space="preserve">Directeur technique / Directeur de production</w:t>
            </w:r>
          </w:p>
        </w:tc>
        <w:tc>
          <w:tcPr>
            <w:tcW w:w="1700" w:type="dxa"/>
            <w:shd w:val="clear" w:color="auto" w:fill="EEF4FB"/>
          </w:tcPr>
          <w:p>
            <w:r>
              <w:rPr>
                <w:color w:val="000000"/>
                <w:sz w:val="17"/>
                <w:szCs w:val="17"/>
              </w:rPr>
              <w:t xml:space="preserve">DT, DAF technique, chef de projet</w:t>
            </w:r>
          </w:p>
        </w:tc>
        <w:tc>
          <w:tcPr>
            <w:tcW w:w="1900" w:type="dxa"/>
            <w:shd w:val="clear" w:color="auto" w:fill="EEF4FB"/>
          </w:tcPr>
          <w:p>
            <w:r>
              <w:rPr>
                <w:color w:val="000000"/>
                <w:sz w:val="17"/>
                <w:szCs w:val="17"/>
              </w:rPr>
              <w:t xml:space="preserve">Arbitrage make-or-buy, décision d'achat stratégique</w:t>
            </w:r>
          </w:p>
        </w:tc>
        <w:tc>
          <w:tcPr>
            <w:tcW w:w="2000" w:type="dxa"/>
            <w:shd w:val="clear" w:color="auto" w:fill="EEF4FB"/>
          </w:tcPr>
          <w:p>
            <w:r>
              <w:rPr>
                <w:color w:val="000000"/>
                <w:sz w:val="17"/>
                <w:szCs w:val="17"/>
              </w:rPr>
              <w:t xml:space="preserve">Coût immobilisation ligne &gt; coût pièce</w:t>
            </w:r>
          </w:p>
        </w:tc>
        <w:tc>
          <w:tcPr>
            <w:tcW w:w="2000" w:type="dxa"/>
            <w:shd w:val="clear" w:color="auto" w:fill="EEF4FB"/>
          </w:tcPr>
          <w:p>
            <w:r>
              <w:rPr>
                <w:color w:val="000000"/>
                <w:sz w:val="17"/>
                <w:szCs w:val="17"/>
              </w:rPr>
              <w:t xml:space="preserve">LinkedIn, email, contact commercial direct</w:t>
            </w:r>
          </w:p>
        </w:tc>
      </w:tr>
      <w:tr>
        <w:tc>
          <w:tcPr>
            <w:tcW w:w="1600" w:type="dxa"/>
            <w:shd w:val="clear" w:color="auto" w:fill="FFFFFF"/>
          </w:tcPr>
          <w:p>
            <w:r>
              <w:rPr>
                <w:color w:val="000000"/>
                <w:sz w:val="17"/>
                <w:szCs w:val="17"/>
              </w:rPr>
              <w:t xml:space="preserve">Acheteur industriel / Service achat</w:t>
            </w:r>
          </w:p>
        </w:tc>
        <w:tc>
          <w:tcPr>
            <w:tcW w:w="1700" w:type="dxa"/>
            <w:shd w:val="clear" w:color="auto" w:fill="FFFFFF"/>
          </w:tcPr>
          <w:p>
            <w:r>
              <w:rPr>
                <w:color w:val="000000"/>
                <w:sz w:val="17"/>
                <w:szCs w:val="17"/>
              </w:rPr>
              <w:t xml:space="preserve">Acheteur, approvisionneur</w:t>
            </w:r>
          </w:p>
        </w:tc>
        <w:tc>
          <w:tcPr>
            <w:tcW w:w="1900" w:type="dxa"/>
            <w:shd w:val="clear" w:color="auto" w:fill="FFFFFF"/>
          </w:tcPr>
          <w:p>
            <w:r>
              <w:rPr>
                <w:color w:val="000000"/>
                <w:sz w:val="17"/>
                <w:szCs w:val="17"/>
              </w:rPr>
              <w:t xml:space="preserve">Sourcing fournisseurs, consultation appels d'offres</w:t>
            </w:r>
          </w:p>
        </w:tc>
        <w:tc>
          <w:tcPr>
            <w:tcW w:w="2000" w:type="dxa"/>
            <w:shd w:val="clear" w:color="auto" w:fill="FFFFFF"/>
          </w:tcPr>
          <w:p>
            <w:r>
              <w:rPr>
                <w:color w:val="000000"/>
                <w:sz w:val="17"/>
                <w:szCs w:val="17"/>
              </w:rPr>
              <w:t xml:space="preserve">Liste pièces critiques à sourcer, réduction délais</w:t>
            </w:r>
          </w:p>
        </w:tc>
        <w:tc>
          <w:tcPr>
            <w:tcW w:w="2000" w:type="dxa"/>
            <w:shd w:val="clear" w:color="auto" w:fill="FFFFFF"/>
          </w:tcPr>
          <w:p>
            <w:r>
              <w:rPr>
                <w:color w:val="000000"/>
                <w:sz w:val="17"/>
                <w:szCs w:val="17"/>
              </w:rPr>
              <w:t xml:space="preserve">Europages, Kompass, email B2B</w:t>
            </w:r>
          </w:p>
        </w:tc>
      </w:tr>
      <w:tr>
        <w:tc>
          <w:tcPr>
            <w:tcW w:w="1600" w:type="dxa"/>
            <w:shd w:val="clear" w:color="auto" w:fill="EEF4FB"/>
          </w:tcPr>
          <w:p>
            <w:r>
              <w:rPr>
                <w:color w:val="000000"/>
                <w:sz w:val="17"/>
                <w:szCs w:val="17"/>
              </w:rPr>
              <w:t xml:space="preserve">Installateur / Intégrateur</w:t>
            </w:r>
          </w:p>
        </w:tc>
        <w:tc>
          <w:tcPr>
            <w:tcW w:w="1700" w:type="dxa"/>
            <w:shd w:val="clear" w:color="auto" w:fill="EEF4FB"/>
          </w:tcPr>
          <w:p>
            <w:r>
              <w:rPr>
                <w:color w:val="000000"/>
                <w:sz w:val="17"/>
                <w:szCs w:val="17"/>
              </w:rPr>
              <w:t xml:space="preserve">Bureau d'études, intégrateur systèmes</w:t>
            </w:r>
          </w:p>
        </w:tc>
        <w:tc>
          <w:tcPr>
            <w:tcW w:w="1900" w:type="dxa"/>
            <w:shd w:val="clear" w:color="auto" w:fill="EEF4FB"/>
          </w:tcPr>
          <w:p>
            <w:r>
              <w:rPr>
                <w:color w:val="000000"/>
                <w:sz w:val="17"/>
                <w:szCs w:val="17"/>
              </w:rPr>
              <w:t xml:space="preserve">Projet d'installation ou rénovation industrielle</w:t>
            </w:r>
          </w:p>
        </w:tc>
        <w:tc>
          <w:tcPr>
            <w:tcW w:w="2000" w:type="dxa"/>
            <w:shd w:val="clear" w:color="auto" w:fill="EEF4FB"/>
          </w:tcPr>
          <w:p>
            <w:r>
              <w:rPr>
                <w:color w:val="000000"/>
                <w:sz w:val="17"/>
                <w:szCs w:val="17"/>
              </w:rPr>
              <w:t xml:space="preserve">Besoin pièce spécifique en quantité limitée</w:t>
            </w:r>
          </w:p>
        </w:tc>
        <w:tc>
          <w:tcPr>
            <w:tcW w:w="2000" w:type="dxa"/>
            <w:shd w:val="clear" w:color="auto" w:fill="EEF4FB"/>
          </w:tcPr>
          <w:p>
            <w:r>
              <w:rPr>
                <w:color w:val="000000"/>
                <w:sz w:val="17"/>
                <w:szCs w:val="17"/>
              </w:rPr>
              <w:t xml:space="preserve">Google, Facebook, WhatsApp Business</w:t>
            </w:r>
          </w:p>
        </w:tc>
      </w:tr>
      <w:tr>
        <w:tc>
          <w:tcPr>
            <w:tcW w:w="1600" w:type="dxa"/>
            <w:shd w:val="clear" w:color="auto" w:fill="FFFFFF"/>
          </w:tcPr>
          <w:p>
            <w:r>
              <w:rPr>
                <w:color w:val="000000"/>
                <w:sz w:val="17"/>
                <w:szCs w:val="17"/>
              </w:rPr>
              <w:t xml:space="preserve">Revendeur / Négociant en matériel</w:t>
            </w:r>
          </w:p>
        </w:tc>
        <w:tc>
          <w:tcPr>
            <w:tcW w:w="1700" w:type="dxa"/>
            <w:shd w:val="clear" w:color="auto" w:fill="FFFFFF"/>
          </w:tcPr>
          <w:p>
            <w:r>
              <w:rPr>
                <w:color w:val="000000"/>
                <w:sz w:val="17"/>
                <w:szCs w:val="17"/>
              </w:rPr>
              <w:t xml:space="preserve">Distributeur local, revendeur technique</w:t>
            </w:r>
          </w:p>
        </w:tc>
        <w:tc>
          <w:tcPr>
            <w:tcW w:w="1900" w:type="dxa"/>
            <w:shd w:val="clear" w:color="auto" w:fill="FFFFFF"/>
          </w:tcPr>
          <w:p>
            <w:r>
              <w:rPr>
                <w:color w:val="000000"/>
                <w:sz w:val="17"/>
                <w:szCs w:val="17"/>
              </w:rPr>
              <w:t xml:space="preserve">Approvisionnement stock revendeur, sourcing client</w:t>
            </w:r>
          </w:p>
        </w:tc>
        <w:tc>
          <w:tcPr>
            <w:tcW w:w="2000" w:type="dxa"/>
            <w:shd w:val="clear" w:color="auto" w:fill="FFFFFF"/>
          </w:tcPr>
          <w:p>
            <w:r>
              <w:rPr>
                <w:color w:val="000000"/>
                <w:sz w:val="17"/>
                <w:szCs w:val="17"/>
              </w:rPr>
              <w:t xml:space="preserve">Demande client qu'il ne peut honorer localement</w:t>
            </w:r>
          </w:p>
        </w:tc>
        <w:tc>
          <w:tcPr>
            <w:tcW w:w="2000" w:type="dxa"/>
            <w:shd w:val="clear" w:color="auto" w:fill="FFFFFF"/>
          </w:tcPr>
          <w:p>
            <w:r>
              <w:rPr>
                <w:color w:val="000000"/>
                <w:sz w:val="17"/>
                <w:szCs w:val="17"/>
              </w:rPr>
              <w:t xml:space="preserve">Contact commercial direct, email, WhatsApp</w:t>
            </w:r>
          </w:p>
        </w:tc>
      </w:tr>
    </w:tbl>
    <w:p>
      <w:pPr>
        <w:spacing w:before="100" w:after="100"/>
      </w:pPr>
    </w:p>
    <w:p>
      <w:pPr>
        <w:pStyle w:val="Heading2"/>
      </w:pPr>
      <w:r>
        <w:t xml:space="preserve">10.4 Benchmark concurrents &amp; références sectorielles</w:t>
      </w:r>
    </w:p>
    <w:p>
      <w:pPr>
        <w:spacing w:before="80" w:after="80"/>
      </w:pPr>
      <w:r>
        <w:t xml:space="preserve">Aucun acteur marocain ne propose actuellement un catalogue structuré et en ligne de cette nature. La concurrence directe est donc faible localement. Les références à analyser sont des acteurs européens et américains positionnés sur l'obsolète et l'occasion industrielle.</w:t>
      </w:r>
    </w:p>
    <w:p>
      <w:pPr>
        <w:spacing w:before="100" w:after="100"/>
      </w:pPr>
    </w:p>
    <w:tbl>
      <w:tblPr>
        <w:tblW w:w="82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00"/>
        <w:gridCol w:w="1000"/>
        <w:gridCol w:w="2100"/>
        <w:gridCol w:w="3000"/>
      </w:tblGrid>
      <w:tr>
        <w:tc>
          <w:tcPr>
            <w:tcW w:w="2100" w:type="dxa"/>
            <w:shd w:val="clear" w:color="auto" w:fill="1F3864"/>
          </w:tcPr>
          <w:p>
            <w:r>
              <w:rPr>
                <w:b/>
                <w:color w:val="FFFFFF"/>
                <w:sz w:val="17"/>
                <w:szCs w:val="17"/>
              </w:rPr>
              <w:t xml:space="preserve">Acteur</w:t>
            </w:r>
          </w:p>
        </w:tc>
        <w:tc>
          <w:tcPr>
            <w:tcW w:w="1000" w:type="dxa"/>
            <w:shd w:val="clear" w:color="auto" w:fill="1F3864"/>
          </w:tcPr>
          <w:p>
            <w:r>
              <w:rPr>
                <w:b/>
                <w:color w:val="FFFFFF"/>
                <w:sz w:val="17"/>
                <w:szCs w:val="17"/>
              </w:rPr>
              <w:t xml:space="preserve">Pays</w:t>
            </w:r>
          </w:p>
        </w:tc>
        <w:tc>
          <w:tcPr>
            <w:tcW w:w="2100" w:type="dxa"/>
            <w:shd w:val="clear" w:color="auto" w:fill="1F3864"/>
          </w:tcPr>
          <w:p>
            <w:r>
              <w:rPr>
                <w:b/>
                <w:color w:val="FFFFFF"/>
                <w:sz w:val="17"/>
                <w:szCs w:val="17"/>
              </w:rPr>
              <w:t xml:space="preserve">Positionnement</w:t>
            </w:r>
          </w:p>
        </w:tc>
        <w:tc>
          <w:tcPr>
            <w:tcW w:w="3000" w:type="dxa"/>
            <w:shd w:val="clear" w:color="auto" w:fill="1F3864"/>
          </w:tcPr>
          <w:p>
            <w:r>
              <w:rPr>
                <w:b/>
                <w:color w:val="FFFFFF"/>
                <w:sz w:val="17"/>
                <w:szCs w:val="17"/>
              </w:rPr>
              <w:t xml:space="preserve">Ce qui s'applique à notre contexte</w:t>
            </w:r>
          </w:p>
        </w:tc>
      </w:tr>
      <w:tr>
        <w:tc>
          <w:tcPr>
            <w:tcW w:w="2100" w:type="dxa"/>
            <w:shd w:val="clear" w:color="auto" w:fill="EEF4FB"/>
          </w:tcPr>
          <w:p>
            <w:r>
              <w:rPr>
                <w:color w:val="000000"/>
                <w:sz w:val="17"/>
                <w:szCs w:val="17"/>
              </w:rPr>
              <w:t xml:space="preserve">Surplex / Revelation Machinery</w:t>
            </w:r>
          </w:p>
        </w:tc>
        <w:tc>
          <w:tcPr>
            <w:tcW w:w="1000" w:type="dxa"/>
            <w:shd w:val="clear" w:color="auto" w:fill="EEF4FB"/>
          </w:tcPr>
          <w:p>
            <w:r>
              <w:rPr>
                <w:color w:val="000000"/>
                <w:sz w:val="17"/>
                <w:szCs w:val="17"/>
              </w:rPr>
              <w:t xml:space="preserve">EU / US</w:t>
            </w:r>
          </w:p>
        </w:tc>
        <w:tc>
          <w:tcPr>
            <w:tcW w:w="2100" w:type="dxa"/>
            <w:shd w:val="clear" w:color="auto" w:fill="EEF4FB"/>
          </w:tcPr>
          <w:p>
            <w:r>
              <w:rPr>
                <w:color w:val="000000"/>
                <w:sz w:val="17"/>
                <w:szCs w:val="17"/>
              </w:rPr>
              <w:t xml:space="preserve">Machines et équipements industriels d'occasion</w:t>
            </w:r>
          </w:p>
        </w:tc>
        <w:tc>
          <w:tcPr>
            <w:tcW w:w="3000" w:type="dxa"/>
            <w:shd w:val="clear" w:color="auto" w:fill="EEF4FB"/>
          </w:tcPr>
          <w:p>
            <w:r>
              <w:rPr>
                <w:color w:val="000000"/>
                <w:sz w:val="17"/>
                <w:szCs w:val="17"/>
              </w:rPr>
              <w:t xml:space="preserve">SEO sur références exactes + visuels produits + Facebook pour l'occasion</w:t>
            </w:r>
          </w:p>
        </w:tc>
      </w:tr>
      <w:tr>
        <w:tc>
          <w:tcPr>
            <w:tcW w:w="2100" w:type="dxa"/>
            <w:shd w:val="clear" w:color="auto" w:fill="FFFFFF"/>
          </w:tcPr>
          <w:p>
            <w:r>
              <w:rPr>
                <w:color w:val="000000"/>
                <w:sz w:val="17"/>
                <w:szCs w:val="17"/>
              </w:rPr>
              <w:t xml:space="preserve">Radwell International</w:t>
            </w:r>
          </w:p>
        </w:tc>
        <w:tc>
          <w:tcPr>
            <w:tcW w:w="1000" w:type="dxa"/>
            <w:shd w:val="clear" w:color="auto" w:fill="FFFFFF"/>
          </w:tcPr>
          <w:p>
            <w:r>
              <w:rPr>
                <w:color w:val="000000"/>
                <w:sz w:val="17"/>
                <w:szCs w:val="17"/>
              </w:rPr>
              <w:t xml:space="preserve">US / EU</w:t>
            </w:r>
          </w:p>
        </w:tc>
        <w:tc>
          <w:tcPr>
            <w:tcW w:w="2100" w:type="dxa"/>
            <w:shd w:val="clear" w:color="auto" w:fill="FFFFFF"/>
          </w:tcPr>
          <w:p>
            <w:r>
              <w:rPr>
                <w:color w:val="000000"/>
                <w:sz w:val="17"/>
                <w:szCs w:val="17"/>
              </w:rPr>
              <w:t xml:space="preserve">Pièces industrielles obsolètes et reconditionnées</w:t>
            </w:r>
          </w:p>
        </w:tc>
        <w:tc>
          <w:tcPr>
            <w:tcW w:w="3000" w:type="dxa"/>
            <w:shd w:val="clear" w:color="auto" w:fill="FFFFFF"/>
          </w:tcPr>
          <w:p>
            <w:r>
              <w:rPr>
                <w:color w:val="000000"/>
                <w:sz w:val="17"/>
                <w:szCs w:val="17"/>
              </w:rPr>
              <w:t xml:space="preserve">Modèle le plus proche : catalogue d'obsolètes, recherche par référence, devis en ligne, garantie reconditionnement</w:t>
            </w:r>
          </w:p>
        </w:tc>
      </w:tr>
      <w:tr>
        <w:tc>
          <w:tcPr>
            <w:tcW w:w="2100" w:type="dxa"/>
            <w:shd w:val="clear" w:color="auto" w:fill="EEF4FB"/>
          </w:tcPr>
          <w:p>
            <w:r>
              <w:rPr>
                <w:color w:val="000000"/>
                <w:sz w:val="17"/>
                <w:szCs w:val="17"/>
              </w:rPr>
              <w:t xml:space="preserve">Automation24</w:t>
            </w:r>
          </w:p>
        </w:tc>
        <w:tc>
          <w:tcPr>
            <w:tcW w:w="1000" w:type="dxa"/>
            <w:shd w:val="clear" w:color="auto" w:fill="EEF4FB"/>
          </w:tcPr>
          <w:p>
            <w:r>
              <w:rPr>
                <w:color w:val="000000"/>
                <w:sz w:val="17"/>
                <w:szCs w:val="17"/>
              </w:rPr>
              <w:t xml:space="preserve">Allemagne / EU</w:t>
            </w:r>
          </w:p>
        </w:tc>
        <w:tc>
          <w:tcPr>
            <w:tcW w:w="2100" w:type="dxa"/>
            <w:shd w:val="clear" w:color="auto" w:fill="EEF4FB"/>
          </w:tcPr>
          <w:p>
            <w:r>
              <w:rPr>
                <w:color w:val="000000"/>
                <w:sz w:val="17"/>
                <w:szCs w:val="17"/>
              </w:rPr>
              <w:t xml:space="preserve">Variateurs, automates, capteurs neufs et occasion</w:t>
            </w:r>
          </w:p>
        </w:tc>
        <w:tc>
          <w:tcPr>
            <w:tcW w:w="3000" w:type="dxa"/>
            <w:shd w:val="clear" w:color="auto" w:fill="EEF4FB"/>
          </w:tcPr>
          <w:p>
            <w:r>
              <w:rPr>
                <w:color w:val="000000"/>
                <w:sz w:val="17"/>
                <w:szCs w:val="17"/>
              </w:rPr>
              <w:t xml:space="preserve">SEO longue traîne sur références + prix compétitif + expédition rapide</w:t>
            </w:r>
          </w:p>
        </w:tc>
      </w:tr>
      <w:tr>
        <w:tc>
          <w:tcPr>
            <w:tcW w:w="2100" w:type="dxa"/>
            <w:shd w:val="clear" w:color="auto" w:fill="FFFFFF"/>
          </w:tcPr>
          <w:p>
            <w:r>
              <w:rPr>
                <w:color w:val="000000"/>
                <w:sz w:val="17"/>
                <w:szCs w:val="17"/>
              </w:rPr>
              <w:t xml:space="preserve">RS Components</w:t>
            </w:r>
          </w:p>
        </w:tc>
        <w:tc>
          <w:tcPr>
            <w:tcW w:w="1000" w:type="dxa"/>
            <w:shd w:val="clear" w:color="auto" w:fill="FFFFFF"/>
          </w:tcPr>
          <w:p>
            <w:r>
              <w:rPr>
                <w:color w:val="000000"/>
                <w:sz w:val="17"/>
                <w:szCs w:val="17"/>
              </w:rPr>
              <w:t xml:space="preserve">UK / EU</w:t>
            </w:r>
          </w:p>
        </w:tc>
        <w:tc>
          <w:tcPr>
            <w:tcW w:w="2100" w:type="dxa"/>
            <w:shd w:val="clear" w:color="auto" w:fill="FFFFFF"/>
          </w:tcPr>
          <w:p>
            <w:r>
              <w:rPr>
                <w:color w:val="000000"/>
                <w:sz w:val="17"/>
                <w:szCs w:val="17"/>
              </w:rPr>
              <w:t xml:space="preserve">Distributeur généraliste industriel</w:t>
            </w:r>
          </w:p>
        </w:tc>
        <w:tc>
          <w:tcPr>
            <w:tcW w:w="3000" w:type="dxa"/>
            <w:shd w:val="clear" w:color="auto" w:fill="FFFFFF"/>
          </w:tcPr>
          <w:p>
            <w:r>
              <w:rPr>
                <w:color w:val="000000"/>
                <w:sz w:val="17"/>
                <w:szCs w:val="17"/>
              </w:rPr>
              <w:t xml:space="preserve">Fiches produits enrichies = trafic SEO sur chaque référence</w:t>
            </w:r>
          </w:p>
        </w:tc>
      </w:tr>
      <w:tr>
        <w:tc>
          <w:tcPr>
            <w:tcW w:w="2100" w:type="dxa"/>
            <w:shd w:val="clear" w:color="auto" w:fill="EEF4FB"/>
          </w:tcPr>
          <w:p>
            <w:r>
              <w:rPr>
                <w:color w:val="000000"/>
                <w:sz w:val="17"/>
                <w:szCs w:val="17"/>
              </w:rPr>
              <w:t xml:space="preserve">DirectIndustry</w:t>
            </w:r>
          </w:p>
        </w:tc>
        <w:tc>
          <w:tcPr>
            <w:tcW w:w="1000" w:type="dxa"/>
            <w:shd w:val="clear" w:color="auto" w:fill="EEF4FB"/>
          </w:tcPr>
          <w:p>
            <w:r>
              <w:rPr>
                <w:color w:val="000000"/>
                <w:sz w:val="17"/>
                <w:szCs w:val="17"/>
              </w:rPr>
              <w:t xml:space="preserve">France / EU</w:t>
            </w:r>
          </w:p>
        </w:tc>
        <w:tc>
          <w:tcPr>
            <w:tcW w:w="2100" w:type="dxa"/>
            <w:shd w:val="clear" w:color="auto" w:fill="EEF4FB"/>
          </w:tcPr>
          <w:p>
            <w:r>
              <w:rPr>
                <w:color w:val="000000"/>
                <w:sz w:val="17"/>
                <w:szCs w:val="17"/>
              </w:rPr>
              <w:t xml:space="preserve">Marketplace B2B industrielle internationale</w:t>
            </w:r>
          </w:p>
        </w:tc>
        <w:tc>
          <w:tcPr>
            <w:tcW w:w="3000" w:type="dxa"/>
            <w:shd w:val="clear" w:color="auto" w:fill="EEF4FB"/>
          </w:tcPr>
          <w:p>
            <w:r>
              <w:rPr>
                <w:color w:val="000000"/>
                <w:sz w:val="17"/>
                <w:szCs w:val="17"/>
              </w:rPr>
              <w:t xml:space="preserve">Consultée par les acheteurs marocains de grands groupes — présence indispensable</w:t>
            </w:r>
          </w:p>
        </w:tc>
      </w:tr>
      <w:tr>
        <w:tc>
          <w:tcPr>
            <w:tcW w:w="2100" w:type="dxa"/>
            <w:shd w:val="clear" w:color="auto" w:fill="FFFFFF"/>
          </w:tcPr>
          <w:p>
            <w:r>
              <w:rPr>
                <w:color w:val="000000"/>
                <w:sz w:val="17"/>
                <w:szCs w:val="17"/>
              </w:rPr>
              <w:t xml:space="preserve">Marchés informels locaux (Derb Omar, Casablanca)</w:t>
            </w:r>
          </w:p>
        </w:tc>
        <w:tc>
          <w:tcPr>
            <w:tcW w:w="1000" w:type="dxa"/>
            <w:shd w:val="clear" w:color="auto" w:fill="FFFFFF"/>
          </w:tcPr>
          <w:p>
            <w:r>
              <w:rPr>
                <w:color w:val="000000"/>
                <w:sz w:val="17"/>
                <w:szCs w:val="17"/>
              </w:rPr>
              <w:t xml:space="preserve">Maroc</w:t>
            </w:r>
          </w:p>
        </w:tc>
        <w:tc>
          <w:tcPr>
            <w:tcW w:w="2100" w:type="dxa"/>
            <w:shd w:val="clear" w:color="auto" w:fill="FFFFFF"/>
          </w:tcPr>
          <w:p>
            <w:r>
              <w:rPr>
                <w:color w:val="000000"/>
                <w:sz w:val="17"/>
                <w:szCs w:val="17"/>
              </w:rPr>
              <w:t xml:space="preserve">Revente pièces occasion sans garantie ni catalogue</w:t>
            </w:r>
          </w:p>
        </w:tc>
        <w:tc>
          <w:tcPr>
            <w:tcW w:w="3000" w:type="dxa"/>
            <w:shd w:val="clear" w:color="auto" w:fill="FFFFFF"/>
          </w:tcPr>
          <w:p>
            <w:r>
              <w:rPr>
                <w:color w:val="000000"/>
                <w:sz w:val="17"/>
                <w:szCs w:val="17"/>
              </w:rPr>
              <w:t xml:space="preserve">Opportunité de se positionner comme alternative sérieuse, structurée et traçable</w:t>
            </w:r>
          </w:p>
        </w:tc>
      </w:tr>
    </w:tbl>
    <w:p>
      <w:pPr>
        <w:spacing w:before="100" w:after="100"/>
      </w:pPr>
    </w:p>
    <w:p>
      <w:pPr>
        <w:spacing w:before="60" w:after="60"/>
        <w:ind w:left="400"/>
      </w:pPr>
      <w:r>
        <w:rPr>
          <w:i/>
          <w:color w:val="555555"/>
        </w:rPr>
        <w:t xml:space="preserve">Radwell International est le modèle de référence mondial sur le segment "obsolète et reconditionné". Leur site génère du trafic SEO massif uniquement via les fiches de références produits hors catalogue. Cette approche est directement reproductible sur le marché marocain francophone avec très peu de concurrence SEO locale.</w:t>
      </w:r>
    </w:p>
    <w:p>
      <w:pPr>
        <w:spacing w:before="100" w:after="100"/>
      </w:pPr>
    </w:p>
    <w:p>
      <w:pPr>
        <w:pStyle w:val="Heading2"/>
      </w:pPr>
      <w:r>
        <w:t xml:space="preserve">10.5 Stratégie d'acquisition par canal</w:t>
      </w:r>
    </w:p>
    <w:p>
      <w:pPr>
        <w:pStyle w:val="Heading3"/>
      </w:pPr>
      <w:r>
        <w:t xml:space="preserve">Canal 1 – LinkedIn (prioritaire pour les cibles décisionnaires)</w:t>
      </w:r>
    </w:p>
    <w:p>
      <w:pPr>
        <w:spacing w:before="80" w:after="80"/>
      </w:pPr>
      <w:r>
        <w:t xml:space="preserve">LinkedIn est le réseau professionnel de référence dans les milieux industriels marocains et francophones. Les responsables de maintenance, ingénieurs automatisme, directeurs techniques des grandes usines (OCP, Lafarge Maroc, Centrale Danone, ONEE, Nexans Maroc, etc.) y sont actifs. Le ciblage géographique (Maroc, Tunisie, Sénégal…) combiné aux fonctions techniques permet une audience très qualifiée à un coût publicitaire inférieur aux marchés européens.</w:t>
      </w:r>
    </w:p>
    <w:p>
      <w:pPr>
        <w:spacing w:before="100" w:after="100"/>
      </w:pPr>
    </w:p>
    <w:tbl>
      <w:tblPr>
        <w:tblW w:w="82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500"/>
        <w:gridCol w:w="1800"/>
        <w:gridCol w:w="2400"/>
        <w:gridCol w:w="1500"/>
      </w:tblGrid>
      <w:tr>
        <w:tc>
          <w:tcPr>
            <w:tcW w:w="2500" w:type="dxa"/>
            <w:shd w:val="clear" w:color="auto" w:fill="1F3864"/>
          </w:tcPr>
          <w:p>
            <w:r>
              <w:rPr>
                <w:b/>
                <w:color w:val="FFFFFF"/>
                <w:sz w:val="17"/>
                <w:szCs w:val="17"/>
              </w:rPr>
              <w:t xml:space="preserve">Action LinkedIn</w:t>
            </w:r>
          </w:p>
        </w:tc>
        <w:tc>
          <w:tcPr>
            <w:tcW w:w="1800" w:type="dxa"/>
            <w:shd w:val="clear" w:color="auto" w:fill="1F3864"/>
          </w:tcPr>
          <w:p>
            <w:r>
              <w:rPr>
                <w:b/>
                <w:color w:val="FFFFFF"/>
                <w:sz w:val="17"/>
                <w:szCs w:val="17"/>
              </w:rPr>
              <w:t xml:space="preserve">Objectif</w:t>
            </w:r>
          </w:p>
        </w:tc>
        <w:tc>
          <w:tcPr>
            <w:tcW w:w="2400" w:type="dxa"/>
            <w:shd w:val="clear" w:color="auto" w:fill="1F3864"/>
          </w:tcPr>
          <w:p>
            <w:r>
              <w:rPr>
                <w:b/>
                <w:color w:val="FFFFFF"/>
                <w:sz w:val="17"/>
                <w:szCs w:val="17"/>
              </w:rPr>
              <w:t xml:space="preserve">Audience cible</w:t>
            </w:r>
          </w:p>
        </w:tc>
        <w:tc>
          <w:tcPr>
            <w:tcW w:w="1500" w:type="dxa"/>
            <w:shd w:val="clear" w:color="auto" w:fill="1F3864"/>
          </w:tcPr>
          <w:p>
            <w:r>
              <w:rPr>
                <w:b/>
                <w:color w:val="FFFFFF"/>
                <w:sz w:val="17"/>
                <w:szCs w:val="17"/>
              </w:rPr>
              <w:t xml:space="preserve">Coût estimé (MAD)</w:t>
            </w:r>
          </w:p>
        </w:tc>
      </w:tr>
      <w:tr>
        <w:tc>
          <w:tcPr>
            <w:tcW w:w="2500" w:type="dxa"/>
            <w:shd w:val="clear" w:color="auto" w:fill="EEF4FB"/>
          </w:tcPr>
          <w:p>
            <w:r>
              <w:rPr>
                <w:color w:val="000000"/>
                <w:sz w:val="17"/>
                <w:szCs w:val="17"/>
              </w:rPr>
              <w:t xml:space="preserve">Profil entreprise + publications régulières</w:t>
            </w:r>
          </w:p>
        </w:tc>
        <w:tc>
          <w:tcPr>
            <w:tcW w:w="1800" w:type="dxa"/>
            <w:shd w:val="clear" w:color="auto" w:fill="EEF4FB"/>
          </w:tcPr>
          <w:p>
            <w:r>
              <w:rPr>
                <w:color w:val="000000"/>
                <w:sz w:val="17"/>
                <w:szCs w:val="17"/>
              </w:rPr>
              <w:t xml:space="preserve">Notoriété &amp; crédibilité</w:t>
            </w:r>
          </w:p>
        </w:tc>
        <w:tc>
          <w:tcPr>
            <w:tcW w:w="2400" w:type="dxa"/>
            <w:shd w:val="clear" w:color="auto" w:fill="EEF4FB"/>
          </w:tcPr>
          <w:p>
            <w:r>
              <w:rPr>
                <w:color w:val="000000"/>
                <w:sz w:val="17"/>
                <w:szCs w:val="17"/>
              </w:rPr>
              <w:t xml:space="preserve">Réseau professionnel industriel Maroc + francophone</w:t>
            </w:r>
          </w:p>
        </w:tc>
        <w:tc>
          <w:tcPr>
            <w:tcW w:w="1500" w:type="dxa"/>
            <w:shd w:val="clear" w:color="auto" w:fill="EEF4FB"/>
          </w:tcPr>
          <w:p>
            <w:r>
              <w:rPr>
                <w:color w:val="000000"/>
                <w:sz w:val="17"/>
                <w:szCs w:val="17"/>
              </w:rPr>
              <w:t xml:space="preserve">Gratuit</w:t>
            </w:r>
          </w:p>
        </w:tc>
      </w:tr>
      <w:tr>
        <w:tc>
          <w:tcPr>
            <w:tcW w:w="2500" w:type="dxa"/>
            <w:shd w:val="clear" w:color="auto" w:fill="FFFFFF"/>
          </w:tcPr>
          <w:p>
            <w:r>
              <w:rPr>
                <w:color w:val="000000"/>
                <w:sz w:val="17"/>
                <w:szCs w:val="17"/>
              </w:rPr>
              <w:t xml:space="preserve">Posts "Pièce rare disponible" (photo + ref + disponibilité)</w:t>
            </w:r>
          </w:p>
        </w:tc>
        <w:tc>
          <w:tcPr>
            <w:tcW w:w="1800" w:type="dxa"/>
            <w:shd w:val="clear" w:color="auto" w:fill="FFFFFF"/>
          </w:tcPr>
          <w:p>
            <w:r>
              <w:rPr>
                <w:color w:val="000000"/>
                <w:sz w:val="17"/>
                <w:szCs w:val="17"/>
              </w:rPr>
              <w:t xml:space="preserve">Trafic vers fiche produit ou devis</w:t>
            </w:r>
          </w:p>
        </w:tc>
        <w:tc>
          <w:tcPr>
            <w:tcW w:w="2400" w:type="dxa"/>
            <w:shd w:val="clear" w:color="auto" w:fill="FFFFFF"/>
          </w:tcPr>
          <w:p>
            <w:r>
              <w:rPr>
                <w:color w:val="000000"/>
                <w:sz w:val="17"/>
                <w:szCs w:val="17"/>
              </w:rPr>
              <w:t xml:space="preserve">Abonnés + réseau étendu</w:t>
            </w:r>
          </w:p>
        </w:tc>
        <w:tc>
          <w:tcPr>
            <w:tcW w:w="1500" w:type="dxa"/>
            <w:shd w:val="clear" w:color="auto" w:fill="FFFFFF"/>
          </w:tcPr>
          <w:p>
            <w:r>
              <w:rPr>
                <w:color w:val="000000"/>
                <w:sz w:val="17"/>
                <w:szCs w:val="17"/>
              </w:rPr>
              <w:t xml:space="preserve">Gratuit (organique)</w:t>
            </w:r>
          </w:p>
        </w:tc>
      </w:tr>
      <w:tr>
        <w:tc>
          <w:tcPr>
            <w:tcW w:w="2500" w:type="dxa"/>
            <w:shd w:val="clear" w:color="auto" w:fill="EEF4FB"/>
          </w:tcPr>
          <w:p>
            <w:r>
              <w:rPr>
                <w:color w:val="000000"/>
                <w:sz w:val="17"/>
                <w:szCs w:val="17"/>
              </w:rPr>
              <w:t xml:space="preserve">Sponsored Content (article + visuel produit)</w:t>
            </w:r>
          </w:p>
        </w:tc>
        <w:tc>
          <w:tcPr>
            <w:tcW w:w="1800" w:type="dxa"/>
            <w:shd w:val="clear" w:color="auto" w:fill="EEF4FB"/>
          </w:tcPr>
          <w:p>
            <w:r>
              <w:rPr>
                <w:color w:val="000000"/>
                <w:sz w:val="17"/>
                <w:szCs w:val="17"/>
              </w:rPr>
              <w:t xml:space="preserve">Trafic qualifié vers catalogue ou formulaire devis</w:t>
            </w:r>
          </w:p>
        </w:tc>
        <w:tc>
          <w:tcPr>
            <w:tcW w:w="2400" w:type="dxa"/>
            <w:shd w:val="clear" w:color="auto" w:fill="EEF4FB"/>
          </w:tcPr>
          <w:p>
            <w:r>
              <w:rPr>
                <w:color w:val="000000"/>
                <w:sz w:val="17"/>
                <w:szCs w:val="17"/>
              </w:rPr>
              <w:t xml:space="preserve">Responsables maintenance, DT, ingénieurs électriques Maroc + Maghreb</w:t>
            </w:r>
          </w:p>
        </w:tc>
        <w:tc>
          <w:tcPr>
            <w:tcW w:w="1500" w:type="dxa"/>
            <w:shd w:val="clear" w:color="auto" w:fill="EEF4FB"/>
          </w:tcPr>
          <w:p>
            <w:r>
              <w:rPr>
                <w:color w:val="000000"/>
                <w:sz w:val="17"/>
                <w:szCs w:val="17"/>
              </w:rPr>
              <w:t xml:space="preserve">CPM 80-150 MAD</w:t>
            </w:r>
          </w:p>
        </w:tc>
      </w:tr>
      <w:tr>
        <w:tc>
          <w:tcPr>
            <w:tcW w:w="2500" w:type="dxa"/>
            <w:shd w:val="clear" w:color="auto" w:fill="FFFFFF"/>
          </w:tcPr>
          <w:p>
            <w:r>
              <w:rPr>
                <w:color w:val="000000"/>
                <w:sz w:val="17"/>
                <w:szCs w:val="17"/>
              </w:rPr>
              <w:t xml:space="preserve">LinkedIn Messaging ciblé (InMail)</w:t>
            </w:r>
          </w:p>
        </w:tc>
        <w:tc>
          <w:tcPr>
            <w:tcW w:w="1800" w:type="dxa"/>
            <w:shd w:val="clear" w:color="auto" w:fill="FFFFFF"/>
          </w:tcPr>
          <w:p>
            <w:r>
              <w:rPr>
                <w:color w:val="000000"/>
                <w:sz w:val="17"/>
                <w:szCs w:val="17"/>
              </w:rPr>
              <w:t xml:space="preserve">Prospection directe grands comptes</w:t>
            </w:r>
          </w:p>
        </w:tc>
        <w:tc>
          <w:tcPr>
            <w:tcW w:w="2400" w:type="dxa"/>
            <w:shd w:val="clear" w:color="auto" w:fill="FFFFFF"/>
          </w:tcPr>
          <w:p>
            <w:r>
              <w:rPr>
                <w:color w:val="000000"/>
                <w:sz w:val="17"/>
                <w:szCs w:val="17"/>
              </w:rPr>
              <w:t xml:space="preserve">Directeurs techniques, acheteurs grandes usines</w:t>
            </w:r>
          </w:p>
        </w:tc>
        <w:tc>
          <w:tcPr>
            <w:tcW w:w="1500" w:type="dxa"/>
            <w:shd w:val="clear" w:color="auto" w:fill="FFFFFF"/>
          </w:tcPr>
          <w:p>
            <w:r>
              <w:rPr>
                <w:color w:val="000000"/>
                <w:sz w:val="17"/>
                <w:szCs w:val="17"/>
              </w:rPr>
              <w:t xml:space="preserve">Selon abonnement Sales Navigator</w:t>
            </w:r>
          </w:p>
        </w:tc>
      </w:tr>
      <w:tr>
        <w:tc>
          <w:tcPr>
            <w:tcW w:w="2500" w:type="dxa"/>
            <w:shd w:val="clear" w:color="auto" w:fill="EEF4FB"/>
          </w:tcPr>
          <w:p>
            <w:r>
              <w:rPr>
                <w:color w:val="000000"/>
                <w:sz w:val="17"/>
                <w:szCs w:val="17"/>
              </w:rPr>
              <w:t xml:space="preserve">Lead Gen Form LinkedIn</w:t>
            </w:r>
          </w:p>
        </w:tc>
        <w:tc>
          <w:tcPr>
            <w:tcW w:w="1800" w:type="dxa"/>
            <w:shd w:val="clear" w:color="auto" w:fill="EEF4FB"/>
          </w:tcPr>
          <w:p>
            <w:r>
              <w:rPr>
                <w:color w:val="000000"/>
                <w:sz w:val="17"/>
                <w:szCs w:val="17"/>
              </w:rPr>
              <w:t xml:space="preserve">Capture directe de leads sans quitter LinkedIn</w:t>
            </w:r>
          </w:p>
        </w:tc>
        <w:tc>
          <w:tcPr>
            <w:tcW w:w="2400" w:type="dxa"/>
            <w:shd w:val="clear" w:color="auto" w:fill="EEF4FB"/>
          </w:tcPr>
          <w:p>
            <w:r>
              <w:rPr>
                <w:color w:val="000000"/>
                <w:sz w:val="17"/>
                <w:szCs w:val="17"/>
              </w:rPr>
              <w:t xml:space="preserve">Acheteurs industriels, directeurs techniques</w:t>
            </w:r>
          </w:p>
        </w:tc>
        <w:tc>
          <w:tcPr>
            <w:tcW w:w="1500" w:type="dxa"/>
            <w:shd w:val="clear" w:color="auto" w:fill="EEF4FB"/>
          </w:tcPr>
          <w:p>
            <w:r>
              <w:rPr>
                <w:color w:val="000000"/>
                <w:sz w:val="17"/>
                <w:szCs w:val="17"/>
              </w:rPr>
              <w:t xml:space="preserve">CPL 400-800 MAD</w:t>
            </w:r>
          </w:p>
        </w:tc>
      </w:tr>
      <w:tr>
        <w:tc>
          <w:tcPr>
            <w:tcW w:w="2500" w:type="dxa"/>
            <w:shd w:val="clear" w:color="auto" w:fill="FFFFFF"/>
          </w:tcPr>
          <w:p>
            <w:r>
              <w:rPr>
                <w:color w:val="000000"/>
                <w:sz w:val="17"/>
                <w:szCs w:val="17"/>
              </w:rPr>
              <w:t xml:space="preserve">Retargeting visiteurs du site</w:t>
            </w:r>
          </w:p>
        </w:tc>
        <w:tc>
          <w:tcPr>
            <w:tcW w:w="1800" w:type="dxa"/>
            <w:shd w:val="clear" w:color="auto" w:fill="FFFFFF"/>
          </w:tcPr>
          <w:p>
            <w:r>
              <w:rPr>
                <w:color w:val="000000"/>
                <w:sz w:val="17"/>
                <w:szCs w:val="17"/>
              </w:rPr>
              <w:t xml:space="preserve">Relance prospects ayant consulté le catalogue</w:t>
            </w:r>
          </w:p>
        </w:tc>
        <w:tc>
          <w:tcPr>
            <w:tcW w:w="2400" w:type="dxa"/>
            <w:shd w:val="clear" w:color="auto" w:fill="FFFFFF"/>
          </w:tcPr>
          <w:p>
            <w:r>
              <w:rPr>
                <w:color w:val="000000"/>
                <w:sz w:val="17"/>
                <w:szCs w:val="17"/>
              </w:rPr>
              <w:t xml:space="preserve">Audience personnalisée via pixel LinkedIn</w:t>
            </w:r>
          </w:p>
        </w:tc>
        <w:tc>
          <w:tcPr>
            <w:tcW w:w="1500" w:type="dxa"/>
            <w:shd w:val="clear" w:color="auto" w:fill="FFFFFF"/>
          </w:tcPr>
          <w:p>
            <w:r>
              <w:rPr>
                <w:color w:val="000000"/>
                <w:sz w:val="17"/>
                <w:szCs w:val="17"/>
              </w:rPr>
              <w:t xml:space="preserve">Faible (CPM réduit)</w:t>
            </w:r>
          </w:p>
        </w:tc>
      </w:tr>
    </w:tbl>
    <w:p>
      <w:pPr>
        <w:spacing w:before="100" w:after="100"/>
      </w:pPr>
    </w:p>
    <w:p>
      <w:pPr>
        <w:pStyle w:val="Heading3"/>
      </w:pPr>
      <w:r>
        <w:t xml:space="preserve">Canal 2 – WhatsApp Business (conversion &amp; relationnel, spécifique marché marocain)</w:t>
      </w:r>
    </w:p>
    <w:p>
      <w:pPr>
        <w:spacing w:before="80" w:after="80"/>
      </w:pPr>
      <w:r>
        <w:t xml:space="preserve">WhatsApp est le canal de communication professionnel dominant au Maroc. Un lien "Demander un devis via WhatsApp" intégré sur chaque fiche produit du site vitrine peut surpasser en taux de conversion un formulaire classique. WhatsApp Business permet de gérer les échanges, d'envoyer des catalogues PDF et de relancer les prospects de manière naturelle.</w:t>
      </w:r>
    </w:p>
    <w:p>
      <w:pPr>
        <w:pStyle w:val="ListParagraph"/>
        <w:numPr>
          <w:ilvl w:val="0"/>
          <w:numId w:val="1"/>
        </w:numPr>
      </w:pPr>
      <w:r>
        <w:t xml:space="preserve">Bouton WhatsApp visible sur chaque fiche produit et sur la page d'accueil du site vitrine.</w:t>
      </w:r>
    </w:p>
    <w:p>
      <w:pPr>
        <w:pStyle w:val="ListParagraph"/>
        <w:numPr>
          <w:ilvl w:val="0"/>
          <w:numId w:val="1"/>
        </w:numPr>
      </w:pPr>
      <w:r>
        <w:t xml:space="preserve">Catalogue produits partageable en PDF via WhatsApp Business pour les prospects sans accès web fluide.</w:t>
      </w:r>
    </w:p>
    <w:p>
      <w:pPr>
        <w:pStyle w:val="ListParagraph"/>
        <w:numPr>
          <w:ilvl w:val="0"/>
          <w:numId w:val="1"/>
        </w:numPr>
      </w:pPr>
      <w:r>
        <w:t xml:space="preserve">Numéro WhatsApp Business dédié, géré par le commercial, avec réponse sous 2h en heures ouvrées.</w:t>
      </w:r>
    </w:p>
    <w:p>
      <w:pPr>
        <w:pStyle w:val="ListParagraph"/>
        <w:numPr>
          <w:ilvl w:val="0"/>
          <w:numId w:val="1"/>
        </w:numPr>
      </w:pPr>
      <w:r>
        <w:t xml:space="preserve">Intégration manuelle des demandes WhatsApp dans le module LEAD du back-office (source = "whatsapp").</w:t>
      </w:r>
    </w:p>
    <w:p>
      <w:pPr>
        <w:spacing w:before="100" w:after="100"/>
      </w:pPr>
    </w:p>
    <w:p>
      <w:pPr>
        <w:pStyle w:val="Heading3"/>
      </w:pPr>
      <w:r>
        <w:t xml:space="preserve">Canal 3 – SEO &amp; référencement sur les références produits</w:t>
      </w:r>
    </w:p>
    <w:p>
      <w:pPr>
        <w:spacing w:before="80" w:after="80"/>
      </w:pPr>
      <w:r>
        <w:t xml:space="preserve">Le SEO est le levier d'acquisition à plus fort ROI sur le long terme. La concurrence SEO sur les références industrielles en français ciblant le Maroc est quasi nulle. Des requêtes comme "variateur ATV312 occasion Maroc", "carte IGBT Siemens hors catalogue" ou "disjoncteur Merlin Gerin reconditionné" ont un volume modeste mais une intention d'achat quasi certaine et aucun concurrent local optimisé.</w:t>
      </w:r>
    </w:p>
    <w:p>
      <w:pPr>
        <w:pStyle w:val="ListParagraph"/>
        <w:numPr>
          <w:ilvl w:val="0"/>
          <w:numId w:val="1"/>
        </w:numPr>
      </w:pPr>
      <w:r>
        <w:t xml:space="preserve">URLs sémantiques exploitant la structure MLD : /famille/categorie/reference-etat (ex: /variateurs/basse-puissance/atv320-18kw-occasion).</w:t>
      </w:r>
    </w:p>
    <w:p>
      <w:pPr>
        <w:pStyle w:val="ListParagraph"/>
        <w:numPr>
          <w:ilvl w:val="0"/>
          <w:numId w:val="1"/>
        </w:numPr>
      </w:pPr>
      <w:r>
        <w:t xml:space="preserve">Balises title et meta description générées dynamiquement depuis les champs ARTICLE (référence fabricant, état, catégorie).</w:t>
      </w:r>
    </w:p>
    <w:p>
      <w:pPr>
        <w:pStyle w:val="ListParagraph"/>
        <w:numPr>
          <w:ilvl w:val="0"/>
          <w:numId w:val="1"/>
        </w:numPr>
      </w:pPr>
      <w:r>
        <w:t xml:space="preserve">Données structurées Schema.org Product sur chaque fiche produit (prix, disponibilité, état).</w:t>
      </w:r>
    </w:p>
    <w:p>
      <w:pPr>
        <w:pStyle w:val="ListParagraph"/>
        <w:numPr>
          <w:ilvl w:val="0"/>
          <w:numId w:val="1"/>
        </w:numPr>
      </w:pPr>
      <w:r>
        <w:t xml:space="preserve">Pages de catégories enrichies avec contenu éditorial en français : "Variateurs industriels occasion au Maroc".</w:t>
      </w:r>
    </w:p>
    <w:p>
      <w:pPr>
        <w:pStyle w:val="ListParagraph"/>
        <w:numPr>
          <w:ilvl w:val="0"/>
          <w:numId w:val="1"/>
        </w:numPr>
      </w:pPr>
      <w:r>
        <w:t xml:space="preserve">Blog technique ciblant les requêtes informationnelles : "Comment trouver une pièce industrielle obsolète", "Reconditionné vs occasion : que choisir ?".</w:t>
      </w:r>
    </w:p>
    <w:p>
      <w:pPr>
        <w:pStyle w:val="ListParagraph"/>
        <w:numPr>
          <w:ilvl w:val="0"/>
          <w:numId w:val="1"/>
        </w:numPr>
      </w:pPr>
      <w:r>
        <w:t xml:space="preserve">SEO local Maroc : référencement Google Maps, mention de Casablanca / Maroc dans les méta-données.</w:t>
      </w:r>
    </w:p>
    <w:p>
      <w:pPr>
        <w:pStyle w:val="ListParagraph"/>
        <w:numPr>
          <w:ilvl w:val="0"/>
          <w:numId w:val="1"/>
        </w:numPr>
      </w:pPr>
      <w:r>
        <w:t xml:space="preserve">Rendu SSR (Next.js / Nuxt.js) obligatoire pour l'indexation des pages dynamiques du catalogue.</w:t>
      </w:r>
    </w:p>
    <w:p>
      <w:pPr>
        <w:spacing w:before="100" w:after="100"/>
      </w:pPr>
    </w:p>
    <w:p>
      <w:pPr>
        <w:pStyle w:val="Heading3"/>
      </w:pPr>
      <w:r>
        <w:t xml:space="preserve">Canal 4 – Facebook (installateurs, techniciens, petites entreprises)</w:t>
      </w:r>
    </w:p>
    <w:p>
      <w:pPr>
        <w:spacing w:before="80" w:after="80"/>
      </w:pPr>
      <w:r>
        <w:t xml:space="preserve">Facebook est massivement utilisé par les techniciens, électriciens et petites entreprises de maintenance au Maroc. Des groupes professionnels marocains (électricité industrielle, automatisme, maintenance) comptent des dizaines de milliers de membres actifs.</w:t>
      </w:r>
    </w:p>
    <w:p>
      <w:pPr>
        <w:pStyle w:val="ListParagraph"/>
        <w:numPr>
          <w:ilvl w:val="0"/>
          <w:numId w:val="1"/>
        </w:numPr>
      </w:pPr>
      <w:r>
        <w:t xml:space="preserve">Page entreprise active avec publications régulières : photos de produits disponibles, promotions, arrivages.</w:t>
      </w:r>
    </w:p>
    <w:p>
      <w:pPr>
        <w:pStyle w:val="ListParagraph"/>
        <w:numPr>
          <w:ilvl w:val="0"/>
          <w:numId w:val="1"/>
        </w:numPr>
      </w:pPr>
      <w:r>
        <w:t xml:space="preserve">Publications dans les groupes professionnels marocains (avec valeur ajoutée, pas de spam).</w:t>
      </w:r>
    </w:p>
    <w:p>
      <w:pPr>
        <w:pStyle w:val="ListParagraph"/>
        <w:numPr>
          <w:ilvl w:val="0"/>
          <w:numId w:val="1"/>
        </w:numPr>
      </w:pPr>
      <w:r>
        <w:t xml:space="preserve">Facebook Ads ciblés : techniciens, électriciens, gérants de petites entreprises industrielles au Maroc.</w:t>
      </w:r>
    </w:p>
    <w:p>
      <w:pPr>
        <w:pStyle w:val="ListParagraph"/>
        <w:numPr>
          <w:ilvl w:val="0"/>
          <w:numId w:val="1"/>
        </w:numPr>
      </w:pPr>
      <w:r>
        <w:t xml:space="preserve">Lead Ads Facebook : formulaire pré-rempli pour demande de devis directement depuis l'app.</w:t>
      </w:r>
    </w:p>
    <w:p>
      <w:pPr>
        <w:pStyle w:val="ListParagraph"/>
        <w:numPr>
          <w:ilvl w:val="0"/>
          <w:numId w:val="1"/>
        </w:numPr>
      </w:pPr>
      <w:r>
        <w:t xml:space="preserve">Retargeting des visiteurs du catalogue via pixel Facebook.</w:t>
      </w:r>
    </w:p>
    <w:p>
      <w:pPr>
        <w:spacing w:before="60" w:after="60"/>
        <w:ind w:left="400"/>
      </w:pPr>
      <w:r>
        <w:rPr>
          <w:i/>
          <w:color w:val="555555"/>
        </w:rPr>
        <w:t xml:space="preserve">Facebook est efficace pour le segment occasion et les prix attractifs. Un visuel "Disjoncteur Merlin Gerin 63A reconditionné – 350 MAD" génère davantage d'engagement qu'un post générique.</w:t>
      </w:r>
    </w:p>
    <w:p>
      <w:pPr>
        <w:spacing w:before="100" w:after="100"/>
      </w:pPr>
    </w:p>
    <w:p>
      <w:pPr>
        <w:pStyle w:val="Heading3"/>
      </w:pPr>
      <w:r>
        <w:t xml:space="preserve">Canal 5 – Email marketing &amp; fidélisation</w:t>
      </w:r>
    </w:p>
    <w:tbl>
      <w:tblPr>
        <w:tblW w:w="82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00"/>
        <w:gridCol w:w="2000"/>
        <w:gridCol w:w="2700"/>
        <w:gridCol w:w="1500"/>
      </w:tblGrid>
      <w:tr>
        <w:tc>
          <w:tcPr>
            <w:tcW w:w="2000" w:type="dxa"/>
            <w:shd w:val="clear" w:color="auto" w:fill="1F3864"/>
          </w:tcPr>
          <w:p>
            <w:r>
              <w:rPr>
                <w:b/>
                <w:color w:val="FFFFFF"/>
                <w:sz w:val="17"/>
                <w:szCs w:val="17"/>
              </w:rPr>
              <w:t xml:space="preserve">Séquence email</w:t>
            </w:r>
          </w:p>
        </w:tc>
        <w:tc>
          <w:tcPr>
            <w:tcW w:w="2000" w:type="dxa"/>
            <w:shd w:val="clear" w:color="auto" w:fill="1F3864"/>
          </w:tcPr>
          <w:p>
            <w:r>
              <w:rPr>
                <w:b/>
                <w:color w:val="FFFFFF"/>
                <w:sz w:val="17"/>
                <w:szCs w:val="17"/>
              </w:rPr>
              <w:t xml:space="preserve">Déclencheur</w:t>
            </w:r>
          </w:p>
        </w:tc>
        <w:tc>
          <w:tcPr>
            <w:tcW w:w="2700" w:type="dxa"/>
            <w:shd w:val="clear" w:color="auto" w:fill="1F3864"/>
          </w:tcPr>
          <w:p>
            <w:r>
              <w:rPr>
                <w:b/>
                <w:color w:val="FFFFFF"/>
                <w:sz w:val="17"/>
                <w:szCs w:val="17"/>
              </w:rPr>
              <w:t xml:space="preserve">Contenu</w:t>
            </w:r>
          </w:p>
        </w:tc>
        <w:tc>
          <w:tcPr>
            <w:tcW w:w="1500" w:type="dxa"/>
            <w:shd w:val="clear" w:color="auto" w:fill="1F3864"/>
          </w:tcPr>
          <w:p>
            <w:r>
              <w:rPr>
                <w:b/>
                <w:color w:val="FFFFFF"/>
                <w:sz w:val="17"/>
                <w:szCs w:val="17"/>
              </w:rPr>
              <w:t xml:space="preserve">Objectif</w:t>
            </w:r>
          </w:p>
        </w:tc>
      </w:tr>
      <w:tr>
        <w:tc>
          <w:tcPr>
            <w:tcW w:w="2000" w:type="dxa"/>
            <w:shd w:val="clear" w:color="auto" w:fill="EEF4FB"/>
          </w:tcPr>
          <w:p>
            <w:r>
              <w:rPr>
                <w:color w:val="000000"/>
                <w:sz w:val="17"/>
                <w:szCs w:val="17"/>
              </w:rPr>
              <w:t xml:space="preserve">Email de bienvenue</w:t>
            </w:r>
          </w:p>
        </w:tc>
        <w:tc>
          <w:tcPr>
            <w:tcW w:w="2000" w:type="dxa"/>
            <w:shd w:val="clear" w:color="auto" w:fill="EEF4FB"/>
          </w:tcPr>
          <w:p>
            <w:r>
              <w:rPr>
                <w:color w:val="000000"/>
                <w:sz w:val="17"/>
                <w:szCs w:val="17"/>
              </w:rPr>
              <w:t xml:space="preserve">1ère demande de devis ou inscription</w:t>
            </w:r>
          </w:p>
        </w:tc>
        <w:tc>
          <w:tcPr>
            <w:tcW w:w="2700" w:type="dxa"/>
            <w:shd w:val="clear" w:color="auto" w:fill="EEF4FB"/>
          </w:tcPr>
          <w:p>
            <w:r>
              <w:rPr>
                <w:color w:val="000000"/>
                <w:sz w:val="17"/>
                <w:szCs w:val="17"/>
              </w:rPr>
              <w:t xml:space="preserve">Présentation de l'offre, catalogue, contact WhatsApp et email commercial</w:t>
            </w:r>
          </w:p>
        </w:tc>
        <w:tc>
          <w:tcPr>
            <w:tcW w:w="1500" w:type="dxa"/>
            <w:shd w:val="clear" w:color="auto" w:fill="EEF4FB"/>
          </w:tcPr>
          <w:p>
            <w:r>
              <w:rPr>
                <w:color w:val="000000"/>
                <w:sz w:val="17"/>
                <w:szCs w:val="17"/>
              </w:rPr>
              <w:t xml:space="preserve">Onboarding &amp; confiance</w:t>
            </w:r>
          </w:p>
        </w:tc>
      </w:tr>
      <w:tr>
        <w:tc>
          <w:tcPr>
            <w:tcW w:w="2000" w:type="dxa"/>
            <w:shd w:val="clear" w:color="auto" w:fill="FFFFFF"/>
          </w:tcPr>
          <w:p>
            <w:r>
              <w:rPr>
                <w:color w:val="000000"/>
                <w:sz w:val="17"/>
                <w:szCs w:val="17"/>
              </w:rPr>
              <w:t xml:space="preserve">Confirmation automatique devis</w:t>
            </w:r>
          </w:p>
        </w:tc>
        <w:tc>
          <w:tcPr>
            <w:tcW w:w="2000" w:type="dxa"/>
            <w:shd w:val="clear" w:color="auto" w:fill="FFFFFF"/>
          </w:tcPr>
          <w:p>
            <w:r>
              <w:rPr>
                <w:color w:val="000000"/>
                <w:sz w:val="17"/>
                <w:szCs w:val="17"/>
              </w:rPr>
              <w:t xml:space="preserve">Soumission formulaire site vitrine (RG-07)</w:t>
            </w:r>
          </w:p>
        </w:tc>
        <w:tc>
          <w:tcPr>
            <w:tcW w:w="2700" w:type="dxa"/>
            <w:shd w:val="clear" w:color="auto" w:fill="FFFFFF"/>
          </w:tcPr>
          <w:p>
            <w:r>
              <w:rPr>
                <w:color w:val="000000"/>
                <w:sz w:val="17"/>
                <w:szCs w:val="17"/>
              </w:rPr>
              <w:t xml:space="preserve">N° DEVIS-AAAA-NNNN, récapitulatif, délai de réponse &lt; 24h ouvrées</w:t>
            </w:r>
          </w:p>
        </w:tc>
        <w:tc>
          <w:tcPr>
            <w:tcW w:w="1500" w:type="dxa"/>
            <w:shd w:val="clear" w:color="auto" w:fill="FFFFFF"/>
          </w:tcPr>
          <w:p>
            <w:r>
              <w:rPr>
                <w:color w:val="000000"/>
                <w:sz w:val="17"/>
                <w:szCs w:val="17"/>
              </w:rPr>
              <w:t xml:space="preserve">Réassurance client</w:t>
            </w:r>
          </w:p>
        </w:tc>
      </w:tr>
      <w:tr>
        <w:tc>
          <w:tcPr>
            <w:tcW w:w="2000" w:type="dxa"/>
            <w:shd w:val="clear" w:color="auto" w:fill="EEF4FB"/>
          </w:tcPr>
          <w:p>
            <w:r>
              <w:rPr>
                <w:color w:val="000000"/>
                <w:sz w:val="17"/>
                <w:szCs w:val="17"/>
              </w:rPr>
              <w:t xml:space="preserve">Relance devis non traité</w:t>
            </w:r>
          </w:p>
        </w:tc>
        <w:tc>
          <w:tcPr>
            <w:tcW w:w="2000" w:type="dxa"/>
            <w:shd w:val="clear" w:color="auto" w:fill="EEF4FB"/>
          </w:tcPr>
          <w:p>
            <w:r>
              <w:rPr>
                <w:color w:val="000000"/>
                <w:sz w:val="17"/>
                <w:szCs w:val="17"/>
              </w:rPr>
              <w:t xml:space="preserve">5 jours sans changement de statut dans LEAD</w:t>
            </w:r>
          </w:p>
        </w:tc>
        <w:tc>
          <w:tcPr>
            <w:tcW w:w="2700" w:type="dxa"/>
            <w:shd w:val="clear" w:color="auto" w:fill="EEF4FB"/>
          </w:tcPr>
          <w:p>
            <w:r>
              <w:rPr>
                <w:color w:val="000000"/>
                <w:sz w:val="17"/>
                <w:szCs w:val="17"/>
              </w:rPr>
              <w:t xml:space="preserve">Rappel de la demande + proposition d'appel WhatsApp</w:t>
            </w:r>
          </w:p>
        </w:tc>
        <w:tc>
          <w:tcPr>
            <w:tcW w:w="1500" w:type="dxa"/>
            <w:shd w:val="clear" w:color="auto" w:fill="EEF4FB"/>
          </w:tcPr>
          <w:p>
            <w:r>
              <w:rPr>
                <w:color w:val="000000"/>
                <w:sz w:val="17"/>
                <w:szCs w:val="17"/>
              </w:rPr>
              <w:t xml:space="preserve">Conversion lead</w:t>
            </w:r>
          </w:p>
        </w:tc>
      </w:tr>
      <w:tr>
        <w:tc>
          <w:tcPr>
            <w:tcW w:w="2000" w:type="dxa"/>
            <w:shd w:val="clear" w:color="auto" w:fill="FFFFFF"/>
          </w:tcPr>
          <w:p>
            <w:r>
              <w:rPr>
                <w:color w:val="000000"/>
                <w:sz w:val="17"/>
                <w:szCs w:val="17"/>
              </w:rPr>
              <w:t xml:space="preserve">Newsletter mensuelle</w:t>
            </w:r>
          </w:p>
        </w:tc>
        <w:tc>
          <w:tcPr>
            <w:tcW w:w="2000" w:type="dxa"/>
            <w:shd w:val="clear" w:color="auto" w:fill="FFFFFF"/>
          </w:tcPr>
          <w:p>
            <w:r>
              <w:rPr>
                <w:color w:val="000000"/>
                <w:sz w:val="17"/>
                <w:szCs w:val="17"/>
              </w:rPr>
              <w:t xml:space="preserve">Base clients &amp; prospects</w:t>
            </w:r>
          </w:p>
        </w:tc>
        <w:tc>
          <w:tcPr>
            <w:tcW w:w="2700" w:type="dxa"/>
            <w:shd w:val="clear" w:color="auto" w:fill="FFFFFF"/>
          </w:tcPr>
          <w:p>
            <w:r>
              <w:rPr>
                <w:color w:val="000000"/>
                <w:sz w:val="17"/>
                <w:szCs w:val="17"/>
              </w:rPr>
              <w:t xml:space="preserve">Nouveaux arrivages, pièces rares disponibles, promotions, témoignages clients</w:t>
            </w:r>
          </w:p>
        </w:tc>
        <w:tc>
          <w:tcPr>
            <w:tcW w:w="1500" w:type="dxa"/>
            <w:shd w:val="clear" w:color="auto" w:fill="FFFFFF"/>
          </w:tcPr>
          <w:p>
            <w:r>
              <w:rPr>
                <w:color w:val="000000"/>
                <w:sz w:val="17"/>
                <w:szCs w:val="17"/>
              </w:rPr>
              <w:t xml:space="preserve">Fidélisation &amp; retour sur site</w:t>
            </w:r>
          </w:p>
        </w:tc>
      </w:tr>
      <w:tr>
        <w:tc>
          <w:tcPr>
            <w:tcW w:w="2000" w:type="dxa"/>
            <w:shd w:val="clear" w:color="auto" w:fill="EEF4FB"/>
          </w:tcPr>
          <w:p>
            <w:r>
              <w:rPr>
                <w:color w:val="000000"/>
                <w:sz w:val="17"/>
                <w:szCs w:val="17"/>
              </w:rPr>
              <w:t xml:space="preserve">Alerte disponibilité</w:t>
            </w:r>
          </w:p>
        </w:tc>
        <w:tc>
          <w:tcPr>
            <w:tcW w:w="2000" w:type="dxa"/>
            <w:shd w:val="clear" w:color="auto" w:fill="EEF4FB"/>
          </w:tcPr>
          <w:p>
            <w:r>
              <w:rPr>
                <w:color w:val="000000"/>
                <w:sz w:val="17"/>
                <w:szCs w:val="17"/>
              </w:rPr>
              <w:t xml:space="preserve">Remise en stock d'un article demandé</w:t>
            </w:r>
          </w:p>
        </w:tc>
        <w:tc>
          <w:tcPr>
            <w:tcW w:w="2700" w:type="dxa"/>
            <w:shd w:val="clear" w:color="auto" w:fill="EEF4FB"/>
          </w:tcPr>
          <w:p>
            <w:r>
              <w:rPr>
                <w:color w:val="000000"/>
                <w:sz w:val="17"/>
                <w:szCs w:val="17"/>
              </w:rPr>
              <w:t xml:space="preserve">Notification personnalisée avec lien fiche produit + bouton WhatsApp</w:t>
            </w:r>
          </w:p>
        </w:tc>
        <w:tc>
          <w:tcPr>
            <w:tcW w:w="1500" w:type="dxa"/>
            <w:shd w:val="clear" w:color="auto" w:fill="EEF4FB"/>
          </w:tcPr>
          <w:p>
            <w:r>
              <w:rPr>
                <w:color w:val="000000"/>
                <w:sz w:val="17"/>
                <w:szCs w:val="17"/>
              </w:rPr>
              <w:t xml:space="preserve">Conversion immédiate</w:t>
            </w:r>
          </w:p>
        </w:tc>
      </w:tr>
      <w:tr>
        <w:tc>
          <w:tcPr>
            <w:tcW w:w="2000" w:type="dxa"/>
            <w:shd w:val="clear" w:color="auto" w:fill="FFFFFF"/>
          </w:tcPr>
          <w:p>
            <w:r>
              <w:rPr>
                <w:color w:val="000000"/>
                <w:sz w:val="17"/>
                <w:szCs w:val="17"/>
              </w:rPr>
              <w:t xml:space="preserve">Réactivation prospect inactif</w:t>
            </w:r>
          </w:p>
        </w:tc>
        <w:tc>
          <w:tcPr>
            <w:tcW w:w="2000" w:type="dxa"/>
            <w:shd w:val="clear" w:color="auto" w:fill="FFFFFF"/>
          </w:tcPr>
          <w:p>
            <w:r>
              <w:rPr>
                <w:color w:val="000000"/>
                <w:sz w:val="17"/>
                <w:szCs w:val="17"/>
              </w:rPr>
              <w:t xml:space="preserve">90 jours sans devis ni commande</w:t>
            </w:r>
          </w:p>
        </w:tc>
        <w:tc>
          <w:tcPr>
            <w:tcW w:w="2700" w:type="dxa"/>
            <w:shd w:val="clear" w:color="auto" w:fill="FFFFFF"/>
          </w:tcPr>
          <w:p>
            <w:r>
              <w:rPr>
                <w:color w:val="000000"/>
                <w:sz w:val="17"/>
                <w:szCs w:val="17"/>
              </w:rPr>
              <w:t xml:space="preserve">Offre spéciale + rappel du positionnement "obsolète disponible"</w:t>
            </w:r>
          </w:p>
        </w:tc>
        <w:tc>
          <w:tcPr>
            <w:tcW w:w="1500" w:type="dxa"/>
            <w:shd w:val="clear" w:color="auto" w:fill="FFFFFF"/>
          </w:tcPr>
          <w:p>
            <w:r>
              <w:rPr>
                <w:color w:val="000000"/>
                <w:sz w:val="17"/>
                <w:szCs w:val="17"/>
              </w:rPr>
              <w:t xml:space="preserve">Rétention</w:t>
            </w:r>
          </w:p>
        </w:tc>
      </w:tr>
    </w:tbl>
    <w:p>
      <w:pPr>
        <w:spacing w:before="100" w:after="100"/>
      </w:pPr>
    </w:p>
    <w:p>
      <w:pPr>
        <w:pStyle w:val="Heading3"/>
      </w:pPr>
      <w:r>
        <w:t xml:space="preserve">Canal 6 – Marketplaces B2B (visibilité internationale &amp; grands comptes)</w:t>
      </w:r>
    </w:p>
    <w:tbl>
      <w:tblPr>
        <w:tblW w:w="82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00"/>
        <w:gridCol w:w="2200"/>
        <w:gridCol w:w="2700"/>
        <w:gridCol w:w="1300"/>
      </w:tblGrid>
      <w:tr>
        <w:tc>
          <w:tcPr>
            <w:tcW w:w="2000" w:type="dxa"/>
            <w:shd w:val="clear" w:color="auto" w:fill="1F3864"/>
          </w:tcPr>
          <w:p>
            <w:r>
              <w:rPr>
                <w:b/>
                <w:color w:val="FFFFFF"/>
                <w:sz w:val="17"/>
                <w:szCs w:val="17"/>
              </w:rPr>
              <w:t xml:space="preserve">Plateforme</w:t>
            </w:r>
          </w:p>
        </w:tc>
        <w:tc>
          <w:tcPr>
            <w:tcW w:w="2200" w:type="dxa"/>
            <w:shd w:val="clear" w:color="auto" w:fill="1F3864"/>
          </w:tcPr>
          <w:p>
            <w:r>
              <w:rPr>
                <w:b/>
                <w:color w:val="FFFFFF"/>
                <w:sz w:val="17"/>
                <w:szCs w:val="17"/>
              </w:rPr>
              <w:t xml:space="preserve">Audience principale</w:t>
            </w:r>
          </w:p>
        </w:tc>
        <w:tc>
          <w:tcPr>
            <w:tcW w:w="2700" w:type="dxa"/>
            <w:shd w:val="clear" w:color="auto" w:fill="1F3864"/>
          </w:tcPr>
          <w:p>
            <w:r>
              <w:rPr>
                <w:b/>
                <w:color w:val="FFFFFF"/>
                <w:sz w:val="17"/>
                <w:szCs w:val="17"/>
              </w:rPr>
              <w:t xml:space="preserve">Intérêt pour ce projet</w:t>
            </w:r>
          </w:p>
        </w:tc>
        <w:tc>
          <w:tcPr>
            <w:tcW w:w="1300" w:type="dxa"/>
            <w:shd w:val="clear" w:color="auto" w:fill="1F3864"/>
          </w:tcPr>
          <w:p>
            <w:r>
              <w:rPr>
                <w:b/>
                <w:color w:val="FFFFFF"/>
                <w:sz w:val="17"/>
                <w:szCs w:val="17"/>
              </w:rPr>
              <w:t xml:space="preserve">Type de présence</w:t>
            </w:r>
          </w:p>
        </w:tc>
      </w:tr>
      <w:tr>
        <w:tc>
          <w:tcPr>
            <w:tcW w:w="2000" w:type="dxa"/>
            <w:shd w:val="clear" w:color="auto" w:fill="EEF4FB"/>
          </w:tcPr>
          <w:p>
            <w:r>
              <w:rPr>
                <w:color w:val="000000"/>
                <w:sz w:val="17"/>
                <w:szCs w:val="17"/>
              </w:rPr>
              <w:t xml:space="preserve">DirectIndustry</w:t>
            </w:r>
          </w:p>
        </w:tc>
        <w:tc>
          <w:tcPr>
            <w:tcW w:w="2200" w:type="dxa"/>
            <w:shd w:val="clear" w:color="auto" w:fill="EEF4FB"/>
          </w:tcPr>
          <w:p>
            <w:r>
              <w:rPr>
                <w:color w:val="000000"/>
                <w:sz w:val="17"/>
                <w:szCs w:val="17"/>
              </w:rPr>
              <w:t xml:space="preserve">Ingénieurs, acheteurs, DT Europe + Afrique du Nord</w:t>
            </w:r>
          </w:p>
        </w:tc>
        <w:tc>
          <w:tcPr>
            <w:tcW w:w="2700" w:type="dxa"/>
            <w:shd w:val="clear" w:color="auto" w:fill="EEF4FB"/>
          </w:tcPr>
          <w:p>
            <w:r>
              <w:rPr>
                <w:color w:val="000000"/>
                <w:sz w:val="17"/>
                <w:szCs w:val="17"/>
              </w:rPr>
              <w:t xml:space="preserve">Consultée par acheteurs marocains grands groupes et par clients européens cherchant pièces obsolètes</w:t>
            </w:r>
          </w:p>
        </w:tc>
        <w:tc>
          <w:tcPr>
            <w:tcW w:w="1300" w:type="dxa"/>
            <w:shd w:val="clear" w:color="auto" w:fill="EEF4FB"/>
          </w:tcPr>
          <w:p>
            <w:r>
              <w:rPr>
                <w:color w:val="000000"/>
                <w:sz w:val="17"/>
                <w:szCs w:val="17"/>
              </w:rPr>
              <w:t xml:space="preserve">Fiche fournisseur + catalogue produits + formulaire devis</w:t>
            </w:r>
          </w:p>
        </w:tc>
      </w:tr>
      <w:tr>
        <w:tc>
          <w:tcPr>
            <w:tcW w:w="2000" w:type="dxa"/>
            <w:shd w:val="clear" w:color="auto" w:fill="FFFFFF"/>
          </w:tcPr>
          <w:p>
            <w:r>
              <w:rPr>
                <w:color w:val="000000"/>
                <w:sz w:val="17"/>
                <w:szCs w:val="17"/>
              </w:rPr>
              <w:t xml:space="preserve">Europages</w:t>
            </w:r>
          </w:p>
        </w:tc>
        <w:tc>
          <w:tcPr>
            <w:tcW w:w="2200" w:type="dxa"/>
            <w:shd w:val="clear" w:color="auto" w:fill="FFFFFF"/>
          </w:tcPr>
          <w:p>
            <w:r>
              <w:rPr>
                <w:color w:val="000000"/>
                <w:sz w:val="17"/>
                <w:szCs w:val="17"/>
              </w:rPr>
              <w:t xml:space="preserve">Acheteurs B2B Europe et Afrique (26 langues)</w:t>
            </w:r>
          </w:p>
        </w:tc>
        <w:tc>
          <w:tcPr>
            <w:tcW w:w="2700" w:type="dxa"/>
            <w:shd w:val="clear" w:color="auto" w:fill="FFFFFF"/>
          </w:tcPr>
          <w:p>
            <w:r>
              <w:rPr>
                <w:color w:val="000000"/>
                <w:sz w:val="17"/>
                <w:szCs w:val="17"/>
              </w:rPr>
              <w:t xml:space="preserve">Visibilité auprès de clients européens cherchant fournisseurs hors UE</w:t>
            </w:r>
          </w:p>
        </w:tc>
        <w:tc>
          <w:tcPr>
            <w:tcW w:w="1300" w:type="dxa"/>
            <w:shd w:val="clear" w:color="auto" w:fill="FFFFFF"/>
          </w:tcPr>
          <w:p>
            <w:r>
              <w:rPr>
                <w:color w:val="000000"/>
                <w:sz w:val="17"/>
                <w:szCs w:val="17"/>
              </w:rPr>
              <w:t xml:space="preserve">Profil fournisseur + catégories produits</w:t>
            </w:r>
          </w:p>
        </w:tc>
      </w:tr>
      <w:tr>
        <w:tc>
          <w:tcPr>
            <w:tcW w:w="2000" w:type="dxa"/>
            <w:shd w:val="clear" w:color="auto" w:fill="EEF4FB"/>
          </w:tcPr>
          <w:p>
            <w:r>
              <w:rPr>
                <w:color w:val="000000"/>
                <w:sz w:val="17"/>
                <w:szCs w:val="17"/>
              </w:rPr>
              <w:t xml:space="preserve">Kompass</w:t>
            </w:r>
          </w:p>
        </w:tc>
        <w:tc>
          <w:tcPr>
            <w:tcW w:w="2200" w:type="dxa"/>
            <w:shd w:val="clear" w:color="auto" w:fill="EEF4FB"/>
          </w:tcPr>
          <w:p>
            <w:r>
              <w:rPr>
                <w:color w:val="000000"/>
                <w:sz w:val="17"/>
                <w:szCs w:val="17"/>
              </w:rPr>
              <w:t xml:space="preserve">Acheteurs industriels et distributeurs internationaux</w:t>
            </w:r>
          </w:p>
        </w:tc>
        <w:tc>
          <w:tcPr>
            <w:tcW w:w="2700" w:type="dxa"/>
            <w:shd w:val="clear" w:color="auto" w:fill="EEF4FB"/>
          </w:tcPr>
          <w:p>
            <w:r>
              <w:rPr>
                <w:color w:val="000000"/>
                <w:sz w:val="17"/>
                <w:szCs w:val="17"/>
              </w:rPr>
              <w:t xml:space="preserve">Référencement fournisseur crédible pour export</w:t>
            </w:r>
          </w:p>
        </w:tc>
        <w:tc>
          <w:tcPr>
            <w:tcW w:w="1300" w:type="dxa"/>
            <w:shd w:val="clear" w:color="auto" w:fill="EEF4FB"/>
          </w:tcPr>
          <w:p>
            <w:r>
              <w:rPr>
                <w:color w:val="000000"/>
                <w:sz w:val="17"/>
                <w:szCs w:val="17"/>
              </w:rPr>
              <w:t xml:space="preserve">Fiche fournisseur certifiée</w:t>
            </w:r>
          </w:p>
        </w:tc>
      </w:tr>
      <w:tr>
        <w:tc>
          <w:tcPr>
            <w:tcW w:w="2000" w:type="dxa"/>
            <w:shd w:val="clear" w:color="auto" w:fill="FFFFFF"/>
          </w:tcPr>
          <w:p>
            <w:r>
              <w:rPr>
                <w:color w:val="000000"/>
                <w:sz w:val="17"/>
                <w:szCs w:val="17"/>
              </w:rPr>
              <w:t xml:space="preserve">Annuaires &amp; forums industriels marocains</w:t>
            </w:r>
          </w:p>
        </w:tc>
        <w:tc>
          <w:tcPr>
            <w:tcW w:w="2200" w:type="dxa"/>
            <w:shd w:val="clear" w:color="auto" w:fill="FFFFFF"/>
          </w:tcPr>
          <w:p>
            <w:r>
              <w:rPr>
                <w:color w:val="000000"/>
                <w:sz w:val="17"/>
                <w:szCs w:val="17"/>
              </w:rPr>
              <w:t xml:space="preserve">PME et grandes industries marocaines</w:t>
            </w:r>
          </w:p>
        </w:tc>
        <w:tc>
          <w:tcPr>
            <w:tcW w:w="2700" w:type="dxa"/>
            <w:shd w:val="clear" w:color="auto" w:fill="FFFFFF"/>
          </w:tcPr>
          <w:p>
            <w:r>
              <w:rPr>
                <w:color w:val="000000"/>
                <w:sz w:val="17"/>
                <w:szCs w:val="17"/>
              </w:rPr>
              <w:t xml:space="preserve">Présence locale reconnue (Maroc Annonces Pro, forums maintenance)</w:t>
            </w:r>
          </w:p>
        </w:tc>
        <w:tc>
          <w:tcPr>
            <w:tcW w:w="1300" w:type="dxa"/>
            <w:shd w:val="clear" w:color="auto" w:fill="FFFFFF"/>
          </w:tcPr>
          <w:p>
            <w:r>
              <w:rPr>
                <w:color w:val="000000"/>
                <w:sz w:val="17"/>
                <w:szCs w:val="17"/>
              </w:rPr>
              <w:t xml:space="preserve">Référencement gratuit ou faible coût</w:t>
            </w:r>
          </w:p>
        </w:tc>
      </w:tr>
    </w:tbl>
    <w:p>
      <w:pPr>
        <w:spacing w:before="100" w:after="100"/>
      </w:pPr>
    </w:p>
    <w:p>
      <w:pPr>
        <w:pStyle w:val="Heading2"/>
      </w:pPr>
      <w:r>
        <w:t xml:space="preserve">10.6 KPIs &amp; métriques de suivi des leads</w:t>
      </w:r>
    </w:p>
    <w:p>
      <w:pPr>
        <w:spacing w:before="80" w:after="80"/>
      </w:pPr>
      <w:r>
        <w:t xml:space="preserve">Les indicateurs ci-dessous sont directement mesurables depuis le module de reporting du back-office (Module 5) et les outils analytics. Le champ source_acquisition recommandé dans la table LEAD permet le suivi du ROI par canal.</w:t>
      </w:r>
    </w:p>
    <w:p>
      <w:pPr>
        <w:spacing w:before="100" w:after="100"/>
      </w:pPr>
    </w:p>
    <w:tbl>
      <w:tblPr>
        <w:tblW w:w="82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00"/>
        <w:gridCol w:w="2300"/>
        <w:gridCol w:w="1600"/>
        <w:gridCol w:w="2000"/>
      </w:tblGrid>
      <w:tr>
        <w:tc>
          <w:tcPr>
            <w:tcW w:w="2300" w:type="dxa"/>
            <w:shd w:val="clear" w:color="auto" w:fill="1F3864"/>
          </w:tcPr>
          <w:p>
            <w:r>
              <w:rPr>
                <w:b/>
                <w:color w:val="FFFFFF"/>
                <w:sz w:val="17"/>
                <w:szCs w:val="17"/>
              </w:rPr>
              <w:t xml:space="preserve">KPI</w:t>
            </w:r>
          </w:p>
        </w:tc>
        <w:tc>
          <w:tcPr>
            <w:tcW w:w="2300" w:type="dxa"/>
            <w:shd w:val="clear" w:color="auto" w:fill="1F3864"/>
          </w:tcPr>
          <w:p>
            <w:r>
              <w:rPr>
                <w:b/>
                <w:color w:val="FFFFFF"/>
                <w:sz w:val="17"/>
                <w:szCs w:val="17"/>
              </w:rPr>
              <w:t xml:space="preserve">Définition</w:t>
            </w:r>
          </w:p>
        </w:tc>
        <w:tc>
          <w:tcPr>
            <w:tcW w:w="1600" w:type="dxa"/>
            <w:shd w:val="clear" w:color="auto" w:fill="1F3864"/>
          </w:tcPr>
          <w:p>
            <w:r>
              <w:rPr>
                <w:b/>
                <w:color w:val="FFFFFF"/>
                <w:sz w:val="17"/>
                <w:szCs w:val="17"/>
              </w:rPr>
              <w:t xml:space="preserve">Cible</w:t>
            </w:r>
          </w:p>
        </w:tc>
        <w:tc>
          <w:tcPr>
            <w:tcW w:w="2000" w:type="dxa"/>
            <w:shd w:val="clear" w:color="auto" w:fill="1F3864"/>
          </w:tcPr>
          <w:p>
            <w:r>
              <w:rPr>
                <w:b/>
                <w:color w:val="FFFFFF"/>
                <w:sz w:val="17"/>
                <w:szCs w:val="17"/>
              </w:rPr>
              <w:t xml:space="preserve">Source</w:t>
            </w:r>
          </w:p>
        </w:tc>
      </w:tr>
      <w:tr>
        <w:tc>
          <w:tcPr>
            <w:tcW w:w="2300" w:type="dxa"/>
            <w:shd w:val="clear" w:color="auto" w:fill="EEF4FB"/>
          </w:tcPr>
          <w:p>
            <w:r>
              <w:rPr>
                <w:color w:val="000000"/>
                <w:sz w:val="17"/>
                <w:szCs w:val="17"/>
              </w:rPr>
              <w:t xml:space="preserve">Taux de conversion visiteur → lead</w:t>
            </w:r>
          </w:p>
        </w:tc>
        <w:tc>
          <w:tcPr>
            <w:tcW w:w="2300" w:type="dxa"/>
            <w:shd w:val="clear" w:color="auto" w:fill="EEF4FB"/>
          </w:tcPr>
          <w:p>
            <w:r>
              <w:rPr>
                <w:color w:val="000000"/>
                <w:sz w:val="17"/>
                <w:szCs w:val="17"/>
              </w:rPr>
              <w:t xml:space="preserve">Nb demandes devis / nb visiteurs uniques</w:t>
            </w:r>
          </w:p>
        </w:tc>
        <w:tc>
          <w:tcPr>
            <w:tcW w:w="1600" w:type="dxa"/>
            <w:shd w:val="clear" w:color="auto" w:fill="EEF4FB"/>
          </w:tcPr>
          <w:p>
            <w:r>
              <w:rPr>
                <w:color w:val="000000"/>
                <w:sz w:val="17"/>
                <w:szCs w:val="17"/>
              </w:rPr>
              <w:t xml:space="preserve">≥ 3 % (marché marocain : intention forte)</w:t>
            </w:r>
          </w:p>
        </w:tc>
        <w:tc>
          <w:tcPr>
            <w:tcW w:w="2000" w:type="dxa"/>
            <w:shd w:val="clear" w:color="auto" w:fill="EEF4FB"/>
          </w:tcPr>
          <w:p>
            <w:r>
              <w:rPr>
                <w:color w:val="000000"/>
                <w:sz w:val="17"/>
                <w:szCs w:val="17"/>
              </w:rPr>
              <w:t xml:space="preserve">Analytics + module LEAD</w:t>
            </w:r>
          </w:p>
        </w:tc>
      </w:tr>
      <w:tr>
        <w:tc>
          <w:tcPr>
            <w:tcW w:w="2300" w:type="dxa"/>
            <w:shd w:val="clear" w:color="auto" w:fill="FFFFFF"/>
          </w:tcPr>
          <w:p>
            <w:r>
              <w:rPr>
                <w:color w:val="000000"/>
                <w:sz w:val="17"/>
                <w:szCs w:val="17"/>
              </w:rPr>
              <w:t xml:space="preserve">Délai traitement lead</w:t>
            </w:r>
          </w:p>
        </w:tc>
        <w:tc>
          <w:tcPr>
            <w:tcW w:w="2300" w:type="dxa"/>
            <w:shd w:val="clear" w:color="auto" w:fill="FFFFFF"/>
          </w:tcPr>
          <w:p>
            <w:r>
              <w:rPr>
                <w:color w:val="000000"/>
                <w:sz w:val="17"/>
                <w:szCs w:val="17"/>
              </w:rPr>
              <w:t xml:space="preserve">Temps entre statut NOUVEAU et DEVIS_ENVOYE</w:t>
            </w:r>
          </w:p>
        </w:tc>
        <w:tc>
          <w:tcPr>
            <w:tcW w:w="1600" w:type="dxa"/>
            <w:shd w:val="clear" w:color="auto" w:fill="FFFFFF"/>
          </w:tcPr>
          <w:p>
            <w:r>
              <w:rPr>
                <w:color w:val="000000"/>
                <w:sz w:val="17"/>
                <w:szCs w:val="17"/>
              </w:rPr>
              <w:t xml:space="preserve">&lt; 24h ouvrées</w:t>
            </w:r>
          </w:p>
        </w:tc>
        <w:tc>
          <w:tcPr>
            <w:tcW w:w="2000" w:type="dxa"/>
            <w:shd w:val="clear" w:color="auto" w:fill="FFFFFF"/>
          </w:tcPr>
          <w:p>
            <w:r>
              <w:rPr>
                <w:color w:val="000000"/>
                <w:sz w:val="17"/>
                <w:szCs w:val="17"/>
              </w:rPr>
              <w:t xml:space="preserve">Table LEAD – champ date_traitement</w:t>
            </w:r>
          </w:p>
        </w:tc>
      </w:tr>
      <w:tr>
        <w:tc>
          <w:tcPr>
            <w:tcW w:w="2300" w:type="dxa"/>
            <w:shd w:val="clear" w:color="auto" w:fill="EEF4FB"/>
          </w:tcPr>
          <w:p>
            <w:r>
              <w:rPr>
                <w:color w:val="000000"/>
                <w:sz w:val="17"/>
                <w:szCs w:val="17"/>
              </w:rPr>
              <w:t xml:space="preserve">Taux conversion lead → devis accepté</w:t>
            </w:r>
          </w:p>
        </w:tc>
        <w:tc>
          <w:tcPr>
            <w:tcW w:w="2300" w:type="dxa"/>
            <w:shd w:val="clear" w:color="auto" w:fill="EEF4FB"/>
          </w:tcPr>
          <w:p>
            <w:r>
              <w:rPr>
                <w:color w:val="000000"/>
                <w:sz w:val="17"/>
                <w:szCs w:val="17"/>
              </w:rPr>
              <w:t xml:space="preserve">Nb leads ACCEPTE / nb leads total</w:t>
            </w:r>
          </w:p>
        </w:tc>
        <w:tc>
          <w:tcPr>
            <w:tcW w:w="1600" w:type="dxa"/>
            <w:shd w:val="clear" w:color="auto" w:fill="EEF4FB"/>
          </w:tcPr>
          <w:p>
            <w:r>
              <w:rPr>
                <w:color w:val="000000"/>
                <w:sz w:val="17"/>
                <w:szCs w:val="17"/>
              </w:rPr>
              <w:t xml:space="preserve">≥ 25 %</w:t>
            </w:r>
          </w:p>
        </w:tc>
        <w:tc>
          <w:tcPr>
            <w:tcW w:w="2000" w:type="dxa"/>
            <w:shd w:val="clear" w:color="auto" w:fill="EEF4FB"/>
          </w:tcPr>
          <w:p>
            <w:r>
              <w:rPr>
                <w:color w:val="000000"/>
                <w:sz w:val="17"/>
                <w:szCs w:val="17"/>
              </w:rPr>
              <w:t xml:space="preserve">Module LEAD – statut</w:t>
            </w:r>
          </w:p>
        </w:tc>
      </w:tr>
      <w:tr>
        <w:tc>
          <w:tcPr>
            <w:tcW w:w="2300" w:type="dxa"/>
            <w:shd w:val="clear" w:color="auto" w:fill="FFFFFF"/>
          </w:tcPr>
          <w:p>
            <w:r>
              <w:rPr>
                <w:color w:val="000000"/>
                <w:sz w:val="17"/>
                <w:szCs w:val="17"/>
              </w:rPr>
              <w:t xml:space="preserve">Taux conversion devis → BC</w:t>
            </w:r>
          </w:p>
        </w:tc>
        <w:tc>
          <w:tcPr>
            <w:tcW w:w="2300" w:type="dxa"/>
            <w:shd w:val="clear" w:color="auto" w:fill="FFFFFF"/>
          </w:tcPr>
          <w:p>
            <w:r>
              <w:rPr>
                <w:color w:val="000000"/>
                <w:sz w:val="17"/>
                <w:szCs w:val="17"/>
              </w:rPr>
              <w:t xml:space="preserve">Nb BON_COMMANDE créés / nb devis envoyés</w:t>
            </w:r>
          </w:p>
        </w:tc>
        <w:tc>
          <w:tcPr>
            <w:tcW w:w="1600" w:type="dxa"/>
            <w:shd w:val="clear" w:color="auto" w:fill="FFFFFF"/>
          </w:tcPr>
          <w:p>
            <w:r>
              <w:rPr>
                <w:color w:val="000000"/>
                <w:sz w:val="17"/>
                <w:szCs w:val="17"/>
              </w:rPr>
              <w:t xml:space="preserve">≥ 30 %</w:t>
            </w:r>
          </w:p>
        </w:tc>
        <w:tc>
          <w:tcPr>
            <w:tcW w:w="2000" w:type="dxa"/>
            <w:shd w:val="clear" w:color="auto" w:fill="FFFFFF"/>
          </w:tcPr>
          <w:p>
            <w:r>
              <w:rPr>
                <w:color w:val="000000"/>
                <w:sz w:val="17"/>
                <w:szCs w:val="17"/>
              </w:rPr>
              <w:t xml:space="preserve">Table BON_COMMANDE – id_lead</w:t>
            </w:r>
          </w:p>
        </w:tc>
      </w:tr>
      <w:tr>
        <w:tc>
          <w:tcPr>
            <w:tcW w:w="2300" w:type="dxa"/>
            <w:shd w:val="clear" w:color="auto" w:fill="EEF4FB"/>
          </w:tcPr>
          <w:p>
            <w:r>
              <w:rPr>
                <w:color w:val="000000"/>
                <w:sz w:val="17"/>
                <w:szCs w:val="17"/>
              </w:rPr>
              <w:t xml:space="preserve">Panier moyen</w:t>
            </w:r>
          </w:p>
        </w:tc>
        <w:tc>
          <w:tcPr>
            <w:tcW w:w="2300" w:type="dxa"/>
            <w:shd w:val="clear" w:color="auto" w:fill="EEF4FB"/>
          </w:tcPr>
          <w:p>
            <w:r>
              <w:rPr>
                <w:color w:val="000000"/>
                <w:sz w:val="17"/>
                <w:szCs w:val="17"/>
              </w:rPr>
              <w:t xml:space="preserve">total_ht moyen des BC</w:t>
            </w:r>
          </w:p>
        </w:tc>
        <w:tc>
          <w:tcPr>
            <w:tcW w:w="1600" w:type="dxa"/>
            <w:shd w:val="clear" w:color="auto" w:fill="EEF4FB"/>
          </w:tcPr>
          <w:p>
            <w:r>
              <w:rPr>
                <w:color w:val="000000"/>
                <w:sz w:val="17"/>
                <w:szCs w:val="17"/>
              </w:rPr>
              <w:t xml:space="preserve">Suivi mensuel (évolution)</w:t>
            </w:r>
          </w:p>
        </w:tc>
        <w:tc>
          <w:tcPr>
            <w:tcW w:w="2000" w:type="dxa"/>
            <w:shd w:val="clear" w:color="auto" w:fill="EEF4FB"/>
          </w:tcPr>
          <w:p>
            <w:r>
              <w:rPr>
                <w:color w:val="000000"/>
                <w:sz w:val="17"/>
                <w:szCs w:val="17"/>
              </w:rPr>
              <w:t xml:space="preserve">Table BON_COMMANDE – total_ht</w:t>
            </w:r>
          </w:p>
        </w:tc>
      </w:tr>
      <w:tr>
        <w:tc>
          <w:tcPr>
            <w:tcW w:w="2300" w:type="dxa"/>
            <w:shd w:val="clear" w:color="auto" w:fill="FFFFFF"/>
          </w:tcPr>
          <w:p>
            <w:r>
              <w:rPr>
                <w:color w:val="000000"/>
                <w:sz w:val="17"/>
                <w:szCs w:val="17"/>
              </w:rPr>
              <w:t xml:space="preserve">Part des leads par canal</w:t>
            </w:r>
          </w:p>
        </w:tc>
        <w:tc>
          <w:tcPr>
            <w:tcW w:w="2300" w:type="dxa"/>
            <w:shd w:val="clear" w:color="auto" w:fill="FFFFFF"/>
          </w:tcPr>
          <w:p>
            <w:r>
              <w:rPr>
                <w:color w:val="000000"/>
                <w:sz w:val="17"/>
                <w:szCs w:val="17"/>
              </w:rPr>
              <w:t xml:space="preserve">Nb leads / canal (source_acquisition)</w:t>
            </w:r>
          </w:p>
        </w:tc>
        <w:tc>
          <w:tcPr>
            <w:tcW w:w="1600" w:type="dxa"/>
            <w:shd w:val="clear" w:color="auto" w:fill="FFFFFF"/>
          </w:tcPr>
          <w:p>
            <w:r>
              <w:rPr>
                <w:color w:val="000000"/>
                <w:sz w:val="17"/>
                <w:szCs w:val="17"/>
              </w:rPr>
              <w:t xml:space="preserve">LinkedIn &gt; 40 %, SEO &gt; 30 % à 6 mois</w:t>
            </w:r>
          </w:p>
        </w:tc>
        <w:tc>
          <w:tcPr>
            <w:tcW w:w="2000" w:type="dxa"/>
            <w:shd w:val="clear" w:color="auto" w:fill="FFFFFF"/>
          </w:tcPr>
          <w:p>
            <w:r>
              <w:rPr>
                <w:color w:val="000000"/>
                <w:sz w:val="17"/>
                <w:szCs w:val="17"/>
              </w:rPr>
              <w:t xml:space="preserve">Champ source_acquisition table LEAD</w:t>
            </w:r>
          </w:p>
        </w:tc>
      </w:tr>
      <w:tr>
        <w:tc>
          <w:tcPr>
            <w:tcW w:w="2300" w:type="dxa"/>
            <w:shd w:val="clear" w:color="auto" w:fill="EEF4FB"/>
          </w:tcPr>
          <w:p>
            <w:r>
              <w:rPr>
                <w:color w:val="000000"/>
                <w:sz w:val="17"/>
                <w:szCs w:val="17"/>
              </w:rPr>
              <w:t xml:space="preserve">Taux de réponse WhatsApp</w:t>
            </w:r>
          </w:p>
        </w:tc>
        <w:tc>
          <w:tcPr>
            <w:tcW w:w="2300" w:type="dxa"/>
            <w:shd w:val="clear" w:color="auto" w:fill="EEF4FB"/>
          </w:tcPr>
          <w:p>
            <w:r>
              <w:rPr>
                <w:color w:val="000000"/>
                <w:sz w:val="17"/>
                <w:szCs w:val="17"/>
              </w:rPr>
              <w:t xml:space="preserve">Nb conversations → lead créé dans back-office</w:t>
            </w:r>
          </w:p>
        </w:tc>
        <w:tc>
          <w:tcPr>
            <w:tcW w:w="1600" w:type="dxa"/>
            <w:shd w:val="clear" w:color="auto" w:fill="EEF4FB"/>
          </w:tcPr>
          <w:p>
            <w:r>
              <w:rPr>
                <w:color w:val="000000"/>
                <w:sz w:val="17"/>
                <w:szCs w:val="17"/>
              </w:rPr>
              <w:t xml:space="preserve">≥ 60 %</w:t>
            </w:r>
          </w:p>
        </w:tc>
        <w:tc>
          <w:tcPr>
            <w:tcW w:w="2000" w:type="dxa"/>
            <w:shd w:val="clear" w:color="auto" w:fill="EEF4FB"/>
          </w:tcPr>
          <w:p>
            <w:r>
              <w:rPr>
                <w:color w:val="000000"/>
                <w:sz w:val="17"/>
                <w:szCs w:val="17"/>
              </w:rPr>
              <w:t xml:space="preserve">Suivi manuel + tableau de bord</w:t>
            </w:r>
          </w:p>
        </w:tc>
      </w:tr>
      <w:tr>
        <w:tc>
          <w:tcPr>
            <w:tcW w:w="2300" w:type="dxa"/>
            <w:shd w:val="clear" w:color="auto" w:fill="FFFFFF"/>
          </w:tcPr>
          <w:p>
            <w:r>
              <w:rPr>
                <w:color w:val="000000"/>
                <w:sz w:val="17"/>
                <w:szCs w:val="17"/>
              </w:rPr>
              <w:t xml:space="preserve">Positionnement SEO</w:t>
            </w:r>
          </w:p>
        </w:tc>
        <w:tc>
          <w:tcPr>
            <w:tcW w:w="2300" w:type="dxa"/>
            <w:shd w:val="clear" w:color="auto" w:fill="FFFFFF"/>
          </w:tcPr>
          <w:p>
            <w:r>
              <w:rPr>
                <w:color w:val="000000"/>
                <w:sz w:val="17"/>
                <w:szCs w:val="17"/>
              </w:rPr>
              <w:t xml:space="preserve">Rang Google sur 10 requêtes cibles (ex: "variateur occasion Maroc")</w:t>
            </w:r>
          </w:p>
        </w:tc>
        <w:tc>
          <w:tcPr>
            <w:tcW w:w="1600" w:type="dxa"/>
            <w:shd w:val="clear" w:color="auto" w:fill="FFFFFF"/>
          </w:tcPr>
          <w:p>
            <w:r>
              <w:rPr>
                <w:color w:val="000000"/>
                <w:sz w:val="17"/>
                <w:szCs w:val="17"/>
              </w:rPr>
              <w:t xml:space="preserve">Top 5 à 12 mois</w:t>
            </w:r>
          </w:p>
        </w:tc>
        <w:tc>
          <w:tcPr>
            <w:tcW w:w="2000" w:type="dxa"/>
            <w:shd w:val="clear" w:color="auto" w:fill="FFFFFF"/>
          </w:tcPr>
          <w:p>
            <w:r>
              <w:rPr>
                <w:color w:val="000000"/>
                <w:sz w:val="17"/>
                <w:szCs w:val="17"/>
              </w:rPr>
              <w:t xml:space="preserve">Google Search Console</w:t>
            </w:r>
          </w:p>
        </w:tc>
      </w:tr>
    </w:tbl>
    <w:p>
      <w:pPr>
        <w:spacing w:before="100" w:after="100"/>
      </w:pPr>
    </w:p>
    <w:p>
      <w:pPr>
        <w:pStyle w:val="Heading2"/>
      </w:pPr>
      <w:r>
        <w:t xml:space="preserve">10.7 Lien avec le module devis du logiciel</w:t>
      </w:r>
    </w:p>
    <w:p>
      <w:pPr>
        <w:spacing w:before="80" w:after="80"/>
      </w:pPr>
      <w:r>
        <w:t xml:space="preserve">La stratégie d'acquisition est directement connectée au Module 7 (Demandes de devis &amp; gestion des leads). Chaque canal alimente ce module, et un champ source_acquisition est recommandé dans la table LEAD pour tracer le ROI de chaque canal.</w:t>
      </w:r>
    </w:p>
    <w:p>
      <w:pPr>
        <w:spacing w:before="100" w:after="100"/>
      </w:pPr>
    </w:p>
    <w:tbl>
      <w:tblPr>
        <w:tblW w:w="82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00"/>
        <w:gridCol w:w="2000"/>
        <w:gridCol w:w="2300"/>
        <w:gridCol w:w="2000"/>
      </w:tblGrid>
      <w:tr>
        <w:tc>
          <w:tcPr>
            <w:tcW w:w="1900" w:type="dxa"/>
            <w:shd w:val="clear" w:color="auto" w:fill="1F3864"/>
          </w:tcPr>
          <w:p>
            <w:r>
              <w:rPr>
                <w:b/>
                <w:color w:val="FFFFFF"/>
                <w:sz w:val="17"/>
                <w:szCs w:val="17"/>
              </w:rPr>
              <w:t xml:space="preserve">Canal d'acquisition</w:t>
            </w:r>
          </w:p>
        </w:tc>
        <w:tc>
          <w:tcPr>
            <w:tcW w:w="2000" w:type="dxa"/>
            <w:shd w:val="clear" w:color="auto" w:fill="1F3864"/>
          </w:tcPr>
          <w:p>
            <w:r>
              <w:rPr>
                <w:b/>
                <w:color w:val="FFFFFF"/>
                <w:sz w:val="17"/>
                <w:szCs w:val="17"/>
              </w:rPr>
              <w:t xml:space="preserve">Point d'entrée logiciel</w:t>
            </w:r>
          </w:p>
        </w:tc>
        <w:tc>
          <w:tcPr>
            <w:tcW w:w="2300" w:type="dxa"/>
            <w:shd w:val="clear" w:color="auto" w:fill="1F3864"/>
          </w:tcPr>
          <w:p>
            <w:r>
              <w:rPr>
                <w:b/>
                <w:color w:val="FFFFFF"/>
                <w:sz w:val="17"/>
                <w:szCs w:val="17"/>
              </w:rPr>
              <w:t xml:space="preserve">Données capturées</w:t>
            </w:r>
          </w:p>
        </w:tc>
        <w:tc>
          <w:tcPr>
            <w:tcW w:w="2000" w:type="dxa"/>
            <w:shd w:val="clear" w:color="auto" w:fill="1F3864"/>
          </w:tcPr>
          <w:p>
            <w:r>
              <w:rPr>
                <w:b/>
                <w:color w:val="FFFFFF"/>
                <w:sz w:val="17"/>
                <w:szCs w:val="17"/>
              </w:rPr>
              <w:t xml:space="preserve">Action déclenchée</w:t>
            </w:r>
          </w:p>
        </w:tc>
      </w:tr>
      <w:tr>
        <w:tc>
          <w:tcPr>
            <w:tcW w:w="1900" w:type="dxa"/>
            <w:shd w:val="clear" w:color="auto" w:fill="EEF4FB"/>
          </w:tcPr>
          <w:p>
            <w:r>
              <w:rPr>
                <w:color w:val="000000"/>
                <w:sz w:val="17"/>
                <w:szCs w:val="17"/>
              </w:rPr>
              <w:t xml:space="preserve">SEO / trafic organique</w:t>
            </w:r>
          </w:p>
        </w:tc>
        <w:tc>
          <w:tcPr>
            <w:tcW w:w="2000" w:type="dxa"/>
            <w:shd w:val="clear" w:color="auto" w:fill="EEF4FB"/>
          </w:tcPr>
          <w:p>
            <w:r>
              <w:rPr>
                <w:color w:val="000000"/>
                <w:sz w:val="17"/>
                <w:szCs w:val="17"/>
              </w:rPr>
              <w:t xml:space="preserve">Formulaire devis site vitrine</w:t>
            </w:r>
          </w:p>
        </w:tc>
        <w:tc>
          <w:tcPr>
            <w:tcW w:w="2300" w:type="dxa"/>
            <w:shd w:val="clear" w:color="auto" w:fill="EEF4FB"/>
          </w:tcPr>
          <w:p>
            <w:r>
              <w:rPr>
                <w:color w:val="000000"/>
                <w:sz w:val="17"/>
                <w:szCs w:val="17"/>
              </w:rPr>
              <w:t xml:space="preserve">Coordonnées, articles, quantités, référence produit</w:t>
            </w:r>
          </w:p>
        </w:tc>
        <w:tc>
          <w:tcPr>
            <w:tcW w:w="2000" w:type="dxa"/>
            <w:shd w:val="clear" w:color="auto" w:fill="EEF4FB"/>
          </w:tcPr>
          <w:p>
            <w:r>
              <w:rPr>
                <w:color w:val="000000"/>
                <w:sz w:val="17"/>
                <w:szCs w:val="17"/>
              </w:rPr>
              <w:t xml:space="preserve">Création LEAD + email confirmation (RG-07) | source = "seo"</w:t>
            </w:r>
          </w:p>
        </w:tc>
      </w:tr>
      <w:tr>
        <w:tc>
          <w:tcPr>
            <w:tcW w:w="1900" w:type="dxa"/>
            <w:shd w:val="clear" w:color="auto" w:fill="FFFFFF"/>
          </w:tcPr>
          <w:p>
            <w:r>
              <w:rPr>
                <w:color w:val="000000"/>
                <w:sz w:val="17"/>
                <w:szCs w:val="17"/>
              </w:rPr>
              <w:t xml:space="preserve">LinkedIn Ads / Organic</w:t>
            </w:r>
          </w:p>
        </w:tc>
        <w:tc>
          <w:tcPr>
            <w:tcW w:w="2000" w:type="dxa"/>
            <w:shd w:val="clear" w:color="auto" w:fill="FFFFFF"/>
          </w:tcPr>
          <w:p>
            <w:r>
              <w:rPr>
                <w:color w:val="000000"/>
                <w:sz w:val="17"/>
                <w:szCs w:val="17"/>
              </w:rPr>
              <w:t xml:space="preserve">Landing page → formulaire devis</w:t>
            </w:r>
          </w:p>
        </w:tc>
        <w:tc>
          <w:tcPr>
            <w:tcW w:w="2300" w:type="dxa"/>
            <w:shd w:val="clear" w:color="auto" w:fill="FFFFFF"/>
          </w:tcPr>
          <w:p>
            <w:r>
              <w:rPr>
                <w:color w:val="000000"/>
                <w:sz w:val="17"/>
                <w:szCs w:val="17"/>
              </w:rPr>
              <w:t xml:space="preserve">Idem + tracking UTM LinkedIn</w:t>
            </w:r>
          </w:p>
        </w:tc>
        <w:tc>
          <w:tcPr>
            <w:tcW w:w="2000" w:type="dxa"/>
            <w:shd w:val="clear" w:color="auto" w:fill="FFFFFF"/>
          </w:tcPr>
          <w:p>
            <w:r>
              <w:rPr>
                <w:color w:val="000000"/>
                <w:sz w:val="17"/>
                <w:szCs w:val="17"/>
              </w:rPr>
              <w:t xml:space="preserve">Création LEAD | source = "linkedin"</w:t>
            </w:r>
          </w:p>
        </w:tc>
      </w:tr>
      <w:tr>
        <w:tc>
          <w:tcPr>
            <w:tcW w:w="1900" w:type="dxa"/>
            <w:shd w:val="clear" w:color="auto" w:fill="EEF4FB"/>
          </w:tcPr>
          <w:p>
            <w:r>
              <w:rPr>
                <w:color w:val="000000"/>
                <w:sz w:val="17"/>
                <w:szCs w:val="17"/>
              </w:rPr>
              <w:t xml:space="preserve">Facebook Ads / Lead Ads</w:t>
            </w:r>
          </w:p>
        </w:tc>
        <w:tc>
          <w:tcPr>
            <w:tcW w:w="2000" w:type="dxa"/>
            <w:shd w:val="clear" w:color="auto" w:fill="EEF4FB"/>
          </w:tcPr>
          <w:p>
            <w:r>
              <w:rPr>
                <w:color w:val="000000"/>
                <w:sz w:val="17"/>
                <w:szCs w:val="17"/>
              </w:rPr>
              <w:t xml:space="preserve">Formulaire Facebook → import back-office</w:t>
            </w:r>
          </w:p>
        </w:tc>
        <w:tc>
          <w:tcPr>
            <w:tcW w:w="2300" w:type="dxa"/>
            <w:shd w:val="clear" w:color="auto" w:fill="EEF4FB"/>
          </w:tcPr>
          <w:p>
            <w:r>
              <w:rPr>
                <w:color w:val="000000"/>
                <w:sz w:val="17"/>
                <w:szCs w:val="17"/>
              </w:rPr>
              <w:t xml:space="preserve">Coordonnées pré-remplies depuis Facebook</w:t>
            </w:r>
          </w:p>
        </w:tc>
        <w:tc>
          <w:tcPr>
            <w:tcW w:w="2000" w:type="dxa"/>
            <w:shd w:val="clear" w:color="auto" w:fill="EEF4FB"/>
          </w:tcPr>
          <w:p>
            <w:r>
              <w:rPr>
                <w:color w:val="000000"/>
                <w:sz w:val="17"/>
                <w:szCs w:val="17"/>
              </w:rPr>
              <w:t xml:space="preserve">Création LEAD | source = "facebook"</w:t>
            </w:r>
          </w:p>
        </w:tc>
      </w:tr>
      <w:tr>
        <w:tc>
          <w:tcPr>
            <w:tcW w:w="1900" w:type="dxa"/>
            <w:shd w:val="clear" w:color="auto" w:fill="FFFFFF"/>
          </w:tcPr>
          <w:p>
            <w:r>
              <w:rPr>
                <w:color w:val="000000"/>
                <w:sz w:val="17"/>
                <w:szCs w:val="17"/>
              </w:rPr>
              <w:t xml:space="preserve">WhatsApp Business</w:t>
            </w:r>
          </w:p>
        </w:tc>
        <w:tc>
          <w:tcPr>
            <w:tcW w:w="2000" w:type="dxa"/>
            <w:shd w:val="clear" w:color="auto" w:fill="FFFFFF"/>
          </w:tcPr>
          <w:p>
            <w:r>
              <w:rPr>
                <w:color w:val="000000"/>
                <w:sz w:val="17"/>
                <w:szCs w:val="17"/>
              </w:rPr>
              <w:t xml:space="preserve">Message WhatsApp → saisie manuelle commercial</w:t>
            </w:r>
          </w:p>
        </w:tc>
        <w:tc>
          <w:tcPr>
            <w:tcW w:w="2300" w:type="dxa"/>
            <w:shd w:val="clear" w:color="auto" w:fill="FFFFFF"/>
          </w:tcPr>
          <w:p>
            <w:r>
              <w:rPr>
                <w:color w:val="000000"/>
                <w:sz w:val="17"/>
                <w:szCs w:val="17"/>
              </w:rPr>
              <w:t xml:space="preserve">Besoin exprimé par message</w:t>
            </w:r>
          </w:p>
        </w:tc>
        <w:tc>
          <w:tcPr>
            <w:tcW w:w="2000" w:type="dxa"/>
            <w:shd w:val="clear" w:color="auto" w:fill="FFFFFF"/>
          </w:tcPr>
          <w:p>
            <w:r>
              <w:rPr>
                <w:color w:val="000000"/>
                <w:sz w:val="17"/>
                <w:szCs w:val="17"/>
              </w:rPr>
              <w:t xml:space="preserve">Création LEAD manuel | source = "whatsapp"</w:t>
            </w:r>
          </w:p>
        </w:tc>
      </w:tr>
      <w:tr>
        <w:tc>
          <w:tcPr>
            <w:tcW w:w="1900" w:type="dxa"/>
            <w:shd w:val="clear" w:color="auto" w:fill="EEF4FB"/>
          </w:tcPr>
          <w:p>
            <w:r>
              <w:rPr>
                <w:color w:val="000000"/>
                <w:sz w:val="17"/>
                <w:szCs w:val="17"/>
              </w:rPr>
              <w:t xml:space="preserve">Email marketing (CTA)</w:t>
            </w:r>
          </w:p>
        </w:tc>
        <w:tc>
          <w:tcPr>
            <w:tcW w:w="2000" w:type="dxa"/>
            <w:shd w:val="clear" w:color="auto" w:fill="EEF4FB"/>
          </w:tcPr>
          <w:p>
            <w:r>
              <w:rPr>
                <w:color w:val="000000"/>
                <w:sz w:val="17"/>
                <w:szCs w:val="17"/>
              </w:rPr>
              <w:t xml:space="preserve">Lien email → fiche produit → formulaire</w:t>
            </w:r>
          </w:p>
        </w:tc>
        <w:tc>
          <w:tcPr>
            <w:tcW w:w="2300" w:type="dxa"/>
            <w:shd w:val="clear" w:color="auto" w:fill="EEF4FB"/>
          </w:tcPr>
          <w:p>
            <w:r>
              <w:rPr>
                <w:color w:val="000000"/>
                <w:sz w:val="17"/>
                <w:szCs w:val="17"/>
              </w:rPr>
              <w:t xml:space="preserve">Client identifié via token email</w:t>
            </w:r>
          </w:p>
        </w:tc>
        <w:tc>
          <w:tcPr>
            <w:tcW w:w="2000" w:type="dxa"/>
            <w:shd w:val="clear" w:color="auto" w:fill="EEF4FB"/>
          </w:tcPr>
          <w:p>
            <w:r>
              <w:rPr>
                <w:color w:val="000000"/>
                <w:sz w:val="17"/>
                <w:szCs w:val="17"/>
              </w:rPr>
              <w:t xml:space="preserve">Création LEAD lié au CLIENT existant | source = "email"</w:t>
            </w:r>
          </w:p>
        </w:tc>
      </w:tr>
      <w:tr>
        <w:tc>
          <w:tcPr>
            <w:tcW w:w="1900" w:type="dxa"/>
            <w:shd w:val="clear" w:color="auto" w:fill="FFFFFF"/>
          </w:tcPr>
          <w:p>
            <w:r>
              <w:rPr>
                <w:color w:val="000000"/>
                <w:sz w:val="17"/>
                <w:szCs w:val="17"/>
              </w:rPr>
              <w:t xml:space="preserve">Marketplaces B2B</w:t>
            </w:r>
          </w:p>
        </w:tc>
        <w:tc>
          <w:tcPr>
            <w:tcW w:w="2000" w:type="dxa"/>
            <w:shd w:val="clear" w:color="auto" w:fill="FFFFFF"/>
          </w:tcPr>
          <w:p>
            <w:r>
              <w:rPr>
                <w:color w:val="000000"/>
                <w:sz w:val="17"/>
                <w:szCs w:val="17"/>
              </w:rPr>
              <w:t xml:space="preserve">Redirection vers formulaire ou contact direct</w:t>
            </w:r>
          </w:p>
        </w:tc>
        <w:tc>
          <w:tcPr>
            <w:tcW w:w="2300" w:type="dxa"/>
            <w:shd w:val="clear" w:color="auto" w:fill="FFFFFF"/>
          </w:tcPr>
          <w:p>
            <w:r>
              <w:rPr>
                <w:color w:val="000000"/>
                <w:sz w:val="17"/>
                <w:szCs w:val="17"/>
              </w:rPr>
              <w:t xml:space="preserve">Demande de devis plateforme externe</w:t>
            </w:r>
          </w:p>
        </w:tc>
        <w:tc>
          <w:tcPr>
            <w:tcW w:w="2000" w:type="dxa"/>
            <w:shd w:val="clear" w:color="auto" w:fill="FFFFFF"/>
          </w:tcPr>
          <w:p>
            <w:r>
              <w:rPr>
                <w:color w:val="000000"/>
                <w:sz w:val="17"/>
                <w:szCs w:val="17"/>
              </w:rPr>
              <w:t xml:space="preserve">Création LEAD | source = "marketplace"</w:t>
            </w:r>
          </w:p>
        </w:tc>
      </w:tr>
      <w:tr>
        <w:tc>
          <w:tcPr>
            <w:tcW w:w="1900" w:type="dxa"/>
            <w:shd w:val="clear" w:color="auto" w:fill="EEF4FB"/>
          </w:tcPr>
          <w:p>
            <w:r>
              <w:rPr>
                <w:color w:val="000000"/>
                <w:sz w:val="17"/>
                <w:szCs w:val="17"/>
              </w:rPr>
              <w:t xml:space="preserve">Contact direct (téléphone / visite)</w:t>
            </w:r>
          </w:p>
        </w:tc>
        <w:tc>
          <w:tcPr>
            <w:tcW w:w="2000" w:type="dxa"/>
            <w:shd w:val="clear" w:color="auto" w:fill="EEF4FB"/>
          </w:tcPr>
          <w:p>
            <w:r>
              <w:rPr>
                <w:color w:val="000000"/>
                <w:sz w:val="17"/>
                <w:szCs w:val="17"/>
              </w:rPr>
              <w:t xml:space="preserve">Saisie manuelle back-office (UC-10)</w:t>
            </w:r>
          </w:p>
        </w:tc>
        <w:tc>
          <w:tcPr>
            <w:tcW w:w="2300" w:type="dxa"/>
            <w:shd w:val="clear" w:color="auto" w:fill="EEF4FB"/>
          </w:tcPr>
          <w:p>
            <w:r>
              <w:rPr>
                <w:color w:val="000000"/>
                <w:sz w:val="17"/>
                <w:szCs w:val="17"/>
              </w:rPr>
              <w:t xml:space="preserve">Informations collectées par le commercial</w:t>
            </w:r>
          </w:p>
        </w:tc>
        <w:tc>
          <w:tcPr>
            <w:tcW w:w="2000" w:type="dxa"/>
            <w:shd w:val="clear" w:color="auto" w:fill="EEF4FB"/>
          </w:tcPr>
          <w:p>
            <w:r>
              <w:rPr>
                <w:color w:val="000000"/>
                <w:sz w:val="17"/>
                <w:szCs w:val="17"/>
              </w:rPr>
              <w:t xml:space="preserve">Création LEAD | source = "direct"</w:t>
            </w:r>
          </w:p>
        </w:tc>
      </w:tr>
    </w:tbl>
    <w:p>
      <w:pPr>
        <w:spacing w:before="100" w:after="100"/>
      </w:pPr>
    </w:p>
    <w:p>
      <w:pPr>
        <w:spacing w:before="80" w:after="80"/>
      </w:pPr>
      <w:r>
        <w:t xml:space="preserve">La table LEAD sera enrichie du champ source_acquisition (ENUM : SEO, LINKEDIN, FACEBOOK, WHATSAPP, EMAIL, MARKETPLACE, DIRECT) permettant au module Tableaux de bord (Module 5) de produire des rapports de ROI par canal et d'orienter les décisions d'investissement marketing.</w:t>
      </w:r>
    </w:p>
    <w:p>
      <w:pPr>
        <w:spacing w:before="100" w:after="100"/>
      </w:pPr>
    </w:p>
    <w:p>
      <w:pPr>
        <w:spacing w:before="60" w:after="60"/>
        <w:ind w:left="400"/>
      </w:pPr>
      <w:r>
        <w:rPr>
          <w:i/>
          <w:color w:val="555555"/>
        </w:rPr>
        <w:t xml:space="preserve">Recommandation architecturale : intégrer un paramètre UTM dans toutes les URLs des campagnes (ex: ?utm_source=linkedin&amp;utm_campaign=variateurs_maroc) pour automatiser la détection de la source lors de la soumission du formulaire de devis.</w:t>
      </w:r>
    </w:p>
    <w:p>
      <w:r>
        <w:br w:type="page"/>
      </w:r>
    </w:p>
    <w:p>
      <w:pPr>
        <w:pStyle w:val="Heading1"/>
      </w:pPr>
      <w:r>
        <w:t xml:space="preserve">11. Recadrage du projet &amp; définition du MVP</w:t>
      </w:r>
    </w:p>
    <w:p>
      <w:pPr>
        <w:spacing w:before="80" w:after="80"/>
      </w:pPr>
      <w:r>
        <w:rPr/>
        <w:t xml:space="preserve">Ce chapitre formalise les arbitrages réalisés entre le commanditaire et l'étudiant pour adapter le périmètre du projet aux contraintes réelles d'un projet individuel en alternance. Il définit le produit minimum fonctionnel (MVP) qui sera développé et démontré en soutenance, ainsi que les fonctionnalités reportées en phase 2.</w:t>
      </w:r>
    </w:p>
    <w:p>
      <w:pPr>
        <w:spacing w:before="100" w:after="100"/>
      </w:pPr>
    </w:p>
    <w:p>
      <w:pPr>
        <w:pStyle w:val="Heading2"/>
      </w:pPr>
      <w:r>
        <w:t xml:space="preserve">11.1 Contexte du recadrage</w:t>
      </w:r>
    </w:p>
    <w:p>
      <w:pPr>
        <w:spacing w:before="80" w:after="80"/>
      </w:pPr>
      <w:r>
        <w:rPr/>
        <w:t xml:space="preserve">Le CdC initial décrit un système complet couvrant 7 modules. Dans le cadre d'un projet individuel avec environ 16 à 18 semaines de travail effectif disponibles, un périmètre réduit mais maîtrisé est préférable à un périmètre complet non finalisé. Le jury MSc 2 valorise la rigueur de conception et la capacité d'arbitrage autant que la quantité de fonctionnalités développées.</w:t>
      </w:r>
    </w:p>
    <w:p>
      <w:pPr>
        <w:spacing w:before="100" w:after="100"/>
      </w:pPr>
    </w:p>
    <w:p>
      <w:pPr>
        <w:pStyle w:val="Heading2"/>
      </w:pPr>
      <w:r>
        <w:t xml:space="preserve">11.2 Scénario de démonstration MVP</w:t>
      </w:r>
    </w:p>
    <w:p>
      <w:pPr>
        <w:spacing w:before="80" w:after="80"/>
      </w:pPr>
      <w:r>
        <w:rPr/>
        <w:t xml:space="preserve">Le MVP couvre le flux complet suivant, démontrable en 10 minutes en soutenance :</w:t>
      </w:r>
    </w:p>
    <w:p>
      <w:pPr>
        <w:spacing w:before="100" w:after="100"/>
      </w:pPr>
    </w:p>
    <w:tbl>
      <w:tblPr>
        <w:tblW w:w="7700" w:type="dxa"/>
        <w:tblBorders>
          <w:top w:val="single" w:sz="4" w:space="0" w:color="CCCCCC"/>
          <w:bottom w:val="single" w:sz="4" w:space="0" w:color="CCCCCC"/>
          <w:insideH w:val="single" w:sz="4" w:space="0" w:color="CCCCCC"/>
          <w:insideV w:val="single" w:sz="4" w:space="0" w:color="CCCCCC"/>
        </w:tblBorders>
      </w:tblPr>
      <w:tblGrid>
        <w:gridCol w:w="600"/>
        <w:gridCol w:w="1500"/>
        <w:gridCol w:w="4000"/>
        <w:gridCol w:w="1600"/>
      </w:tblGrid>
      <w:tr>
        <w:tc>
          <w:tcPr>
            <w:tcW w:w="600" w:type="dxa"/>
            <w:shd w:val="clear" w:color="auto" w:fill="2E75B6"/>
          </w:tcPr>
          <w:p>
            <w:r>
              <w:rPr>
                <w:b/>
                <w:color w:val="FFFFFF"/>
                <w:sz w:val="17"/>
                <w:szCs w:val="17"/>
              </w:rPr>
              <w:t xml:space="preserve">Étape</w:t>
            </w:r>
          </w:p>
        </w:tc>
        <w:tc>
          <w:tcPr>
            <w:tcW w:w="1500" w:type="dxa"/>
            <w:shd w:val="clear" w:color="auto" w:fill="2E75B6"/>
          </w:tcPr>
          <w:p>
            <w:r>
              <w:rPr>
                <w:b/>
                <w:color w:val="FFFFFF"/>
                <w:sz w:val="17"/>
                <w:szCs w:val="17"/>
              </w:rPr>
              <w:t xml:space="preserve">Acteur</w:t>
            </w:r>
          </w:p>
        </w:tc>
        <w:tc>
          <w:tcPr>
            <w:tcW w:w="4000" w:type="dxa"/>
            <w:shd w:val="clear" w:color="auto" w:fill="2E75B6"/>
          </w:tcPr>
          <w:p>
            <w:r>
              <w:rPr>
                <w:b/>
                <w:color w:val="FFFFFF"/>
                <w:sz w:val="17"/>
                <w:szCs w:val="17"/>
              </w:rPr>
              <w:t xml:space="preserve">Action</w:t>
            </w:r>
          </w:p>
        </w:tc>
        <w:tc>
          <w:tcPr>
            <w:tcW w:w="1600" w:type="dxa"/>
            <w:shd w:val="clear" w:color="auto" w:fill="2E75B6"/>
          </w:tcPr>
          <w:p>
            <w:r>
              <w:rPr>
                <w:b/>
                <w:color w:val="FFFFFF"/>
                <w:sz w:val="17"/>
                <w:szCs w:val="17"/>
              </w:rPr>
              <w:t xml:space="preserve">Module concerné</w:t>
            </w:r>
          </w:p>
        </w:tc>
      </w:tr>
      <w:tr>
        <w:tc>
          <w:tcPr>
            <w:tcW w:w="600" w:type="dxa"/>
            <w:shd w:val="clear" w:color="auto" w:fill="EEF4FB"/>
          </w:tcPr>
          <w:p>
            <w:r>
              <w:rPr>
                <w:color w:val="000000"/>
                <w:sz w:val="17"/>
                <w:szCs w:val="17"/>
              </w:rPr>
              <w:t xml:space="preserve">1</w:t>
            </w:r>
          </w:p>
        </w:tc>
        <w:tc>
          <w:tcPr>
            <w:tcW w:w="1500" w:type="dxa"/>
            <w:shd w:val="clear" w:color="auto" w:fill="EEF4FB"/>
          </w:tcPr>
          <w:p>
            <w:r>
              <w:rPr>
                <w:color w:val="000000"/>
                <w:sz w:val="17"/>
                <w:szCs w:val="17"/>
              </w:rPr>
              <w:t xml:space="preserve">Client (site vitrine)</w:t>
            </w:r>
          </w:p>
        </w:tc>
        <w:tc>
          <w:tcPr>
            <w:tcW w:w="4000" w:type="dxa"/>
            <w:shd w:val="clear" w:color="auto" w:fill="EEF4FB"/>
          </w:tcPr>
          <w:p>
            <w:r>
              <w:rPr>
                <w:color w:val="000000"/>
                <w:sz w:val="17"/>
                <w:szCs w:val="17"/>
              </w:rPr>
              <w:t xml:space="preserve">Recherche un article et soumet une demande de devis en ligne</w:t>
            </w:r>
          </w:p>
        </w:tc>
        <w:tc>
          <w:tcPr>
            <w:tcW w:w="1600" w:type="dxa"/>
            <w:shd w:val="clear" w:color="auto" w:fill="EEF4FB"/>
          </w:tcPr>
          <w:p>
            <w:r>
              <w:rPr>
                <w:color w:val="000000"/>
                <w:sz w:val="17"/>
                <w:szCs w:val="17"/>
              </w:rPr>
              <w:t xml:space="preserve">Module 6 + 7</w:t>
            </w:r>
          </w:p>
        </w:tc>
      </w:tr>
      <w:tr>
        <w:tc>
          <w:tcPr>
            <w:tcW w:w="600" w:type="dxa"/>
            <w:shd w:val="clear" w:color="auto" w:fill="FFFFFF"/>
          </w:tcPr>
          <w:p>
            <w:r>
              <w:rPr>
                <w:color w:val="000000"/>
                <w:sz w:val="17"/>
                <w:szCs w:val="17"/>
              </w:rPr>
              <w:t xml:space="preserve">2</w:t>
            </w:r>
          </w:p>
        </w:tc>
        <w:tc>
          <w:tcPr>
            <w:tcW w:w="1500" w:type="dxa"/>
            <w:shd w:val="clear" w:color="auto" w:fill="FFFFFF"/>
          </w:tcPr>
          <w:p>
            <w:r>
              <w:rPr>
                <w:color w:val="000000"/>
                <w:sz w:val="17"/>
                <w:szCs w:val="17"/>
              </w:rPr>
              <w:t xml:space="preserve">Système</w:t>
            </w:r>
          </w:p>
        </w:tc>
        <w:tc>
          <w:tcPr>
            <w:tcW w:w="4000" w:type="dxa"/>
            <w:shd w:val="clear" w:color="auto" w:fill="FFFFFF"/>
          </w:tcPr>
          <w:p>
            <w:r>
              <w:rPr>
                <w:color w:val="000000"/>
                <w:sz w:val="17"/>
                <w:szCs w:val="17"/>
              </w:rPr>
              <w:t xml:space="preserve">Crée automatiquement un LEAD et envoie un email de confirmation (RG-07)</w:t>
            </w:r>
          </w:p>
        </w:tc>
        <w:tc>
          <w:tcPr>
            <w:tcW w:w="1600" w:type="dxa"/>
            <w:shd w:val="clear" w:color="auto" w:fill="FFFFFF"/>
          </w:tcPr>
          <w:p>
            <w:r>
              <w:rPr>
                <w:color w:val="000000"/>
                <w:sz w:val="17"/>
                <w:szCs w:val="17"/>
              </w:rPr>
              <w:t xml:space="preserve">Module 7</w:t>
            </w:r>
          </w:p>
        </w:tc>
      </w:tr>
      <w:tr>
        <w:tc>
          <w:tcPr>
            <w:tcW w:w="600" w:type="dxa"/>
            <w:shd w:val="clear" w:color="auto" w:fill="EEF4FB"/>
          </w:tcPr>
          <w:p>
            <w:r>
              <w:rPr>
                <w:color w:val="000000"/>
                <w:sz w:val="17"/>
                <w:szCs w:val="17"/>
              </w:rPr>
              <w:t xml:space="preserve">3</w:t>
            </w:r>
          </w:p>
        </w:tc>
        <w:tc>
          <w:tcPr>
            <w:tcW w:w="1500" w:type="dxa"/>
            <w:shd w:val="clear" w:color="auto" w:fill="EEF4FB"/>
          </w:tcPr>
          <w:p>
            <w:r>
              <w:rPr>
                <w:color w:val="000000"/>
                <w:sz w:val="17"/>
                <w:szCs w:val="17"/>
              </w:rPr>
              <w:t xml:space="preserve">Commercial</w:t>
            </w:r>
          </w:p>
        </w:tc>
        <w:tc>
          <w:tcPr>
            <w:tcW w:w="4000" w:type="dxa"/>
            <w:shd w:val="clear" w:color="auto" w:fill="EEF4FB"/>
          </w:tcPr>
          <w:p>
            <w:r>
              <w:rPr>
                <w:color w:val="000000"/>
                <w:sz w:val="17"/>
                <w:szCs w:val="17"/>
              </w:rPr>
              <w:t xml:space="preserve">Reçoit et traite le lead dans le back-office (statut NOUVEAU → DEVIS ENVOYÉ)</w:t>
            </w:r>
          </w:p>
        </w:tc>
        <w:tc>
          <w:tcPr>
            <w:tcW w:w="1600" w:type="dxa"/>
            <w:shd w:val="clear" w:color="auto" w:fill="EEF4FB"/>
          </w:tcPr>
          <w:p>
            <w:r>
              <w:rPr>
                <w:color w:val="000000"/>
                <w:sz w:val="17"/>
                <w:szCs w:val="17"/>
              </w:rPr>
              <w:t xml:space="preserve">Module 7</w:t>
            </w:r>
          </w:p>
        </w:tc>
      </w:tr>
      <w:tr>
        <w:tc>
          <w:tcPr>
            <w:tcW w:w="600" w:type="dxa"/>
            <w:shd w:val="clear" w:color="auto" w:fill="FFFFFF"/>
          </w:tcPr>
          <w:p>
            <w:r>
              <w:rPr>
                <w:color w:val="000000"/>
                <w:sz w:val="17"/>
                <w:szCs w:val="17"/>
              </w:rPr>
              <w:t xml:space="preserve">4</w:t>
            </w:r>
          </w:p>
        </w:tc>
        <w:tc>
          <w:tcPr>
            <w:tcW w:w="1500" w:type="dxa"/>
            <w:shd w:val="clear" w:color="auto" w:fill="FFFFFF"/>
          </w:tcPr>
          <w:p>
            <w:r>
              <w:rPr>
                <w:color w:val="000000"/>
                <w:sz w:val="17"/>
                <w:szCs w:val="17"/>
              </w:rPr>
              <w:t xml:space="preserve">Technicien</w:t>
            </w:r>
          </w:p>
        </w:tc>
        <w:tc>
          <w:tcPr>
            <w:tcW w:w="4000" w:type="dxa"/>
            <w:shd w:val="clear" w:color="auto" w:fill="FFFFFF"/>
          </w:tcPr>
          <w:p>
            <w:r>
              <w:rPr>
                <w:color w:val="000000"/>
                <w:sz w:val="17"/>
                <w:szCs w:val="17"/>
              </w:rPr>
              <w:t xml:space="preserve">Effectue une sortie de stock — alerte si seuil atteint (RG-04, RG-05)</w:t>
            </w:r>
          </w:p>
        </w:tc>
        <w:tc>
          <w:tcPr>
            <w:tcW w:w="1600" w:type="dxa"/>
            <w:shd w:val="clear" w:color="auto" w:fill="FFFFFF"/>
          </w:tcPr>
          <w:p>
            <w:r>
              <w:rPr>
                <w:color w:val="000000"/>
                <w:sz w:val="17"/>
                <w:szCs w:val="17"/>
              </w:rPr>
              <w:t xml:space="preserve">Module 2 + 3</w:t>
            </w:r>
          </w:p>
        </w:tc>
      </w:tr>
      <w:tr>
        <w:tc>
          <w:tcPr>
            <w:tcW w:w="600" w:type="dxa"/>
            <w:shd w:val="clear" w:color="auto" w:fill="EEF4FB"/>
          </w:tcPr>
          <w:p>
            <w:r>
              <w:rPr>
                <w:color w:val="000000"/>
                <w:sz w:val="17"/>
                <w:szCs w:val="17"/>
              </w:rPr>
              <w:t xml:space="preserve">5</w:t>
            </w:r>
          </w:p>
        </w:tc>
        <w:tc>
          <w:tcPr>
            <w:tcW w:w="1500" w:type="dxa"/>
            <w:shd w:val="clear" w:color="auto" w:fill="EEF4FB"/>
          </w:tcPr>
          <w:p>
            <w:r>
              <w:rPr>
                <w:color w:val="000000"/>
                <w:sz w:val="17"/>
                <w:szCs w:val="17"/>
              </w:rPr>
              <w:t xml:space="preserve">Commercial</w:t>
            </w:r>
          </w:p>
        </w:tc>
        <w:tc>
          <w:tcPr>
            <w:tcW w:w="4000" w:type="dxa"/>
            <w:shd w:val="clear" w:color="auto" w:fill="EEF4FB"/>
          </w:tcPr>
          <w:p>
            <w:r>
              <w:rPr>
                <w:color w:val="000000"/>
                <w:sz w:val="17"/>
                <w:szCs w:val="17"/>
              </w:rPr>
              <w:t xml:space="preserve">Génère un bon de livraison PDF</w:t>
            </w:r>
          </w:p>
        </w:tc>
        <w:tc>
          <w:tcPr>
            <w:tcW w:w="1600" w:type="dxa"/>
            <w:shd w:val="clear" w:color="auto" w:fill="EEF4FB"/>
          </w:tcPr>
          <w:p>
            <w:r>
              <w:rPr>
                <w:color w:val="000000"/>
                <w:sz w:val="17"/>
                <w:szCs w:val="17"/>
              </w:rPr>
              <w:t xml:space="preserve">Module 4</w:t>
            </w:r>
          </w:p>
        </w:tc>
      </w:tr>
      <w:tr>
        <w:tc>
          <w:tcPr>
            <w:tcW w:w="600" w:type="dxa"/>
            <w:shd w:val="clear" w:color="auto" w:fill="FFFFFF"/>
          </w:tcPr>
          <w:p>
            <w:r>
              <w:rPr>
                <w:color w:val="000000"/>
                <w:sz w:val="17"/>
                <w:szCs w:val="17"/>
              </w:rPr>
              <w:t xml:space="preserve">6</w:t>
            </w:r>
          </w:p>
        </w:tc>
        <w:tc>
          <w:tcPr>
            <w:tcW w:w="1500" w:type="dxa"/>
            <w:shd w:val="clear" w:color="auto" w:fill="FFFFFF"/>
          </w:tcPr>
          <w:p>
            <w:r>
              <w:rPr>
                <w:color w:val="000000"/>
                <w:sz w:val="17"/>
                <w:szCs w:val="17"/>
              </w:rPr>
              <w:t xml:space="preserve">Administrateur</w:t>
            </w:r>
          </w:p>
        </w:tc>
        <w:tc>
          <w:tcPr>
            <w:tcW w:w="4000" w:type="dxa"/>
            <w:shd w:val="clear" w:color="auto" w:fill="FFFFFF"/>
          </w:tcPr>
          <w:p>
            <w:r>
              <w:rPr>
                <w:color w:val="000000"/>
                <w:sz w:val="17"/>
                <w:szCs w:val="17"/>
              </w:rPr>
              <w:t xml:space="preserve">Consulte le tableau de bord : stock, alertes, leads</w:t>
            </w:r>
          </w:p>
        </w:tc>
        <w:tc>
          <w:tcPr>
            <w:tcW w:w="1600" w:type="dxa"/>
            <w:shd w:val="clear" w:color="auto" w:fill="FFFFFF"/>
          </w:tcPr>
          <w:p>
            <w:r>
              <w:rPr>
                <w:color w:val="000000"/>
                <w:sz w:val="17"/>
                <w:szCs w:val="17"/>
              </w:rPr>
              <w:t xml:space="preserve">Module 5</w:t>
            </w:r>
          </w:p>
        </w:tc>
      </w:tr>
    </w:tbl>
    <w:p>
      <w:pPr>
        <w:spacing w:before="100" w:after="100"/>
      </w:pPr>
    </w:p>
    <w:p>
      <w:pPr>
        <w:pStyle w:val="Heading2"/>
      </w:pPr>
      <w:r>
        <w:t xml:space="preserve">11.3 Périmètre MVP vs Phase 2</w:t>
      </w:r>
    </w:p>
    <w:tbl>
      <w:tblPr>
        <w:tblW w:w="8200" w:type="dxa"/>
        <w:tblBorders>
          <w:top w:val="single" w:sz="4" w:space="0" w:color="CCCCCC"/>
          <w:bottom w:val="single" w:sz="4" w:space="0" w:color="CCCCCC"/>
          <w:insideH w:val="single" w:sz="4" w:space="0" w:color="CCCCCC"/>
          <w:insideV w:val="single" w:sz="4" w:space="0" w:color="CCCCCC"/>
        </w:tblBorders>
      </w:tblPr>
      <w:tblGrid>
        <w:gridCol w:w="2400"/>
        <w:gridCol w:w="3000"/>
        <w:gridCol w:w="2800"/>
      </w:tblGrid>
      <w:tr>
        <w:tc>
          <w:tcPr>
            <w:tcW w:w="2400" w:type="dxa"/>
            <w:shd w:val="clear" w:color="auto" w:fill="375623"/>
          </w:tcPr>
          <w:p>
            <w:r>
              <w:rPr>
                <w:b/>
                <w:color w:val="FFFFFF"/>
                <w:sz w:val="17"/>
                <w:szCs w:val="17"/>
              </w:rPr>
              <w:t xml:space="preserve">Fonctionnalité</w:t>
            </w:r>
          </w:p>
        </w:tc>
        <w:tc>
          <w:tcPr>
            <w:tcW w:w="3000" w:type="dxa"/>
            <w:shd w:val="clear" w:color="auto" w:fill="375623"/>
          </w:tcPr>
          <w:p>
            <w:r>
              <w:rPr>
                <w:b/>
                <w:color w:val="FFFFFF"/>
                <w:sz w:val="17"/>
                <w:szCs w:val="17"/>
              </w:rPr>
              <w:t xml:space="preserve">MVP (à développer)</w:t>
            </w:r>
          </w:p>
        </w:tc>
        <w:tc>
          <w:tcPr>
            <w:tcW w:w="2800" w:type="dxa"/>
            <w:shd w:val="clear" w:color="auto" w:fill="375623"/>
          </w:tcPr>
          <w:p>
            <w:r>
              <w:rPr>
                <w:b/>
                <w:color w:val="FFFFFF"/>
                <w:sz w:val="17"/>
                <w:szCs w:val="17"/>
              </w:rPr>
              <w:t xml:space="preserve">Phase 2 (conçu, non développé)</w:t>
            </w:r>
          </w:p>
        </w:tc>
      </w:tr>
      <w:tr>
        <w:tc>
          <w:tcPr>
            <w:tcW w:w="2400" w:type="dxa"/>
            <w:shd w:val="clear" w:color="auto" w:fill="EEF4FB"/>
          </w:tcPr>
          <w:p>
            <w:r>
              <w:rPr>
                <w:color w:val="000000"/>
                <w:sz w:val="17"/>
                <w:szCs w:val="17"/>
              </w:rPr>
              <w:t xml:space="preserve">Catalogue articles</w:t>
            </w:r>
          </w:p>
        </w:tc>
        <w:tc>
          <w:tcPr>
            <w:tcW w:w="3000" w:type="dxa"/>
            <w:shd w:val="clear" w:color="auto" w:fill="EEF4FB"/>
          </w:tcPr>
          <w:p>
            <w:r>
              <w:rPr>
                <w:color w:val="000000"/>
                <w:sz w:val="17"/>
                <w:szCs w:val="17"/>
              </w:rPr>
              <w:t xml:space="preserve">Champs communs + 1 famille de démo. Structure BDD complète prête.</w:t>
            </w:r>
          </w:p>
        </w:tc>
        <w:tc>
          <w:tcPr>
            <w:tcW w:w="2800" w:type="dxa"/>
            <w:shd w:val="clear" w:color="auto" w:fill="EEF4FB"/>
          </w:tcPr>
          <w:p>
            <w:r>
              <w:rPr>
                <w:color w:val="000000"/>
                <w:sz w:val="17"/>
                <w:szCs w:val="17"/>
              </w:rPr>
              <w:t xml:space="preserve">16 familles + 129 catégories saisies complètement</w:t>
            </w:r>
          </w:p>
        </w:tc>
      </w:tr>
      <w:tr>
        <w:tc>
          <w:tcPr>
            <w:tcW w:w="2400" w:type="dxa"/>
            <w:shd w:val="clear" w:color="auto" w:fill="FFFFFF"/>
          </w:tcPr>
          <w:p>
            <w:r>
              <w:rPr>
                <w:color w:val="000000"/>
                <w:sz w:val="17"/>
                <w:szCs w:val="17"/>
              </w:rPr>
              <w:t xml:space="preserve">Types de gestion stock</w:t>
            </w:r>
          </w:p>
        </w:tc>
        <w:tc>
          <w:tcPr>
            <w:tcW w:w="3000" w:type="dxa"/>
            <w:shd w:val="clear" w:color="auto" w:fill="FFFFFF"/>
          </w:tcPr>
          <w:p>
            <w:r>
              <w:rPr>
                <w:color w:val="000000"/>
                <w:sz w:val="17"/>
                <w:szCs w:val="17"/>
              </w:rPr>
              <w:t xml:space="preserve">Les 3 types fonctionnels : Sérialisé, Lot, Quantité</w:t>
            </w:r>
          </w:p>
        </w:tc>
        <w:tc>
          <w:tcPr>
            <w:tcW w:w="2800" w:type="dxa"/>
            <w:shd w:val="clear" w:color="auto" w:fill="FFFFFF"/>
          </w:tcPr>
          <w:p>
            <w:r>
              <w:rPr>
                <w:color w:val="000000"/>
                <w:sz w:val="17"/>
                <w:szCs w:val="17"/>
              </w:rPr>
              <w:t xml:space="preserve">Gestion des emplacements au sein d'un dépôt</w:t>
            </w:r>
          </w:p>
        </w:tc>
      </w:tr>
      <w:tr>
        <w:tc>
          <w:tcPr>
            <w:tcW w:w="2400" w:type="dxa"/>
            <w:shd w:val="clear" w:color="auto" w:fill="EEF4FB"/>
          </w:tcPr>
          <w:p>
            <w:r>
              <w:rPr>
                <w:color w:val="000000"/>
                <w:sz w:val="17"/>
                <w:szCs w:val="17"/>
              </w:rPr>
              <w:t xml:space="preserve">Mouvements &amp; dépôts</w:t>
            </w:r>
          </w:p>
        </w:tc>
        <w:tc>
          <w:tcPr>
            <w:tcW w:w="3000" w:type="dxa"/>
            <w:shd w:val="clear" w:color="auto" w:fill="EEF4FB"/>
          </w:tcPr>
          <w:p>
            <w:r>
              <w:rPr>
                <w:color w:val="000000"/>
                <w:sz w:val="17"/>
                <w:szCs w:val="17"/>
              </w:rPr>
              <w:t xml:space="preserve">Entrée, sortie, transfert inter-dépôts. Historique complet.</w:t>
            </w:r>
          </w:p>
        </w:tc>
        <w:tc>
          <w:tcPr>
            <w:tcW w:w="2800" w:type="dxa"/>
            <w:shd w:val="clear" w:color="auto" w:fill="EEF4FB"/>
          </w:tcPr>
          <w:p>
            <w:r>
              <w:rPr>
                <w:color w:val="000000"/>
                <w:sz w:val="17"/>
                <w:szCs w:val="17"/>
              </w:rPr>
              <w:t xml:space="preserve">Optimisation des parcours logistiques</w:t>
            </w:r>
          </w:p>
        </w:tc>
      </w:tr>
      <w:tr>
        <w:tc>
          <w:tcPr>
            <w:tcW w:w="2400" w:type="dxa"/>
            <w:shd w:val="clear" w:color="auto" w:fill="FFFFFF"/>
          </w:tcPr>
          <w:p>
            <w:r>
              <w:rPr>
                <w:color w:val="000000"/>
                <w:sz w:val="17"/>
                <w:szCs w:val="17"/>
              </w:rPr>
              <w:t xml:space="preserve">Alertes de seuil</w:t>
            </w:r>
          </w:p>
        </w:tc>
        <w:tc>
          <w:tcPr>
            <w:tcW w:w="3000" w:type="dxa"/>
            <w:shd w:val="clear" w:color="auto" w:fill="FFFFFF"/>
          </w:tcPr>
          <w:p>
            <w:r>
              <w:rPr>
                <w:color w:val="000000"/>
                <w:sz w:val="17"/>
                <w:szCs w:val="17"/>
              </w:rPr>
              <w:t xml:space="preserve">Alerte in-app déclenchée automatiquement (RG-05, RG-06)</w:t>
            </w:r>
          </w:p>
        </w:tc>
        <w:tc>
          <w:tcPr>
            <w:tcW w:w="2800" w:type="dxa"/>
            <w:shd w:val="clear" w:color="auto" w:fill="FFFFFF"/>
          </w:tcPr>
          <w:p>
            <w:r>
              <w:rPr>
                <w:color w:val="000000"/>
                <w:sz w:val="17"/>
                <w:szCs w:val="17"/>
              </w:rPr>
              <w:t xml:space="preserve">Envoi automatique email d'alerte</w:t>
            </w:r>
          </w:p>
        </w:tc>
      </w:tr>
      <w:tr>
        <w:tc>
          <w:tcPr>
            <w:tcW w:w="2400" w:type="dxa"/>
            <w:shd w:val="clear" w:color="auto" w:fill="EEF4FB"/>
          </w:tcPr>
          <w:p>
            <w:r>
              <w:rPr>
                <w:color w:val="000000"/>
                <w:sz w:val="17"/>
                <w:szCs w:val="17"/>
              </w:rPr>
              <w:t xml:space="preserve">Bons de livraison</w:t>
            </w:r>
          </w:p>
        </w:tc>
        <w:tc>
          <w:tcPr>
            <w:tcW w:w="3000" w:type="dxa"/>
            <w:shd w:val="clear" w:color="auto" w:fill="EEF4FB"/>
          </w:tcPr>
          <w:p>
            <w:r>
              <w:rPr>
                <w:color w:val="000000"/>
                <w:sz w:val="17"/>
                <w:szCs w:val="17"/>
              </w:rPr>
              <w:t xml:space="preserve">Génération PDF BL à partir d'une sortie validée (RG-09)</w:t>
            </w:r>
          </w:p>
        </w:tc>
        <w:tc>
          <w:tcPr>
            <w:tcW w:w="2800" w:type="dxa"/>
            <w:shd w:val="clear" w:color="auto" w:fill="EEF4FB"/>
          </w:tcPr>
          <w:p>
            <w:r>
              <w:rPr>
                <w:color w:val="000000"/>
                <w:sz w:val="17"/>
                <w:szCs w:val="17"/>
              </w:rPr>
              <w:t xml:space="preserve">Bon de commande fournisseur complet</w:t>
            </w:r>
          </w:p>
        </w:tc>
      </w:tr>
      <w:tr>
        <w:tc>
          <w:tcPr>
            <w:tcW w:w="2400" w:type="dxa"/>
            <w:shd w:val="clear" w:color="auto" w:fill="FFFFFF"/>
          </w:tcPr>
          <w:p>
            <w:r>
              <w:rPr>
                <w:color w:val="000000"/>
                <w:sz w:val="17"/>
                <w:szCs w:val="17"/>
              </w:rPr>
              <w:t xml:space="preserve">Tableau de bord</w:t>
            </w:r>
          </w:p>
        </w:tc>
        <w:tc>
          <w:tcPr>
            <w:tcW w:w="3000" w:type="dxa"/>
            <w:shd w:val="clear" w:color="auto" w:fill="FFFFFF"/>
          </w:tcPr>
          <w:p>
            <w:r>
              <w:rPr>
                <w:color w:val="000000"/>
                <w:sz w:val="17"/>
                <w:szCs w:val="17"/>
              </w:rPr>
              <w:t xml:space="preserve">Dashboard : stock global, alertes actives, leads en attente</w:t>
            </w:r>
          </w:p>
        </w:tc>
        <w:tc>
          <w:tcPr>
            <w:tcW w:w="2800" w:type="dxa"/>
            <w:shd w:val="clear" w:color="auto" w:fill="FFFFFF"/>
          </w:tcPr>
          <w:p>
            <w:r>
              <w:rPr>
                <w:color w:val="000000"/>
                <w:sz w:val="17"/>
                <w:szCs w:val="17"/>
              </w:rPr>
              <w:t xml:space="preserve">Rapports export PDF/Excel, indicateurs avancés</w:t>
            </w:r>
          </w:p>
        </w:tc>
      </w:tr>
      <w:tr>
        <w:tc>
          <w:tcPr>
            <w:tcW w:w="2400" w:type="dxa"/>
            <w:shd w:val="clear" w:color="auto" w:fill="EEF4FB"/>
          </w:tcPr>
          <w:p>
            <w:r>
              <w:rPr>
                <w:color w:val="000000"/>
                <w:sz w:val="17"/>
                <w:szCs w:val="17"/>
              </w:rPr>
              <w:t xml:space="preserve">Site vitrine</w:t>
            </w:r>
          </w:p>
        </w:tc>
        <w:tc>
          <w:tcPr>
            <w:tcW w:w="3000" w:type="dxa"/>
            <w:shd w:val="clear" w:color="auto" w:fill="EEF4FB"/>
          </w:tcPr>
          <w:p>
            <w:r>
              <w:rPr>
                <w:color w:val="000000"/>
                <w:sz w:val="17"/>
                <w:szCs w:val="17"/>
              </w:rPr>
              <w:t xml:space="preserve">Catalogue filtrable + fiche produit + formulaire devis</w:t>
            </w:r>
          </w:p>
        </w:tc>
        <w:tc>
          <w:tcPr>
            <w:tcW w:w="2800" w:type="dxa"/>
            <w:shd w:val="clear" w:color="auto" w:fill="EEF4FB"/>
          </w:tcPr>
          <w:p>
            <w:r>
              <w:rPr>
                <w:color w:val="000000"/>
                <w:sz w:val="17"/>
                <w:szCs w:val="17"/>
              </w:rPr>
              <w:t xml:space="preserve">SEO avancé, Schema.org, i18n</w:t>
            </w:r>
          </w:p>
        </w:tc>
      </w:tr>
      <w:tr>
        <w:tc>
          <w:tcPr>
            <w:tcW w:w="2400" w:type="dxa"/>
            <w:shd w:val="clear" w:color="auto" w:fill="FFFFFF"/>
          </w:tcPr>
          <w:p>
            <w:r>
              <w:rPr>
                <w:color w:val="000000"/>
                <w:sz w:val="17"/>
                <w:szCs w:val="17"/>
              </w:rPr>
              <w:t xml:space="preserve">Gestion des leads</w:t>
            </w:r>
          </w:p>
        </w:tc>
        <w:tc>
          <w:tcPr>
            <w:tcW w:w="3000" w:type="dxa"/>
            <w:shd w:val="clear" w:color="auto" w:fill="FFFFFF"/>
          </w:tcPr>
          <w:p>
            <w:r>
              <w:rPr>
                <w:color w:val="000000"/>
                <w:sz w:val="17"/>
                <w:szCs w:val="17"/>
              </w:rPr>
              <w:t xml:space="preserve">Workflow complet NOUVEAU → DEVIS ENVOYÉ → ACCEPTÉ/REFUSÉ</w:t>
            </w:r>
          </w:p>
        </w:tc>
        <w:tc>
          <w:tcPr>
            <w:tcW w:w="2800" w:type="dxa"/>
            <w:shd w:val="clear" w:color="auto" w:fill="FFFFFF"/>
          </w:tcPr>
          <w:p>
            <w:r>
              <w:rPr>
                <w:color w:val="000000"/>
                <w:sz w:val="17"/>
                <w:szCs w:val="17"/>
              </w:rPr>
              <w:t xml:space="preserve">Intégration WhatsApp Business API</w:t>
            </w:r>
          </w:p>
        </w:tc>
      </w:tr>
      <w:tr>
        <w:tc>
          <w:tcPr>
            <w:tcW w:w="2400" w:type="dxa"/>
            <w:shd w:val="clear" w:color="auto" w:fill="EEF4FB"/>
          </w:tcPr>
          <w:p>
            <w:r>
              <w:rPr>
                <w:color w:val="000000"/>
                <w:sz w:val="17"/>
                <w:szCs w:val="17"/>
              </w:rPr>
              <w:t xml:space="preserve">Utilisateurs &amp; droits</w:t>
            </w:r>
          </w:p>
        </w:tc>
        <w:tc>
          <w:tcPr>
            <w:tcW w:w="3000" w:type="dxa"/>
            <w:shd w:val="clear" w:color="auto" w:fill="EEF4FB"/>
          </w:tcPr>
          <w:p>
            <w:r>
              <w:rPr>
                <w:color w:val="000000"/>
                <w:sz w:val="17"/>
                <w:szCs w:val="17"/>
              </w:rPr>
              <w:t xml:space="preserve">3 rôles fonctionnels : Admin, Commercial, Technicien (RBAC)</w:t>
            </w:r>
          </w:p>
        </w:tc>
        <w:tc>
          <w:tcPr>
            <w:tcW w:w="2800" w:type="dxa"/>
            <w:shd w:val="clear" w:color="auto" w:fill="EEF4FB"/>
          </w:tcPr>
          <w:p>
            <w:r>
              <w:rPr>
                <w:color w:val="000000"/>
                <w:sz w:val="17"/>
                <w:szCs w:val="17"/>
              </w:rPr>
              <w:t xml:space="preserve">Journalisation avancée des actions sensibles</w:t>
            </w:r>
          </w:p>
        </w:tc>
      </w:tr>
    </w:tbl>
    <w:p>
      <w:pPr>
        <w:spacing w:before="100" w:after="100"/>
      </w:pPr>
    </w:p>
    <w:p>
      <w:pPr>
        <w:pStyle w:val="Heading2"/>
      </w:pPr>
      <w:r>
        <w:t xml:space="preserve">11.4 Stack technique retenue</w:t>
      </w:r>
    </w:p>
    <w:p>
      <w:pPr>
        <w:spacing w:before="80" w:after="80"/>
      </w:pPr>
      <w:r>
        <w:rPr/>
        <w:t xml:space="preserve">Le choix définitif de la stack technique est laissé à l'étudiant, qui doit l'argumenter dans son dossier de conception. Les contraintes à respecter sont : architecture three-tier, API REST documentée, rendu SSR pour le site vitrine, base de données relationnelle (MySQL ou PostgreSQL), déploiement possible sur VPS.</w:t>
      </w:r>
    </w:p>
    <w:p>
      <w:pPr>
        <w:spacing w:before="100" w:after="100"/>
      </w:pPr>
    </w:p>
    <w:tbl>
      <w:tblPr>
        <w:tblW w:w="8200" w:type="dxa"/>
        <w:tblBorders>
          <w:top w:val="single" w:sz="4" w:space="0" w:color="CCCCCC"/>
          <w:bottom w:val="single" w:sz="4" w:space="0" w:color="CCCCCC"/>
          <w:insideH w:val="single" w:sz="4" w:space="0" w:color="CCCCCC"/>
          <w:insideV w:val="single" w:sz="4" w:space="0" w:color="CCCCCC"/>
        </w:tblBorders>
      </w:tblPr>
      <w:tblGrid>
        <w:gridCol w:w="2000"/>
        <w:gridCol w:w="2800"/>
        <w:gridCol w:w="3400"/>
      </w:tblGrid>
      <w:tr>
        <w:tc>
          <w:tcPr>
            <w:tcW w:w="2000" w:type="dxa"/>
            <w:shd w:val="clear" w:color="auto" w:fill="1F3864"/>
          </w:tcPr>
          <w:p>
            <w:r>
              <w:rPr>
                <w:b/>
                <w:color w:val="FFFFFF"/>
                <w:sz w:val="17"/>
                <w:szCs w:val="17"/>
              </w:rPr>
              <w:t xml:space="preserve">Couche</w:t>
            </w:r>
          </w:p>
        </w:tc>
        <w:tc>
          <w:tcPr>
            <w:tcW w:w="2800" w:type="dxa"/>
            <w:shd w:val="clear" w:color="auto" w:fill="1F3864"/>
          </w:tcPr>
          <w:p>
            <w:r>
              <w:rPr>
                <w:b/>
                <w:color w:val="FFFFFF"/>
                <w:sz w:val="17"/>
                <w:szCs w:val="17"/>
              </w:rPr>
              <w:t xml:space="preserve">Options recommandées</w:t>
            </w:r>
          </w:p>
        </w:tc>
        <w:tc>
          <w:tcPr>
            <w:tcW w:w="3400" w:type="dxa"/>
            <w:shd w:val="clear" w:color="auto" w:fill="1F3864"/>
          </w:tcPr>
          <w:p>
            <w:r>
              <w:rPr>
                <w:b/>
                <w:color w:val="FFFFFF"/>
                <w:sz w:val="17"/>
                <w:szCs w:val="17"/>
              </w:rPr>
              <w:t xml:space="preserve">Critère de choix</w:t>
            </w:r>
          </w:p>
        </w:tc>
      </w:tr>
      <w:tr>
        <w:tc>
          <w:tcPr>
            <w:tcW w:w="2000" w:type="dxa"/>
            <w:shd w:val="clear" w:color="auto" w:fill="EEF4FB"/>
          </w:tcPr>
          <w:p>
            <w:r>
              <w:rPr>
                <w:color w:val="000000"/>
                <w:sz w:val="17"/>
                <w:szCs w:val="17"/>
              </w:rPr>
              <w:t xml:space="preserve">API back-end</w:t>
            </w:r>
          </w:p>
        </w:tc>
        <w:tc>
          <w:tcPr>
            <w:tcW w:w="2800" w:type="dxa"/>
            <w:shd w:val="clear" w:color="auto" w:fill="EEF4FB"/>
          </w:tcPr>
          <w:p>
            <w:r>
              <w:rPr>
                <w:color w:val="000000"/>
                <w:sz w:val="17"/>
                <w:szCs w:val="17"/>
              </w:rPr>
              <w:t xml:space="preserve">Laravel (PHP) ou Node.js/Express</w:t>
            </w:r>
          </w:p>
        </w:tc>
        <w:tc>
          <w:tcPr>
            <w:tcW w:w="3400" w:type="dxa"/>
            <w:shd w:val="clear" w:color="auto" w:fill="EEF4FB"/>
          </w:tcPr>
          <w:p>
            <w:r>
              <w:rPr>
                <w:color w:val="000000"/>
                <w:sz w:val="17"/>
                <w:szCs w:val="17"/>
              </w:rPr>
              <w:t xml:space="preserve">Maîtrise de l'étudiant + écosystème disponible</w:t>
            </w:r>
          </w:p>
        </w:tc>
      </w:tr>
      <w:tr>
        <w:tc>
          <w:tcPr>
            <w:tcW w:w="2000" w:type="dxa"/>
            <w:shd w:val="clear" w:color="auto" w:fill="FFFFFF"/>
          </w:tcPr>
          <w:p>
            <w:r>
              <w:rPr>
                <w:color w:val="000000"/>
                <w:sz w:val="17"/>
                <w:szCs w:val="17"/>
              </w:rPr>
              <w:t xml:space="preserve">Back-office (SPA)</w:t>
            </w:r>
          </w:p>
        </w:tc>
        <w:tc>
          <w:tcPr>
            <w:tcW w:w="2800" w:type="dxa"/>
            <w:shd w:val="clear" w:color="auto" w:fill="FFFFFF"/>
          </w:tcPr>
          <w:p>
            <w:r>
              <w:rPr>
                <w:color w:val="000000"/>
                <w:sz w:val="17"/>
                <w:szCs w:val="17"/>
              </w:rPr>
              <w:t xml:space="preserve">Vue.js ou React</w:t>
            </w:r>
          </w:p>
        </w:tc>
        <w:tc>
          <w:tcPr>
            <w:tcW w:w="3400" w:type="dxa"/>
            <w:shd w:val="clear" w:color="auto" w:fill="FFFFFF"/>
          </w:tcPr>
          <w:p>
            <w:r>
              <w:rPr>
                <w:color w:val="000000"/>
                <w:sz w:val="17"/>
                <w:szCs w:val="17"/>
              </w:rPr>
              <w:t xml:space="preserve">Compatible avec l'API REST choisie</w:t>
            </w:r>
          </w:p>
        </w:tc>
      </w:tr>
      <w:tr>
        <w:tc>
          <w:tcPr>
            <w:tcW w:w="2000" w:type="dxa"/>
            <w:shd w:val="clear" w:color="auto" w:fill="EEF4FB"/>
          </w:tcPr>
          <w:p>
            <w:r>
              <w:rPr>
                <w:color w:val="000000"/>
                <w:sz w:val="17"/>
                <w:szCs w:val="17"/>
              </w:rPr>
              <w:t xml:space="preserve">Site vitrine (SSR)</w:t>
            </w:r>
          </w:p>
        </w:tc>
        <w:tc>
          <w:tcPr>
            <w:tcW w:w="2800" w:type="dxa"/>
            <w:shd w:val="clear" w:color="auto" w:fill="EEF4FB"/>
          </w:tcPr>
          <w:p>
            <w:r>
              <w:rPr>
                <w:color w:val="000000"/>
                <w:sz w:val="17"/>
                <w:szCs w:val="17"/>
              </w:rPr>
              <w:t xml:space="preserve">Nuxt.js (Vue) ou Next.js (React)</w:t>
            </w:r>
          </w:p>
        </w:tc>
        <w:tc>
          <w:tcPr>
            <w:tcW w:w="3400" w:type="dxa"/>
            <w:shd w:val="clear" w:color="auto" w:fill="EEF4FB"/>
          </w:tcPr>
          <w:p>
            <w:r>
              <w:rPr>
                <w:color w:val="000000"/>
                <w:sz w:val="17"/>
                <w:szCs w:val="17"/>
              </w:rPr>
              <w:t xml:space="preserve">Indispensable pour l'indexation SEO</w:t>
            </w:r>
          </w:p>
        </w:tc>
      </w:tr>
      <w:tr>
        <w:tc>
          <w:tcPr>
            <w:tcW w:w="2000" w:type="dxa"/>
            <w:shd w:val="clear" w:color="auto" w:fill="FFFFFF"/>
          </w:tcPr>
          <w:p>
            <w:r>
              <w:rPr>
                <w:color w:val="000000"/>
                <w:sz w:val="17"/>
                <w:szCs w:val="17"/>
              </w:rPr>
              <w:t xml:space="preserve">Base de données</w:t>
            </w:r>
          </w:p>
        </w:tc>
        <w:tc>
          <w:tcPr>
            <w:tcW w:w="2800" w:type="dxa"/>
            <w:shd w:val="clear" w:color="auto" w:fill="FFFFFF"/>
          </w:tcPr>
          <w:p>
            <w:r>
              <w:rPr>
                <w:color w:val="000000"/>
                <w:sz w:val="17"/>
                <w:szCs w:val="17"/>
              </w:rPr>
              <w:t xml:space="preserve">MySQL ou PostgreSQL</w:t>
            </w:r>
          </w:p>
        </w:tc>
        <w:tc>
          <w:tcPr>
            <w:tcW w:w="3400" w:type="dxa"/>
            <w:shd w:val="clear" w:color="auto" w:fill="FFFFFF"/>
          </w:tcPr>
          <w:p>
            <w:r>
              <w:rPr>
                <w:color w:val="000000"/>
                <w:sz w:val="17"/>
                <w:szCs w:val="17"/>
              </w:rPr>
              <w:t xml:space="preserve">SGBDR relationnel — structure MLD déjà définie</w:t>
            </w:r>
          </w:p>
        </w:tc>
      </w:tr>
      <w:tr>
        <w:tc>
          <w:tcPr>
            <w:tcW w:w="2000" w:type="dxa"/>
            <w:shd w:val="clear" w:color="auto" w:fill="EEF4FB"/>
          </w:tcPr>
          <w:p>
            <w:r>
              <w:rPr>
                <w:color w:val="000000"/>
                <w:sz w:val="17"/>
                <w:szCs w:val="17"/>
              </w:rPr>
              <w:t xml:space="preserve">Génération PDF</w:t>
            </w:r>
          </w:p>
        </w:tc>
        <w:tc>
          <w:tcPr>
            <w:tcW w:w="2800" w:type="dxa"/>
            <w:shd w:val="clear" w:color="auto" w:fill="EEF4FB"/>
          </w:tcPr>
          <w:p>
            <w:r>
              <w:rPr>
                <w:color w:val="000000"/>
                <w:sz w:val="17"/>
                <w:szCs w:val="17"/>
              </w:rPr>
              <w:t xml:space="preserve">DOMPDF (Laravel) ou Puppeteer (Node)</w:t>
            </w:r>
          </w:p>
        </w:tc>
        <w:tc>
          <w:tcPr>
            <w:tcW w:w="3400" w:type="dxa"/>
            <w:shd w:val="clear" w:color="auto" w:fill="EEF4FB"/>
          </w:tcPr>
          <w:p>
            <w:r>
              <w:rPr>
                <w:color w:val="000000"/>
                <w:sz w:val="17"/>
                <w:szCs w:val="17"/>
              </w:rPr>
              <w:t xml:space="preserve">Selon le back-end choisi</w:t>
            </w:r>
          </w:p>
        </w:tc>
      </w:tr>
      <w:tr>
        <w:tc>
          <w:tcPr>
            <w:tcW w:w="2000" w:type="dxa"/>
            <w:shd w:val="clear" w:color="auto" w:fill="FFFFFF"/>
          </w:tcPr>
          <w:p>
            <w:r>
              <w:rPr>
                <w:color w:val="000000"/>
                <w:sz w:val="17"/>
                <w:szCs w:val="17"/>
              </w:rPr>
              <w:t xml:space="preserve">Déploiement démo</w:t>
            </w:r>
          </w:p>
        </w:tc>
        <w:tc>
          <w:tcPr>
            <w:tcW w:w="2800" w:type="dxa"/>
            <w:shd w:val="clear" w:color="auto" w:fill="FFFFFF"/>
          </w:tcPr>
          <w:p>
            <w:r>
              <w:rPr>
                <w:color w:val="000000"/>
                <w:sz w:val="17"/>
                <w:szCs w:val="17"/>
              </w:rPr>
              <w:t xml:space="preserve">VPS Linux + Nginx, ou Docker local</w:t>
            </w:r>
          </w:p>
        </w:tc>
        <w:tc>
          <w:tcPr>
            <w:tcW w:w="3400" w:type="dxa"/>
            <w:shd w:val="clear" w:color="auto" w:fill="FFFFFF"/>
          </w:tcPr>
          <w:p>
            <w:r>
              <w:rPr>
                <w:color w:val="000000"/>
                <w:sz w:val="17"/>
                <w:szCs w:val="17"/>
              </w:rPr>
              <w:t xml:space="preserve">Démonstration live en soutenance</w:t>
            </w:r>
          </w:p>
        </w:tc>
      </w:tr>
    </w:tbl>
    <w:p>
      <w:pPr>
        <w:spacing w:before="100" w:after="100"/>
      </w:pPr>
    </w:p>
    <w:p>
      <w:pPr>
        <w:pStyle w:val="Heading2"/>
      </w:pPr>
      <w:r>
        <w:t xml:space="preserve">11.5 Ce que l'étudiant doit produire</w:t>
      </w:r>
    </w:p>
    <w:p>
      <w:pPr>
        <w:spacing w:before="80" w:after="80"/>
      </w:pPr>
      <w:r>
        <w:rPr/>
        <w:t xml:space="preserve">L'étudiant s'appuie sur les documents fournis par le commanditaire comme référentiel métier. Il doit produire ses propres livrables académiques en s'appropriant et en reformulant ce référentiel — pas en le recopiant.</w:t>
      </w:r>
    </w:p>
    <w:p>
      <w:pPr>
        <w:spacing w:before="100" w:after="100"/>
      </w:pPr>
    </w:p>
    <w:p>
      <w:pPr>
        <w:pStyle w:val="ListParagraph"/>
        <w:numPr>
          <w:ilvl w:val="0"/>
          <w:numId w:val="1"/>
        </w:numPr>
      </w:pPr>
      <w:r>
        <w:t xml:space="preserve">CdC annoté avec ses propres observations et compréhension du besoin métier.</w:t>
      </w:r>
    </w:p>
    <w:p>
      <w:pPr>
        <w:pStyle w:val="ListParagraph"/>
        <w:numPr>
          <w:ilvl w:val="0"/>
          <w:numId w:val="1"/>
        </w:numPr>
      </w:pPr>
      <w:r>
        <w:t xml:space="preserve">Dossier de conception : architecture détaillée, diagrammes UML (UC, séquence, classes), schéma SQL.</w:t>
      </w:r>
    </w:p>
    <w:p>
      <w:pPr>
        <w:pStyle w:val="ListParagraph"/>
        <w:numPr>
          <w:ilvl w:val="0"/>
          <w:numId w:val="1"/>
        </w:numPr>
      </w:pPr>
      <w:r>
        <w:t xml:space="preserve">Code source commenté et versionné sur Git, couvrant le MVP défini en 11.3.</w:t>
      </w:r>
    </w:p>
    <w:p>
      <w:pPr>
        <w:pStyle w:val="ListParagraph"/>
        <w:numPr>
          <w:ilvl w:val="0"/>
          <w:numId w:val="1"/>
        </w:numPr>
      </w:pPr>
      <w:r>
        <w:t xml:space="preserve">Rapport de projet (40 à 60 pages) narrant l'ensemble du projet.</w:t>
      </w:r>
    </w:p>
    <w:p>
      <w:pPr>
        <w:pStyle w:val="ListParagraph"/>
        <w:numPr>
          <w:ilvl w:val="0"/>
          <w:numId w:val="1"/>
        </w:numPr>
      </w:pPr>
      <w:r>
        <w:t xml:space="preserve">Présentation de soutenance (15 à 20 slides) avec démonstration live du scénario défini en 11.2.</w:t>
      </w:r>
    </w:p>
    <w:p>
      <w:r>
        <w:br w:type="page"/>
      </w:r>
    </w:p>
    <w:p>
      <w:pPr>
        <w:pStyle w:val="Heading1"/>
      </w:pPr>
      <w:r>
        <w:t xml:space="preserve">12. Benchmark sites de référence &amp; enrichissements du site vitrine</w:t>
      </w:r>
    </w:p>
    <w:p>
      <w:pPr>
        <w:spacing w:before="80" w:after="80"/>
      </w:pPr>
      <w:r>
        <w:rPr>
          <w:color w:val="333333"/>
        </w:rPr>
        <w:t xml:space="preserve">Ce chapitre documente l'analyse comparative des plateformes industrielles de référence (RS Components, Mouser, Farnell, Mabéo Industries, Troostwijk) et les fonctionnalités retenues pour enrichir le site vitrine de la phase 1. Le e-commerce (panier, paiement en ligne, compte client) est explicitement reporté en phase 2, après consolidation et retour d'expérience.</w:t>
      </w:r>
    </w:p>
    <w:p>
      <w:pPr>
        <w:spacing w:before="80" w:after="80"/>
      </w:pPr>
    </w:p>
    <w:p>
      <w:pPr>
        <w:pStyle w:val="Heading2"/>
      </w:pPr>
      <w:r>
        <w:t xml:space="preserve">12.1 Analyse comparative des plateformes de référence</w:t>
      </w:r>
    </w:p>
    <w:tbl>
      <w:tblPr>
        <w:tblW w:w="12200" w:type="dxa"/>
        <w:tblBorders>
          <w:top w:val="single" w:sz="4" w:space="0" w:color="CCCCCC"/>
          <w:bottom w:val="single" w:sz="4" w:space="0" w:color="CCCCCC"/>
          <w:insideH w:val="single" w:sz="4" w:space="0" w:color="CCCCCC"/>
          <w:insideV w:val="single" w:sz="4" w:space="0" w:color="CCCCCC"/>
        </w:tblBorders>
      </w:tblPr>
      <w:tblGrid>
        <w:gridCol w:w="1600"/>
        <w:gridCol w:w="2000"/>
        <w:gridCol w:w="3800"/>
        <w:gridCol w:w="3000"/>
        <w:gridCol w:w="1800"/>
      </w:tblGrid>
      <w:tr>
        <w:tc>
          <w:tcPr>
            <w:tcW w:w="1600" w:type="dxa"/>
            <w:shd w:val="clear" w:color="auto" w:fill="1F3864"/>
          </w:tcPr>
          <w:p>
            <w:r>
              <w:rPr>
                <w:b/>
                <w:color w:val="FFFFFF"/>
                <w:sz w:val="17"/>
                <w:szCs w:val="17"/>
              </w:rPr>
              <w:t xml:space="preserve">Plateforme</w:t>
            </w:r>
          </w:p>
        </w:tc>
        <w:tc>
          <w:tcPr>
            <w:tcW w:w="2000" w:type="dxa"/>
            <w:shd w:val="clear" w:color="auto" w:fill="1F3864"/>
          </w:tcPr>
          <w:p>
            <w:r>
              <w:rPr>
                <w:b/>
                <w:color w:val="FFFFFF"/>
                <w:sz w:val="17"/>
                <w:szCs w:val="17"/>
              </w:rPr>
              <w:t xml:space="preserve">Type</w:t>
            </w:r>
          </w:p>
        </w:tc>
        <w:tc>
          <w:tcPr>
            <w:tcW w:w="3800" w:type="dxa"/>
            <w:shd w:val="clear" w:color="auto" w:fill="1F3864"/>
          </w:tcPr>
          <w:p>
            <w:r>
              <w:rPr>
                <w:b/>
                <w:color w:val="FFFFFF"/>
                <w:sz w:val="17"/>
                <w:szCs w:val="17"/>
              </w:rPr>
              <w:t xml:space="preserve">Fonctionnalité clé observée</w:t>
            </w:r>
          </w:p>
        </w:tc>
        <w:tc>
          <w:tcPr>
            <w:tcW w:w="3000" w:type="dxa"/>
            <w:shd w:val="clear" w:color="auto" w:fill="1F3864"/>
          </w:tcPr>
          <w:p>
            <w:r>
              <w:rPr>
                <w:b/>
                <w:color w:val="FFFFFF"/>
                <w:sz w:val="17"/>
                <w:szCs w:val="17"/>
              </w:rPr>
              <w:t xml:space="preserve">Applicable Phase 1</w:t>
            </w:r>
          </w:p>
        </w:tc>
        <w:tc>
          <w:tcPr>
            <w:tcW w:w="1800" w:type="dxa"/>
            <w:shd w:val="clear" w:color="auto" w:fill="1F3864"/>
          </w:tcPr>
          <w:p>
            <w:r>
              <w:rPr>
                <w:b/>
                <w:color w:val="FFFFFF"/>
                <w:sz w:val="17"/>
                <w:szCs w:val="17"/>
              </w:rPr>
              <w:t xml:space="preserve">Phase 2</w:t>
            </w:r>
          </w:p>
        </w:tc>
      </w:tr>
      <w:tr>
        <w:tc>
          <w:tcPr>
            <w:tcW w:w="1600" w:type="dxa"/>
            <w:shd w:val="clear" w:color="auto" w:fill="EEF4FB"/>
          </w:tcPr>
          <w:p>
            <w:r>
              <w:rPr>
                <w:color w:val="333333"/>
                <w:sz w:val="17"/>
                <w:szCs w:val="17"/>
              </w:rPr>
              <w:t xml:space="preserve">RS Components</w:t>
            </w:r>
          </w:p>
        </w:tc>
        <w:tc>
          <w:tcPr>
            <w:tcW w:w="2000" w:type="dxa"/>
            <w:shd w:val="clear" w:color="auto" w:fill="EEF4FB"/>
          </w:tcPr>
          <w:p>
            <w:r>
              <w:rPr>
                <w:color w:val="333333"/>
                <w:sz w:val="17"/>
                <w:szCs w:val="17"/>
              </w:rPr>
              <w:t xml:space="preserve">Distributeur B2B électronique &amp; industriel</w:t>
            </w:r>
          </w:p>
        </w:tc>
        <w:tc>
          <w:tcPr>
            <w:tcW w:w="3800" w:type="dxa"/>
            <w:shd w:val="clear" w:color="auto" w:fill="EEF4FB"/>
          </w:tcPr>
          <w:p>
            <w:r>
              <w:rPr>
                <w:color w:val="333333"/>
                <w:sz w:val="17"/>
                <w:szCs w:val="17"/>
              </w:rPr>
              <w:t xml:space="preserve">Fiche produit ultra-enrichie : datasheet PDF, caractéristiques techniques filtrables, photos multiples, produits similaires. Filtrage multi-critères 70% plus rapide après refonte UX.</w:t>
            </w:r>
          </w:p>
        </w:tc>
        <w:tc>
          <w:tcPr>
            <w:tcW w:w="3000" w:type="dxa"/>
            <w:shd w:val="clear" w:color="auto" w:fill="EEF4FB"/>
          </w:tcPr>
          <w:p>
            <w:r>
              <w:rPr>
                <w:color w:val="333333"/>
                <w:sz w:val="17"/>
                <w:szCs w:val="17"/>
              </w:rPr>
              <w:t xml:space="preserve">Fiche produit enrichie, datasheet, filtres famille/catégorie/état</w:t>
            </w:r>
          </w:p>
        </w:tc>
        <w:tc>
          <w:tcPr>
            <w:tcW w:w="1800" w:type="dxa"/>
            <w:shd w:val="clear" w:color="auto" w:fill="EEF4FB"/>
          </w:tcPr>
          <w:p>
            <w:r>
              <w:rPr>
                <w:color w:val="333333"/>
                <w:sz w:val="17"/>
                <w:szCs w:val="17"/>
              </w:rPr>
              <w:t xml:space="preserve">Comparateur de produits</w:t>
            </w:r>
          </w:p>
        </w:tc>
      </w:tr>
      <w:tr>
        <w:tc>
          <w:tcPr>
            <w:tcW w:w="1600" w:type="dxa"/>
            <w:shd w:val="clear" w:color="auto" w:fill="FFFFFF"/>
          </w:tcPr>
          <w:p>
            <w:r>
              <w:rPr>
                <w:color w:val="333333"/>
                <w:sz w:val="17"/>
                <w:szCs w:val="17"/>
              </w:rPr>
              <w:t xml:space="preserve">Mouser Electronics</w:t>
            </w:r>
          </w:p>
        </w:tc>
        <w:tc>
          <w:tcPr>
            <w:tcW w:w="2000" w:type="dxa"/>
            <w:shd w:val="clear" w:color="auto" w:fill="FFFFFF"/>
          </w:tcPr>
          <w:p>
            <w:r>
              <w:rPr>
                <w:color w:val="333333"/>
                <w:sz w:val="17"/>
                <w:szCs w:val="17"/>
              </w:rPr>
              <w:t xml:space="preserve">Distributeur composants électroniques</w:t>
            </w:r>
          </w:p>
        </w:tc>
        <w:tc>
          <w:tcPr>
            <w:tcW w:w="3800" w:type="dxa"/>
            <w:shd w:val="clear" w:color="auto" w:fill="FFFFFF"/>
          </w:tcPr>
          <w:p>
            <w:r>
              <w:rPr>
                <w:color w:val="333333"/>
                <w:sz w:val="17"/>
                <w:szCs w:val="17"/>
              </w:rPr>
              <w:t xml:space="preserve">Recherche par référence exacte ou partielle (6,8M de SKU). Badge disponibilité en temps réel. Outils de gestion de liste de matériel (BOM).</w:t>
            </w:r>
          </w:p>
        </w:tc>
        <w:tc>
          <w:tcPr>
            <w:tcW w:w="3000" w:type="dxa"/>
            <w:shd w:val="clear" w:color="auto" w:fill="FFFFFF"/>
          </w:tcPr>
          <w:p>
            <w:r>
              <w:rPr>
                <w:color w:val="333333"/>
                <w:sz w:val="17"/>
                <w:szCs w:val="17"/>
              </w:rPr>
              <w:t xml:space="preserve">Recherche par référence fabricant, badge disponibilité</w:t>
            </w:r>
          </w:p>
        </w:tc>
        <w:tc>
          <w:tcPr>
            <w:tcW w:w="1800" w:type="dxa"/>
            <w:shd w:val="clear" w:color="auto" w:fill="FFFFFF"/>
          </w:tcPr>
          <w:p>
            <w:r>
              <w:rPr>
                <w:color w:val="333333"/>
                <w:sz w:val="17"/>
                <w:szCs w:val="17"/>
              </w:rPr>
              <w:t xml:space="preserve">BOM tool, compte client</w:t>
            </w:r>
          </w:p>
        </w:tc>
      </w:tr>
      <w:tr>
        <w:tc>
          <w:tcPr>
            <w:tcW w:w="1600" w:type="dxa"/>
            <w:shd w:val="clear" w:color="auto" w:fill="EEF4FB"/>
          </w:tcPr>
          <w:p>
            <w:r>
              <w:rPr>
                <w:color w:val="333333"/>
                <w:sz w:val="17"/>
                <w:szCs w:val="17"/>
              </w:rPr>
              <w:t xml:space="preserve">Farnell / Element14</w:t>
            </w:r>
          </w:p>
        </w:tc>
        <w:tc>
          <w:tcPr>
            <w:tcW w:w="2000" w:type="dxa"/>
            <w:shd w:val="clear" w:color="auto" w:fill="EEF4FB"/>
          </w:tcPr>
          <w:p>
            <w:r>
              <w:rPr>
                <w:color w:val="333333"/>
                <w:sz w:val="17"/>
                <w:szCs w:val="17"/>
              </w:rPr>
              <w:t xml:space="preserve">Distributeur composants &amp; industriel</w:t>
            </w:r>
          </w:p>
        </w:tc>
        <w:tc>
          <w:tcPr>
            <w:tcW w:w="3800" w:type="dxa"/>
            <w:shd w:val="clear" w:color="auto" w:fill="EEF4FB"/>
          </w:tcPr>
          <w:p>
            <w:r>
              <w:rPr>
                <w:color w:val="333333"/>
                <w:sz w:val="17"/>
                <w:szCs w:val="17"/>
              </w:rPr>
              <w:t xml:space="preserve">Datasheets systématiques, certifications produit, contenu technique éditorial, prix dégressifs selon quantité affichés.</w:t>
            </w:r>
          </w:p>
        </w:tc>
        <w:tc>
          <w:tcPr>
            <w:tcW w:w="3000" w:type="dxa"/>
            <w:shd w:val="clear" w:color="auto" w:fill="EEF4FB"/>
          </w:tcPr>
          <w:p>
            <w:r>
              <w:rPr>
                <w:color w:val="333333"/>
                <w:sz w:val="17"/>
                <w:szCs w:val="17"/>
              </w:rPr>
              <w:t xml:space="preserve">Datasheets téléchargeables, contenu technique par catégorie</w:t>
            </w:r>
          </w:p>
        </w:tc>
        <w:tc>
          <w:tcPr>
            <w:tcW w:w="1800" w:type="dxa"/>
            <w:shd w:val="clear" w:color="auto" w:fill="EEF4FB"/>
          </w:tcPr>
          <w:p>
            <w:r>
              <w:rPr>
                <w:color w:val="333333"/>
                <w:sz w:val="17"/>
                <w:szCs w:val="17"/>
              </w:rPr>
              <w:t xml:space="preserve">Prix dégressifs, compte client</w:t>
            </w:r>
          </w:p>
        </w:tc>
      </w:tr>
      <w:tr>
        <w:tc>
          <w:tcPr>
            <w:tcW w:w="1600" w:type="dxa"/>
            <w:shd w:val="clear" w:color="auto" w:fill="FFFFFF"/>
          </w:tcPr>
          <w:p>
            <w:r>
              <w:rPr>
                <w:color w:val="333333"/>
                <w:sz w:val="17"/>
                <w:szCs w:val="17"/>
              </w:rPr>
              <w:t xml:space="preserve">Mabéo Industries</w:t>
            </w:r>
          </w:p>
        </w:tc>
        <w:tc>
          <w:tcPr>
            <w:tcW w:w="2000" w:type="dxa"/>
            <w:shd w:val="clear" w:color="auto" w:fill="FFFFFF"/>
          </w:tcPr>
          <w:p>
            <w:r>
              <w:rPr>
                <w:color w:val="333333"/>
                <w:sz w:val="17"/>
                <w:szCs w:val="17"/>
              </w:rPr>
              <w:t xml:space="preserve">Distributeur fournitures industrielles France</w:t>
            </w:r>
          </w:p>
        </w:tc>
        <w:tc>
          <w:tcPr>
            <w:tcW w:w="3800" w:type="dxa"/>
            <w:shd w:val="clear" w:color="auto" w:fill="FFFFFF"/>
          </w:tcPr>
          <w:p>
            <w:r>
              <w:rPr>
                <w:color w:val="333333"/>
                <w:sz w:val="17"/>
                <w:szCs w:val="17"/>
              </w:rPr>
              <w:t xml:space="preserve">Galerie photos enrichie, stock en livraison visible, suggestions produits complémentaires, navigation mobile optimisée, documents techniques.</w:t>
            </w:r>
          </w:p>
        </w:tc>
        <w:tc>
          <w:tcPr>
            <w:tcW w:w="3000" w:type="dxa"/>
            <w:shd w:val="clear" w:color="auto" w:fill="FFFFFF"/>
          </w:tcPr>
          <w:p>
            <w:r>
              <w:rPr>
                <w:color w:val="333333"/>
                <w:sz w:val="17"/>
                <w:szCs w:val="17"/>
              </w:rPr>
              <w:t xml:space="preserve">Navigation mobile, galerie photos, documents téléchargeables</w:t>
            </w:r>
          </w:p>
        </w:tc>
        <w:tc>
          <w:tcPr>
            <w:tcW w:w="1800" w:type="dxa"/>
            <w:shd w:val="clear" w:color="auto" w:fill="FFFFFF"/>
          </w:tcPr>
          <w:p>
            <w:r>
              <w:rPr>
                <w:color w:val="333333"/>
                <w:sz w:val="17"/>
                <w:szCs w:val="17"/>
              </w:rPr>
              <w:t xml:space="preserve">E-procurement sur mesure</w:t>
            </w:r>
          </w:p>
        </w:tc>
      </w:tr>
      <w:tr>
        <w:tc>
          <w:tcPr>
            <w:tcW w:w="1600" w:type="dxa"/>
            <w:shd w:val="clear" w:color="auto" w:fill="EEF4FB"/>
          </w:tcPr>
          <w:p>
            <w:r>
              <w:rPr>
                <w:color w:val="333333"/>
                <w:sz w:val="17"/>
                <w:szCs w:val="17"/>
              </w:rPr>
              <w:t xml:space="preserve">Troostwijk Auctions</w:t>
            </w:r>
          </w:p>
        </w:tc>
        <w:tc>
          <w:tcPr>
            <w:tcW w:w="2000" w:type="dxa"/>
            <w:shd w:val="clear" w:color="auto" w:fill="EEF4FB"/>
          </w:tcPr>
          <w:p>
            <w:r>
              <w:rPr>
                <w:color w:val="333333"/>
                <w:sz w:val="17"/>
                <w:szCs w:val="17"/>
              </w:rPr>
              <w:t xml:space="preserve">Vente en ligne matériel industriel occasion</w:t>
            </w:r>
          </w:p>
        </w:tc>
        <w:tc>
          <w:tcPr>
            <w:tcW w:w="3800" w:type="dxa"/>
            <w:shd w:val="clear" w:color="auto" w:fill="EEF4FB"/>
          </w:tcPr>
          <w:p>
            <w:r>
              <w:rPr>
                <w:color w:val="333333"/>
                <w:sz w:val="17"/>
                <w:szCs w:val="17"/>
              </w:rPr>
              <w:t xml:space="preserve">Photos réelles de l'article (pas de photos constructeur), état détaillé (défauts visibles), provenance documentée, catégorisation fine par secteur industriel.</w:t>
            </w:r>
          </w:p>
        </w:tc>
        <w:tc>
          <w:tcPr>
            <w:tcW w:w="3000" w:type="dxa"/>
            <w:shd w:val="clear" w:color="auto" w:fill="EEF4FB"/>
          </w:tcPr>
          <w:p>
            <w:r>
              <w:rPr>
                <w:color w:val="333333"/>
                <w:sz w:val="17"/>
                <w:szCs w:val="17"/>
              </w:rPr>
              <w:t xml:space="preserve">Photos réelles, état détaillé, légende photos (défauts)</w:t>
            </w:r>
          </w:p>
        </w:tc>
        <w:tc>
          <w:tcPr>
            <w:tcW w:w="1800" w:type="dxa"/>
            <w:shd w:val="clear" w:color="auto" w:fill="EEF4FB"/>
          </w:tcPr>
          <w:p>
            <w:r>
              <w:rPr>
                <w:color w:val="333333"/>
                <w:sz w:val="17"/>
                <w:szCs w:val="17"/>
              </w:rPr>
              <w:t xml:space="preserve">Enchères en ligne</w:t>
            </w:r>
          </w:p>
        </w:tc>
      </w:tr>
      <w:tr>
        <w:tc>
          <w:tcPr>
            <w:tcW w:w="1600" w:type="dxa"/>
            <w:shd w:val="clear" w:color="auto" w:fill="FFFFFF"/>
          </w:tcPr>
          <w:p>
            <w:r>
              <w:rPr>
                <w:color w:val="333333"/>
                <w:sz w:val="17"/>
                <w:szCs w:val="17"/>
              </w:rPr>
              <w:t xml:space="preserve">Radwell International</w:t>
            </w:r>
          </w:p>
        </w:tc>
        <w:tc>
          <w:tcPr>
            <w:tcW w:w="2000" w:type="dxa"/>
            <w:shd w:val="clear" w:color="auto" w:fill="FFFFFF"/>
          </w:tcPr>
          <w:p>
            <w:r>
              <w:rPr>
                <w:color w:val="333333"/>
                <w:sz w:val="17"/>
                <w:szCs w:val="17"/>
              </w:rPr>
              <w:t xml:space="preserve">Pièces industrielles obsolètes &amp; reconditionnées</w:t>
            </w:r>
          </w:p>
        </w:tc>
        <w:tc>
          <w:tcPr>
            <w:tcW w:w="3800" w:type="dxa"/>
            <w:shd w:val="clear" w:color="auto" w:fill="FFFFFF"/>
          </w:tcPr>
          <w:p>
            <w:r>
              <w:rPr>
                <w:color w:val="333333"/>
                <w:sz w:val="17"/>
                <w:szCs w:val="17"/>
              </w:rPr>
              <w:t xml:space="preserve">Catalogue centré sur l'obsolète. Recherche par référence hors catalogue. Certification de reconditionnement. Garantie affichée sur fiche.</w:t>
            </w:r>
          </w:p>
        </w:tc>
        <w:tc>
          <w:tcPr>
            <w:tcW w:w="3000" w:type="dxa"/>
            <w:shd w:val="clear" w:color="auto" w:fill="FFFFFF"/>
          </w:tcPr>
          <w:p>
            <w:r>
              <w:rPr>
                <w:color w:val="333333"/>
                <w:sz w:val="17"/>
                <w:szCs w:val="17"/>
              </w:rPr>
              <w:t xml:space="preserve">Statut de disponibilité, badge reconditionné/occasion</w:t>
            </w:r>
          </w:p>
        </w:tc>
        <w:tc>
          <w:tcPr>
            <w:tcW w:w="1800" w:type="dxa"/>
            <w:shd w:val="clear" w:color="auto" w:fill="FFFFFF"/>
          </w:tcPr>
          <w:p>
            <w:r>
              <w:rPr>
                <w:color w:val="333333"/>
                <w:sz w:val="17"/>
                <w:szCs w:val="17"/>
              </w:rPr>
              <w:t xml:space="preserve">Garantie en ligne, retours</w:t>
            </w:r>
          </w:p>
        </w:tc>
      </w:tr>
    </w:tbl>
    <w:p>
      <w:pPr>
        <w:spacing w:before="80" w:after="80"/>
      </w:pPr>
    </w:p>
    <w:p>
      <w:pPr>
        <w:spacing w:before="80" w:after="80"/>
      </w:pPr>
      <w:r>
        <w:rPr>
          <w:i/>
          <w:color w:val="555555"/>
        </w:rPr>
        <w:t xml:space="preserve">Enseignement transversal : aucun de ces acteurs ne se contente d'un catalogue minimaliste. La richesse de l'information technique sur chaque fiche produit est le principal facteur de conversion — même sans panier ni paiement. Un acheteur industriel qui trouve toutes les informations dont il a besoin soumettra sa demande de devis. S'il en manque une, il quittera le site.</w:t>
      </w:r>
    </w:p>
    <w:p>
      <w:pPr>
        <w:spacing w:before="80" w:after="80"/>
      </w:pPr>
    </w:p>
    <w:p>
      <w:pPr>
        <w:pStyle w:val="Heading2"/>
      </w:pPr>
      <w:r>
        <w:t xml:space="preserve">12.2 Fonctionnalités retenues pour le site vitrine Phase 1</w:t>
      </w:r>
    </w:p>
    <w:p>
      <w:pPr>
        <w:spacing w:before="80" w:after="80"/>
      </w:pPr>
      <w:r>
        <w:rPr>
          <w:color w:val="333333"/>
        </w:rPr>
        <w:t xml:space="preserve">Les fonctionnalités ci-dessous sont sélectionnées car elles apportent une valeur directe à la conversion (demande de devis) sans nécessiter un module e-commerce. Elles sont toutes réalisables dans le périmètre MVP.</w:t>
      </w:r>
    </w:p>
    <w:p>
      <w:pPr>
        <w:spacing w:before="80" w:after="80"/>
      </w:pPr>
    </w:p>
    <w:tbl>
      <w:tblPr>
        <w:tblW w:w="9500" w:type="dxa"/>
        <w:tblBorders>
          <w:top w:val="single" w:sz="4" w:space="0" w:color="CCCCCC"/>
          <w:bottom w:val="single" w:sz="4" w:space="0" w:color="CCCCCC"/>
          <w:insideH w:val="single" w:sz="4" w:space="0" w:color="CCCCCC"/>
          <w:insideV w:val="single" w:sz="4" w:space="0" w:color="CCCCCC"/>
        </w:tblBorders>
      </w:tblPr>
      <w:tblGrid>
        <w:gridCol w:w="2200"/>
        <w:gridCol w:w="3500"/>
        <w:gridCol w:w="1800"/>
        <w:gridCol w:w="2000"/>
      </w:tblGrid>
      <w:tr>
        <w:tc>
          <w:tcPr>
            <w:tcW w:w="2200" w:type="dxa"/>
            <w:shd w:val="clear" w:color="auto" w:fill="1F3864"/>
          </w:tcPr>
          <w:p>
            <w:r>
              <w:rPr>
                <w:b/>
                <w:color w:val="FFFFFF"/>
                <w:sz w:val="17"/>
                <w:szCs w:val="17"/>
              </w:rPr>
              <w:t xml:space="preserve">Fonctionnalité</w:t>
            </w:r>
          </w:p>
        </w:tc>
        <w:tc>
          <w:tcPr>
            <w:tcW w:w="3500" w:type="dxa"/>
            <w:shd w:val="clear" w:color="auto" w:fill="1F3864"/>
          </w:tcPr>
          <w:p>
            <w:r>
              <w:rPr>
                <w:b/>
                <w:color w:val="FFFFFF"/>
                <w:sz w:val="17"/>
                <w:szCs w:val="17"/>
              </w:rPr>
              <w:t xml:space="preserve">Description</w:t>
            </w:r>
          </w:p>
        </w:tc>
        <w:tc>
          <w:tcPr>
            <w:tcW w:w="1800" w:type="dxa"/>
            <w:shd w:val="clear" w:color="auto" w:fill="1F3864"/>
          </w:tcPr>
          <w:p>
            <w:r>
              <w:rPr>
                <w:b/>
                <w:color w:val="FFFFFF"/>
                <w:sz w:val="17"/>
                <w:szCs w:val="17"/>
              </w:rPr>
              <w:t xml:space="preserve">Source d'inspiration</w:t>
            </w:r>
          </w:p>
        </w:tc>
        <w:tc>
          <w:tcPr>
            <w:tcW w:w="2000" w:type="dxa"/>
            <w:shd w:val="clear" w:color="auto" w:fill="1F3864"/>
          </w:tcPr>
          <w:p>
            <w:r>
              <w:rPr>
                <w:b/>
                <w:color w:val="FFFFFF"/>
                <w:sz w:val="17"/>
                <w:szCs w:val="17"/>
              </w:rPr>
              <w:t xml:space="preserve">Impact attendu</w:t>
            </w:r>
          </w:p>
        </w:tc>
      </w:tr>
      <w:tr>
        <w:tc>
          <w:tcPr>
            <w:tcW w:w="2200" w:type="dxa"/>
            <w:shd w:val="clear" w:color="auto" w:fill="EEF4FB"/>
          </w:tcPr>
          <w:p>
            <w:r>
              <w:rPr>
                <w:color w:val="333333"/>
                <w:sz w:val="17"/>
                <w:szCs w:val="17"/>
              </w:rPr>
              <w:t xml:space="preserve">Recherche par référence fabricant</w:t>
            </w:r>
          </w:p>
        </w:tc>
        <w:tc>
          <w:tcPr>
            <w:tcW w:w="3500" w:type="dxa"/>
            <w:shd w:val="clear" w:color="auto" w:fill="EEF4FB"/>
          </w:tcPr>
          <w:p>
            <w:r>
              <w:rPr>
                <w:color w:val="333333"/>
                <w:sz w:val="17"/>
                <w:szCs w:val="17"/>
              </w:rPr>
              <w:t xml:space="preserve">Barre de recherche intelligente reconnaissant les références exactes ou partielles (ex : "ATV320", "3RT1", "6ES7"). Résultats filtrés en temps réel.</w:t>
            </w:r>
          </w:p>
        </w:tc>
        <w:tc>
          <w:tcPr>
            <w:tcW w:w="1800" w:type="dxa"/>
            <w:shd w:val="clear" w:color="auto" w:fill="EEF4FB"/>
          </w:tcPr>
          <w:p>
            <w:r>
              <w:rPr>
                <w:color w:val="333333"/>
                <w:sz w:val="17"/>
                <w:szCs w:val="17"/>
              </w:rPr>
              <w:t xml:space="preserve">Mouser, Farnell</w:t>
            </w:r>
          </w:p>
        </w:tc>
        <w:tc>
          <w:tcPr>
            <w:tcW w:w="2000" w:type="dxa"/>
            <w:shd w:val="clear" w:color="auto" w:fill="EEF4FB"/>
          </w:tcPr>
          <w:p>
            <w:r>
              <w:rPr>
                <w:color w:val="333333"/>
                <w:sz w:val="17"/>
                <w:szCs w:val="17"/>
              </w:rPr>
              <w:t xml:space="preserve">Critique : c'est la première action d'un responsable de maintenance</w:t>
            </w:r>
          </w:p>
        </w:tc>
      </w:tr>
      <w:tr>
        <w:tc>
          <w:tcPr>
            <w:tcW w:w="2200" w:type="dxa"/>
            <w:shd w:val="clear" w:color="auto" w:fill="FFFFFF"/>
          </w:tcPr>
          <w:p>
            <w:r>
              <w:rPr>
                <w:color w:val="333333"/>
                <w:sz w:val="17"/>
                <w:szCs w:val="17"/>
              </w:rPr>
              <w:t xml:space="preserve">Filtres multi-critères</w:t>
            </w:r>
          </w:p>
        </w:tc>
        <w:tc>
          <w:tcPr>
            <w:tcW w:w="3500" w:type="dxa"/>
            <w:shd w:val="clear" w:color="auto" w:fill="FFFFFF"/>
          </w:tcPr>
          <w:p>
            <w:r>
              <w:rPr>
                <w:color w:val="333333"/>
                <w:sz w:val="17"/>
                <w:szCs w:val="17"/>
              </w:rPr>
              <w:t xml:space="preserve">Filtrage par : Famille &gt; Catégorie &gt; État (neuf/occasion/recond.) &gt; Disponibilité. Filtres persistants et combinables.</w:t>
            </w:r>
          </w:p>
        </w:tc>
        <w:tc>
          <w:tcPr>
            <w:tcW w:w="1800" w:type="dxa"/>
            <w:shd w:val="clear" w:color="auto" w:fill="FFFFFF"/>
          </w:tcPr>
          <w:p>
            <w:r>
              <w:rPr>
                <w:color w:val="333333"/>
                <w:sz w:val="17"/>
                <w:szCs w:val="17"/>
              </w:rPr>
              <w:t xml:space="preserve">RS Components</w:t>
            </w:r>
          </w:p>
        </w:tc>
        <w:tc>
          <w:tcPr>
            <w:tcW w:w="2000" w:type="dxa"/>
            <w:shd w:val="clear" w:color="auto" w:fill="FFFFFF"/>
          </w:tcPr>
          <w:p>
            <w:r>
              <w:rPr>
                <w:color w:val="333333"/>
                <w:sz w:val="17"/>
                <w:szCs w:val="17"/>
              </w:rPr>
              <w:t xml:space="preserve">Élevé : réduit le temps de recherche et qualifie l'intention</w:t>
            </w:r>
          </w:p>
        </w:tc>
      </w:tr>
      <w:tr>
        <w:tc>
          <w:tcPr>
            <w:tcW w:w="2200" w:type="dxa"/>
            <w:shd w:val="clear" w:color="auto" w:fill="EEF4FB"/>
          </w:tcPr>
          <w:p>
            <w:r>
              <w:rPr>
                <w:color w:val="333333"/>
                <w:sz w:val="17"/>
                <w:szCs w:val="17"/>
              </w:rPr>
              <w:t xml:space="preserve">Fiche produit enrichie</w:t>
            </w:r>
          </w:p>
        </w:tc>
        <w:tc>
          <w:tcPr>
            <w:tcW w:w="3500" w:type="dxa"/>
            <w:shd w:val="clear" w:color="auto" w:fill="EEF4FB"/>
          </w:tcPr>
          <w:p>
            <w:r>
              <w:rPr>
                <w:color w:val="333333"/>
                <w:sz w:val="17"/>
                <w:szCs w:val="17"/>
              </w:rPr>
              <w:t xml:space="preserve">Référence interne + référence fabricant + état + disponibilité + caractéristiques techniques (champs CHAMP_SPECIFIQUE) + observations.</w:t>
            </w:r>
          </w:p>
        </w:tc>
        <w:tc>
          <w:tcPr>
            <w:tcW w:w="1800" w:type="dxa"/>
            <w:shd w:val="clear" w:color="auto" w:fill="EEF4FB"/>
          </w:tcPr>
          <w:p>
            <w:r>
              <w:rPr>
                <w:color w:val="333333"/>
                <w:sz w:val="17"/>
                <w:szCs w:val="17"/>
              </w:rPr>
              <w:t xml:space="preserve">RS, Farnell, Mabéo</w:t>
            </w:r>
          </w:p>
        </w:tc>
        <w:tc>
          <w:tcPr>
            <w:tcW w:w="2000" w:type="dxa"/>
            <w:shd w:val="clear" w:color="auto" w:fill="EEF4FB"/>
          </w:tcPr>
          <w:p>
            <w:r>
              <w:rPr>
                <w:color w:val="333333"/>
                <w:sz w:val="17"/>
                <w:szCs w:val="17"/>
              </w:rPr>
              <w:t xml:space="preserve">Critique : remplace le catalogue papier et la demande par email</w:t>
            </w:r>
          </w:p>
        </w:tc>
      </w:tr>
      <w:tr>
        <w:tc>
          <w:tcPr>
            <w:tcW w:w="2200" w:type="dxa"/>
            <w:shd w:val="clear" w:color="auto" w:fill="FFFFFF"/>
          </w:tcPr>
          <w:p>
            <w:r>
              <w:rPr>
                <w:color w:val="333333"/>
                <w:sz w:val="17"/>
                <w:szCs w:val="17"/>
              </w:rPr>
              <w:t xml:space="preserve">Galerie photos multiples</w:t>
            </w:r>
          </w:p>
        </w:tc>
        <w:tc>
          <w:tcPr>
            <w:tcW w:w="3500" w:type="dxa"/>
            <w:shd w:val="clear" w:color="auto" w:fill="FFFFFF"/>
          </w:tcPr>
          <w:p>
            <w:r>
              <w:rPr>
                <w:color w:val="333333"/>
                <w:sz w:val="17"/>
                <w:szCs w:val="17"/>
              </w:rPr>
              <w:t xml:space="preserve">Jusqu'à 10 photos par article. Photos réelles de l'article (pas de visuels constructeur pour l'occasion). Légende : vue de face, plaque signalétique, défauts visibles.</w:t>
            </w:r>
          </w:p>
        </w:tc>
        <w:tc>
          <w:tcPr>
            <w:tcW w:w="1800" w:type="dxa"/>
            <w:shd w:val="clear" w:color="auto" w:fill="FFFFFF"/>
          </w:tcPr>
          <w:p>
            <w:r>
              <w:rPr>
                <w:color w:val="333333"/>
                <w:sz w:val="17"/>
                <w:szCs w:val="17"/>
              </w:rPr>
              <w:t xml:space="preserve">Troostwijk, Mabéo</w:t>
            </w:r>
          </w:p>
        </w:tc>
        <w:tc>
          <w:tcPr>
            <w:tcW w:w="2000" w:type="dxa"/>
            <w:shd w:val="clear" w:color="auto" w:fill="FFFFFF"/>
          </w:tcPr>
          <w:p>
            <w:r>
              <w:rPr>
                <w:color w:val="333333"/>
                <w:sz w:val="17"/>
                <w:szCs w:val="17"/>
              </w:rPr>
              <w:t xml:space="preserve">Élevé : capital confiance pour l'occasion et le reconditionné</w:t>
            </w:r>
          </w:p>
        </w:tc>
      </w:tr>
      <w:tr>
        <w:tc>
          <w:tcPr>
            <w:tcW w:w="2200" w:type="dxa"/>
            <w:shd w:val="clear" w:color="auto" w:fill="EEF4FB"/>
          </w:tcPr>
          <w:p>
            <w:r>
              <w:rPr>
                <w:color w:val="333333"/>
                <w:sz w:val="17"/>
                <w:szCs w:val="17"/>
              </w:rPr>
              <w:t xml:space="preserve">Badge état &amp; disponibilité</w:t>
            </w:r>
          </w:p>
        </w:tc>
        <w:tc>
          <w:tcPr>
            <w:tcW w:w="3500" w:type="dxa"/>
            <w:shd w:val="clear" w:color="auto" w:fill="EEF4FB"/>
          </w:tcPr>
          <w:p>
            <w:r>
              <w:rPr>
                <w:color w:val="333333"/>
                <w:sz w:val="17"/>
                <w:szCs w:val="17"/>
              </w:rPr>
              <w:t xml:space="preserve">Pastille colorée : NEUF (vert), OCCASION (orange), RECONDITIONNÉ (bleu). Badge disponibilité : EN STOCK, STOCK LIMITÉ, SUR DEMANDE.</w:t>
            </w:r>
          </w:p>
        </w:tc>
        <w:tc>
          <w:tcPr>
            <w:tcW w:w="1800" w:type="dxa"/>
            <w:shd w:val="clear" w:color="auto" w:fill="EEF4FB"/>
          </w:tcPr>
          <w:p>
            <w:r>
              <w:rPr>
                <w:color w:val="333333"/>
                <w:sz w:val="17"/>
                <w:szCs w:val="17"/>
              </w:rPr>
              <w:t xml:space="preserve">Mouser, Troostwijk</w:t>
            </w:r>
          </w:p>
        </w:tc>
        <w:tc>
          <w:tcPr>
            <w:tcW w:w="2000" w:type="dxa"/>
            <w:shd w:val="clear" w:color="auto" w:fill="EEF4FB"/>
          </w:tcPr>
          <w:p>
            <w:r>
              <w:rPr>
                <w:color w:val="333333"/>
                <w:sz w:val="17"/>
                <w:szCs w:val="17"/>
              </w:rPr>
              <w:t xml:space="preserve">Moyen : lisibilité immédiate sans lire la fiche complète</w:t>
            </w:r>
          </w:p>
        </w:tc>
      </w:tr>
      <w:tr>
        <w:tc>
          <w:tcPr>
            <w:tcW w:w="2200" w:type="dxa"/>
            <w:shd w:val="clear" w:color="auto" w:fill="FFFFFF"/>
          </w:tcPr>
          <w:p>
            <w:r>
              <w:rPr>
                <w:color w:val="333333"/>
                <w:sz w:val="17"/>
                <w:szCs w:val="17"/>
              </w:rPr>
              <w:t xml:space="preserve">Datasheet téléchargeable</w:t>
            </w:r>
          </w:p>
        </w:tc>
        <w:tc>
          <w:tcPr>
            <w:tcW w:w="3500" w:type="dxa"/>
            <w:shd w:val="clear" w:color="auto" w:fill="FFFFFF"/>
          </w:tcPr>
          <w:p>
            <w:r>
              <w:rPr>
                <w:color w:val="333333"/>
                <w:sz w:val="17"/>
                <w:szCs w:val="17"/>
              </w:rPr>
              <w:t xml:space="preserve">Lien de téléchargement PDF de la fiche technique constructeur ou interne, directement sur la fiche produit.</w:t>
            </w:r>
          </w:p>
        </w:tc>
        <w:tc>
          <w:tcPr>
            <w:tcW w:w="1800" w:type="dxa"/>
            <w:shd w:val="clear" w:color="auto" w:fill="FFFFFF"/>
          </w:tcPr>
          <w:p>
            <w:r>
              <w:rPr>
                <w:color w:val="333333"/>
                <w:sz w:val="17"/>
                <w:szCs w:val="17"/>
              </w:rPr>
              <w:t xml:space="preserve">RS, Farnell, Mabéo</w:t>
            </w:r>
          </w:p>
        </w:tc>
        <w:tc>
          <w:tcPr>
            <w:tcW w:w="2000" w:type="dxa"/>
            <w:shd w:val="clear" w:color="auto" w:fill="FFFFFF"/>
          </w:tcPr>
          <w:p>
            <w:r>
              <w:rPr>
                <w:color w:val="333333"/>
                <w:sz w:val="17"/>
                <w:szCs w:val="17"/>
              </w:rPr>
              <w:t xml:space="preserve">Élevé : indispensable pour les acheteurs techniques (vérification compatibilité)</w:t>
            </w:r>
          </w:p>
        </w:tc>
      </w:tr>
      <w:tr>
        <w:tc>
          <w:tcPr>
            <w:tcW w:w="2200" w:type="dxa"/>
            <w:shd w:val="clear" w:color="auto" w:fill="EEF4FB"/>
          </w:tcPr>
          <w:p>
            <w:r>
              <w:rPr>
                <w:color w:val="333333"/>
                <w:sz w:val="17"/>
                <w:szCs w:val="17"/>
              </w:rPr>
              <w:t xml:space="preserve">Articles similaires / alternatifs</w:t>
            </w:r>
          </w:p>
        </w:tc>
        <w:tc>
          <w:tcPr>
            <w:tcW w:w="3500" w:type="dxa"/>
            <w:shd w:val="clear" w:color="auto" w:fill="EEF4FB"/>
          </w:tcPr>
          <w:p>
            <w:r>
              <w:rPr>
                <w:color w:val="333333"/>
                <w:sz w:val="17"/>
                <w:szCs w:val="17"/>
              </w:rPr>
              <w:t xml:space="preserve">Section "Vous pourriez aussi avoir besoin de" ou "Équivalent disponible" sur la fiche produit. Géré manuellement via le champ article_similaire_ids.</w:t>
            </w:r>
          </w:p>
        </w:tc>
        <w:tc>
          <w:tcPr>
            <w:tcW w:w="1800" w:type="dxa"/>
            <w:shd w:val="clear" w:color="auto" w:fill="EEF4FB"/>
          </w:tcPr>
          <w:p>
            <w:r>
              <w:rPr>
                <w:color w:val="333333"/>
                <w:sz w:val="17"/>
                <w:szCs w:val="17"/>
              </w:rPr>
              <w:t xml:space="preserve">RS, Mouser</w:t>
            </w:r>
          </w:p>
        </w:tc>
        <w:tc>
          <w:tcPr>
            <w:tcW w:w="2000" w:type="dxa"/>
            <w:shd w:val="clear" w:color="auto" w:fill="EEF4FB"/>
          </w:tcPr>
          <w:p>
            <w:r>
              <w:rPr>
                <w:color w:val="333333"/>
                <w:sz w:val="17"/>
                <w:szCs w:val="17"/>
              </w:rPr>
              <w:t xml:space="preserve">Moyen : utile pour les pièces obsolètes sans équivalent direct visible</w:t>
            </w:r>
          </w:p>
        </w:tc>
      </w:tr>
      <w:tr>
        <w:tc>
          <w:tcPr>
            <w:tcW w:w="2200" w:type="dxa"/>
            <w:shd w:val="clear" w:color="auto" w:fill="FFFFFF"/>
          </w:tcPr>
          <w:p>
            <w:r>
              <w:rPr>
                <w:color w:val="333333"/>
                <w:sz w:val="17"/>
                <w:szCs w:val="17"/>
              </w:rPr>
              <w:t xml:space="preserve">Formulaire de devis contextuel</w:t>
            </w:r>
          </w:p>
        </w:tc>
        <w:tc>
          <w:tcPr>
            <w:tcW w:w="3500" w:type="dxa"/>
            <w:shd w:val="clear" w:color="auto" w:fill="FFFFFF"/>
          </w:tcPr>
          <w:p>
            <w:r>
              <w:rPr>
                <w:color w:val="333333"/>
                <w:sz w:val="17"/>
                <w:szCs w:val="17"/>
              </w:rPr>
              <w:t xml:space="preserve">Bouton "Demander un devis" sur chaque fiche. Formulaire pré-rempli avec la référence de l'article. Champ quantité + message libre + coordonnées.</w:t>
            </w:r>
          </w:p>
        </w:tc>
        <w:tc>
          <w:tcPr>
            <w:tcW w:w="1800" w:type="dxa"/>
            <w:shd w:val="clear" w:color="auto" w:fill="FFFFFF"/>
          </w:tcPr>
          <w:p>
            <w:r>
              <w:rPr>
                <w:color w:val="333333"/>
                <w:sz w:val="17"/>
                <w:szCs w:val="17"/>
              </w:rPr>
              <w:t xml:space="preserve">Tous</w:t>
            </w:r>
          </w:p>
        </w:tc>
        <w:tc>
          <w:tcPr>
            <w:tcW w:w="2000" w:type="dxa"/>
            <w:shd w:val="clear" w:color="auto" w:fill="FFFFFF"/>
          </w:tcPr>
          <w:p>
            <w:r>
              <w:rPr>
                <w:color w:val="333333"/>
                <w:sz w:val="17"/>
                <w:szCs w:val="17"/>
              </w:rPr>
              <w:t xml:space="preserve">Critique : point de conversion central du MVP</w:t>
            </w:r>
          </w:p>
        </w:tc>
      </w:tr>
      <w:tr>
        <w:tc>
          <w:tcPr>
            <w:tcW w:w="2200" w:type="dxa"/>
            <w:shd w:val="clear" w:color="auto" w:fill="EEF4FB"/>
          </w:tcPr>
          <w:p>
            <w:r>
              <w:rPr>
                <w:color w:val="333333"/>
                <w:sz w:val="17"/>
                <w:szCs w:val="17"/>
              </w:rPr>
              <w:t xml:space="preserve">Bouton WhatsApp intégré</w:t>
            </w:r>
          </w:p>
        </w:tc>
        <w:tc>
          <w:tcPr>
            <w:tcW w:w="3500" w:type="dxa"/>
            <w:shd w:val="clear" w:color="auto" w:fill="EEF4FB"/>
          </w:tcPr>
          <w:p>
            <w:r>
              <w:rPr>
                <w:color w:val="333333"/>
                <w:sz w:val="17"/>
                <w:szCs w:val="17"/>
              </w:rPr>
              <w:t xml:space="preserve">Lien wa.me/ avec message pré-rempli incluant la référence de l'article. Visible sur chaque fiche et sur la page d'accueil.</w:t>
            </w:r>
          </w:p>
        </w:tc>
        <w:tc>
          <w:tcPr>
            <w:tcW w:w="1800" w:type="dxa"/>
            <w:shd w:val="clear" w:color="auto" w:fill="EEF4FB"/>
          </w:tcPr>
          <w:p>
            <w:r>
              <w:rPr>
                <w:color w:val="333333"/>
                <w:sz w:val="17"/>
                <w:szCs w:val="17"/>
              </w:rPr>
              <w:t xml:space="preserve">Contexte marché marocain</w:t>
            </w:r>
          </w:p>
        </w:tc>
        <w:tc>
          <w:tcPr>
            <w:tcW w:w="2000" w:type="dxa"/>
            <w:shd w:val="clear" w:color="auto" w:fill="EEF4FB"/>
          </w:tcPr>
          <w:p>
            <w:r>
              <w:rPr>
                <w:color w:val="333333"/>
                <w:sz w:val="17"/>
                <w:szCs w:val="17"/>
              </w:rPr>
              <w:t xml:space="preserve">Élevé : canal de conversion dominant au Maroc</w:t>
            </w:r>
          </w:p>
        </w:tc>
      </w:tr>
      <w:tr>
        <w:tc>
          <w:tcPr>
            <w:tcW w:w="2200" w:type="dxa"/>
            <w:shd w:val="clear" w:color="auto" w:fill="FFFFFF"/>
          </w:tcPr>
          <w:p>
            <w:r>
              <w:rPr>
                <w:color w:val="333333"/>
                <w:sz w:val="17"/>
                <w:szCs w:val="17"/>
              </w:rPr>
              <w:t xml:space="preserve">Navigation mobile optimisée</w:t>
            </w:r>
          </w:p>
        </w:tc>
        <w:tc>
          <w:tcPr>
            <w:tcW w:w="3500" w:type="dxa"/>
            <w:shd w:val="clear" w:color="auto" w:fill="FFFFFF"/>
          </w:tcPr>
          <w:p>
            <w:r>
              <w:rPr>
                <w:color w:val="333333"/>
                <w:sz w:val="17"/>
                <w:szCs w:val="17"/>
              </w:rPr>
              <w:t xml:space="preserve">Design responsive mobile-first. Menu de navigation condensé. Boutons d'action (Devis, WhatsApp) toujours visibles sans scroll.</w:t>
            </w:r>
          </w:p>
        </w:tc>
        <w:tc>
          <w:tcPr>
            <w:tcW w:w="1800" w:type="dxa"/>
            <w:shd w:val="clear" w:color="auto" w:fill="FFFFFF"/>
          </w:tcPr>
          <w:p>
            <w:r>
              <w:rPr>
                <w:color w:val="333333"/>
                <w:sz w:val="17"/>
                <w:szCs w:val="17"/>
              </w:rPr>
              <w:t xml:space="preserve">Mabéo</w:t>
            </w:r>
          </w:p>
        </w:tc>
        <w:tc>
          <w:tcPr>
            <w:tcW w:w="2000" w:type="dxa"/>
            <w:shd w:val="clear" w:color="auto" w:fill="FFFFFF"/>
          </w:tcPr>
          <w:p>
            <w:r>
              <w:rPr>
                <w:color w:val="333333"/>
                <w:sz w:val="17"/>
                <w:szCs w:val="17"/>
              </w:rPr>
              <w:t xml:space="preserve">Critique : majorité des consultations depuis smartphone au Maroc</w:t>
            </w:r>
          </w:p>
        </w:tc>
      </w:tr>
    </w:tbl>
    <w:p>
      <w:pPr>
        <w:spacing w:before="80" w:after="80"/>
      </w:pPr>
    </w:p>
    <w:p>
      <w:pPr>
        <w:pStyle w:val="Heading2"/>
      </w:pPr>
      <w:r>
        <w:t xml:space="preserve">12.3 Fonctionnalités exclues de la Phase 1 (e-commerce Phase 2)</w:t>
      </w:r>
    </w:p>
    <w:p>
      <w:pPr>
        <w:spacing w:before="80" w:after="80"/>
      </w:pPr>
      <w:r>
        <w:rPr>
          <w:color w:val="333333"/>
        </w:rPr>
        <w:t xml:space="preserve">Ces fonctionnalités sont documentées et conçues dans le MLD pour une implémentation future, mais ne seront pas développées dans la phase 1 du projet.</w:t>
      </w:r>
    </w:p>
    <w:p>
      <w:pPr>
        <w:spacing w:before="80" w:after="80"/>
      </w:pPr>
    </w:p>
    <w:tbl>
      <w:tblPr>
        <w:tblW w:w="9200" w:type="dxa"/>
        <w:tblBorders>
          <w:top w:val="single" w:sz="4" w:space="0" w:color="CCCCCC"/>
          <w:bottom w:val="single" w:sz="4" w:space="0" w:color="CCCCCC"/>
          <w:insideH w:val="single" w:sz="4" w:space="0" w:color="CCCCCC"/>
          <w:insideV w:val="single" w:sz="4" w:space="0" w:color="CCCCCC"/>
        </w:tblBorders>
      </w:tblPr>
      <w:tblGrid>
        <w:gridCol w:w="2400"/>
        <w:gridCol w:w="3600"/>
        <w:gridCol w:w="3200"/>
      </w:tblGrid>
      <w:tr>
        <w:tc>
          <w:tcPr>
            <w:tcW w:w="2400" w:type="dxa"/>
            <w:shd w:val="clear" w:color="auto" w:fill="1F3864"/>
          </w:tcPr>
          <w:p>
            <w:r>
              <w:rPr>
                <w:b/>
                <w:color w:val="FFFFFF"/>
                <w:sz w:val="17"/>
                <w:szCs w:val="17"/>
              </w:rPr>
              <w:t xml:space="preserve">Fonctionnalité exclue</w:t>
            </w:r>
          </w:p>
        </w:tc>
        <w:tc>
          <w:tcPr>
            <w:tcW w:w="3600" w:type="dxa"/>
            <w:shd w:val="clear" w:color="auto" w:fill="1F3864"/>
          </w:tcPr>
          <w:p>
            <w:r>
              <w:rPr>
                <w:b/>
                <w:color w:val="FFFFFF"/>
                <w:sz w:val="17"/>
                <w:szCs w:val="17"/>
              </w:rPr>
              <w:t xml:space="preserve">Justification</w:t>
            </w:r>
          </w:p>
        </w:tc>
        <w:tc>
          <w:tcPr>
            <w:tcW w:w="3200" w:type="dxa"/>
            <w:shd w:val="clear" w:color="auto" w:fill="1F3864"/>
          </w:tcPr>
          <w:p>
            <w:r>
              <w:rPr>
                <w:b/>
                <w:color w:val="FFFFFF"/>
                <w:sz w:val="17"/>
                <w:szCs w:val="17"/>
              </w:rPr>
              <w:t xml:space="preserve">Condition de déclenchement Phase 2</w:t>
            </w:r>
          </w:p>
        </w:tc>
      </w:tr>
      <w:tr>
        <w:tc>
          <w:tcPr>
            <w:tcW w:w="2400" w:type="dxa"/>
            <w:shd w:val="clear" w:color="auto" w:fill="EEF4FB"/>
          </w:tcPr>
          <w:p>
            <w:r>
              <w:rPr>
                <w:color w:val="333333"/>
                <w:sz w:val="17"/>
                <w:szCs w:val="17"/>
              </w:rPr>
              <w:t xml:space="preserve">Panier d'achat &amp; commande en ligne</w:t>
            </w:r>
          </w:p>
        </w:tc>
        <w:tc>
          <w:tcPr>
            <w:tcW w:w="3600" w:type="dxa"/>
            <w:shd w:val="clear" w:color="auto" w:fill="EEF4FB"/>
          </w:tcPr>
          <w:p>
            <w:r>
              <w:rPr>
                <w:color w:val="333333"/>
                <w:sz w:val="17"/>
                <w:szCs w:val="17"/>
              </w:rPr>
              <w:t xml:space="preserve">Nécessite gestion des paiements, sécurisation transactions, logistique retours — hors périmètre Phase 1</w:t>
            </w:r>
          </w:p>
        </w:tc>
        <w:tc>
          <w:tcPr>
            <w:tcW w:w="3200" w:type="dxa"/>
            <w:shd w:val="clear" w:color="auto" w:fill="EEF4FB"/>
          </w:tcPr>
          <w:p>
            <w:r>
              <w:rPr>
                <w:color w:val="333333"/>
                <w:sz w:val="17"/>
                <w:szCs w:val="17"/>
              </w:rPr>
              <w:t xml:space="preserve">Après 6 mois de retour d'expérience sur les leads et le processus commercial</w:t>
            </w:r>
          </w:p>
        </w:tc>
      </w:tr>
      <w:tr>
        <w:tc>
          <w:tcPr>
            <w:tcW w:w="2400" w:type="dxa"/>
            <w:shd w:val="clear" w:color="auto" w:fill="FFFFFF"/>
          </w:tcPr>
          <w:p>
            <w:r>
              <w:rPr>
                <w:color w:val="333333"/>
                <w:sz w:val="17"/>
                <w:szCs w:val="17"/>
              </w:rPr>
              <w:t xml:space="preserve">Compte client avec authentification</w:t>
            </w:r>
          </w:p>
        </w:tc>
        <w:tc>
          <w:tcPr>
            <w:tcW w:w="3600" w:type="dxa"/>
            <w:shd w:val="clear" w:color="auto" w:fill="FFFFFF"/>
          </w:tcPr>
          <w:p>
            <w:r>
              <w:rPr>
                <w:color w:val="333333"/>
                <w:sz w:val="17"/>
                <w:szCs w:val="17"/>
              </w:rPr>
              <w:t xml:space="preserve">Implique gestion des mots de passe, sessions, RGPD, historique personnel — complexité disproportionnée au MVP</w:t>
            </w:r>
          </w:p>
        </w:tc>
        <w:tc>
          <w:tcPr>
            <w:tcW w:w="3200" w:type="dxa"/>
            <w:shd w:val="clear" w:color="auto" w:fill="FFFFFF"/>
          </w:tcPr>
          <w:p>
            <w:r>
              <w:rPr>
                <w:color w:val="333333"/>
                <w:sz w:val="17"/>
                <w:szCs w:val="17"/>
              </w:rPr>
              <w:t xml:space="preserve">Avec le module e-commerce Phase 2</w:t>
            </w:r>
          </w:p>
        </w:tc>
      </w:tr>
      <w:tr>
        <w:tc>
          <w:tcPr>
            <w:tcW w:w="2400" w:type="dxa"/>
            <w:shd w:val="clear" w:color="auto" w:fill="EEF4FB"/>
          </w:tcPr>
          <w:p>
            <w:r>
              <w:rPr>
                <w:color w:val="333333"/>
                <w:sz w:val="17"/>
                <w:szCs w:val="17"/>
              </w:rPr>
              <w:t xml:space="preserve">Prix affichés publiquement</w:t>
            </w:r>
          </w:p>
        </w:tc>
        <w:tc>
          <w:tcPr>
            <w:tcW w:w="3600" w:type="dxa"/>
            <w:shd w:val="clear" w:color="auto" w:fill="EEF4FB"/>
          </w:tcPr>
          <w:p>
            <w:r>
              <w:rPr>
                <w:color w:val="333333"/>
                <w:sz w:val="17"/>
                <w:szCs w:val="17"/>
              </w:rPr>
              <w:t xml:space="preserve">Politique tarifaire non arrêtée, prix personnalisés selon client et quantité — incompatible avec affichage public</w:t>
            </w:r>
          </w:p>
        </w:tc>
        <w:tc>
          <w:tcPr>
            <w:tcW w:w="3200" w:type="dxa"/>
            <w:shd w:val="clear" w:color="auto" w:fill="EEF4FB"/>
          </w:tcPr>
          <w:p>
            <w:r>
              <w:rPr>
                <w:color w:val="333333"/>
                <w:sz w:val="17"/>
                <w:szCs w:val="17"/>
              </w:rPr>
              <w:t xml:space="preserve">Sur décision commerciale du commanditaire</w:t>
            </w:r>
          </w:p>
        </w:tc>
      </w:tr>
      <w:tr>
        <w:tc>
          <w:tcPr>
            <w:tcW w:w="2400" w:type="dxa"/>
            <w:shd w:val="clear" w:color="auto" w:fill="FFFFFF"/>
          </w:tcPr>
          <w:p>
            <w:r>
              <w:rPr>
                <w:color w:val="333333"/>
                <w:sz w:val="17"/>
                <w:szCs w:val="17"/>
              </w:rPr>
              <w:t xml:space="preserve">Paiement en ligne</w:t>
            </w:r>
          </w:p>
        </w:tc>
        <w:tc>
          <w:tcPr>
            <w:tcW w:w="3600" w:type="dxa"/>
            <w:shd w:val="clear" w:color="auto" w:fill="FFFFFF"/>
          </w:tcPr>
          <w:p>
            <w:r>
              <w:rPr>
                <w:color w:val="333333"/>
                <w:sz w:val="17"/>
                <w:szCs w:val="17"/>
              </w:rPr>
              <w:t xml:space="preserve">Nécessite intégration passerelle (CMI, PayPal, Stripe) + conformité réglementaire Maroc</w:t>
            </w:r>
          </w:p>
        </w:tc>
        <w:tc>
          <w:tcPr>
            <w:tcW w:w="3200" w:type="dxa"/>
            <w:shd w:val="clear" w:color="auto" w:fill="FFFFFF"/>
          </w:tcPr>
          <w:p>
            <w:r>
              <w:rPr>
                <w:color w:val="333333"/>
                <w:sz w:val="17"/>
                <w:szCs w:val="17"/>
              </w:rPr>
              <w:t xml:space="preserve">Après consolidation processus commercial et volume suffisant</w:t>
            </w:r>
          </w:p>
        </w:tc>
      </w:tr>
      <w:tr>
        <w:tc>
          <w:tcPr>
            <w:tcW w:w="2400" w:type="dxa"/>
            <w:shd w:val="clear" w:color="auto" w:fill="EEF4FB"/>
          </w:tcPr>
          <w:p>
            <w:r>
              <w:rPr>
                <w:color w:val="333333"/>
                <w:sz w:val="17"/>
                <w:szCs w:val="17"/>
              </w:rPr>
              <w:t xml:space="preserve">Comparateur de produits</w:t>
            </w:r>
          </w:p>
        </w:tc>
        <w:tc>
          <w:tcPr>
            <w:tcW w:w="3600" w:type="dxa"/>
            <w:shd w:val="clear" w:color="auto" w:fill="EEF4FB"/>
          </w:tcPr>
          <w:p>
            <w:r>
              <w:rPr>
                <w:color w:val="333333"/>
                <w:sz w:val="17"/>
                <w:szCs w:val="17"/>
              </w:rPr>
              <w:t xml:space="preserve">Fonctionnalité utile mais non critique pour la conversion via devis</w:t>
            </w:r>
          </w:p>
        </w:tc>
        <w:tc>
          <w:tcPr>
            <w:tcW w:w="3200" w:type="dxa"/>
            <w:shd w:val="clear" w:color="auto" w:fill="EEF4FB"/>
          </w:tcPr>
          <w:p>
            <w:r>
              <w:rPr>
                <w:color w:val="333333"/>
                <w:sz w:val="17"/>
                <w:szCs w:val="17"/>
              </w:rPr>
              <w:t xml:space="preserve">Phase 2 si demande utilisateurs avérée</w:t>
            </w:r>
          </w:p>
        </w:tc>
      </w:tr>
      <w:tr>
        <w:tc>
          <w:tcPr>
            <w:tcW w:w="2400" w:type="dxa"/>
            <w:shd w:val="clear" w:color="auto" w:fill="FFFFFF"/>
          </w:tcPr>
          <w:p>
            <w:r>
              <w:rPr>
                <w:color w:val="333333"/>
                <w:sz w:val="17"/>
                <w:szCs w:val="17"/>
              </w:rPr>
              <w:t xml:space="preserve">Gestion des retours &amp; SAV en ligne</w:t>
            </w:r>
          </w:p>
        </w:tc>
        <w:tc>
          <w:tcPr>
            <w:tcW w:w="3600" w:type="dxa"/>
            <w:shd w:val="clear" w:color="auto" w:fill="FFFFFF"/>
          </w:tcPr>
          <w:p>
            <w:r>
              <w:rPr>
                <w:color w:val="333333"/>
                <w:sz w:val="17"/>
                <w:szCs w:val="17"/>
              </w:rPr>
              <w:t xml:space="preserve">Processus métier à définir avant de l'automatiser</w:t>
            </w:r>
          </w:p>
        </w:tc>
        <w:tc>
          <w:tcPr>
            <w:tcW w:w="3200" w:type="dxa"/>
            <w:shd w:val="clear" w:color="auto" w:fill="FFFFFF"/>
          </w:tcPr>
          <w:p>
            <w:r>
              <w:rPr>
                <w:color w:val="333333"/>
                <w:sz w:val="17"/>
                <w:szCs w:val="17"/>
              </w:rPr>
              <w:t xml:space="preserve">Phase 2 après définition du process retour</w:t>
            </w:r>
          </w:p>
        </w:tc>
      </w:tr>
    </w:tbl>
    <w:p>
      <w:pPr>
        <w:spacing w:before="80" w:after="80"/>
      </w:pPr>
    </w:p>
    <w:p>
      <w:pPr>
        <w:pStyle w:val="Heading2"/>
      </w:pPr>
      <w:r>
        <w:t xml:space="preserve">12.4 Impact sur le Modèle Logique de Données</w:t>
      </w:r>
    </w:p>
    <w:p>
      <w:pPr>
        <w:spacing w:before="80" w:after="80"/>
      </w:pPr>
      <w:r>
        <w:rPr>
          <w:color w:val="333333"/>
        </w:rPr>
        <w:t xml:space="preserve">Le benchmark a conduit à trois évolutions du MLD, détaillées dans le document MCD + MLD v2 :</w:t>
      </w:r>
    </w:p>
    <w:p>
      <w:pPr>
        <w:spacing w:before="80" w:after="80"/>
      </w:pPr>
    </w:p>
    <w:tbl>
      <w:tblPr>
        <w:tblW w:w="11200" w:type="dxa"/>
        <w:tblBorders>
          <w:top w:val="single" w:sz="4" w:space="0" w:color="CCCCCC"/>
          <w:bottom w:val="single" w:sz="4" w:space="0" w:color="CCCCCC"/>
          <w:insideH w:val="single" w:sz="4" w:space="0" w:color="CCCCCC"/>
          <w:insideV w:val="single" w:sz="4" w:space="0" w:color="CCCCCC"/>
        </w:tblBorders>
      </w:tblPr>
      <w:tblGrid>
        <w:gridCol w:w="2800"/>
        <w:gridCol w:w="2400"/>
        <w:gridCol w:w="3000"/>
        <w:gridCol w:w="3000"/>
      </w:tblGrid>
      <w:tr>
        <w:tc>
          <w:tcPr>
            <w:tcW w:w="2800" w:type="dxa"/>
            <w:shd w:val="clear" w:color="auto" w:fill="1F3864"/>
          </w:tcPr>
          <w:p>
            <w:r>
              <w:rPr>
                <w:b/>
                <w:color w:val="FFFFFF"/>
                <w:sz w:val="17"/>
                <w:szCs w:val="17"/>
              </w:rPr>
              <w:t xml:space="preserve">Évolution</w:t>
            </w:r>
          </w:p>
        </w:tc>
        <w:tc>
          <w:tcPr>
            <w:tcW w:w="2400" w:type="dxa"/>
            <w:shd w:val="clear" w:color="auto" w:fill="1F3864"/>
          </w:tcPr>
          <w:p>
            <w:r>
              <w:rPr>
                <w:b/>
                <w:color w:val="FFFFFF"/>
                <w:sz w:val="17"/>
                <w:szCs w:val="17"/>
              </w:rPr>
              <w:t xml:space="preserve">Table(s) concernée(s)</w:t>
            </w:r>
          </w:p>
        </w:tc>
        <w:tc>
          <w:tcPr>
            <w:tcW w:w="3000" w:type="dxa"/>
            <w:shd w:val="clear" w:color="auto" w:fill="1F3864"/>
          </w:tcPr>
          <w:p>
            <w:r>
              <w:rPr>
                <w:b/>
                <w:color w:val="FFFFFF"/>
                <w:sz w:val="17"/>
                <w:szCs w:val="17"/>
              </w:rPr>
              <w:t xml:space="preserve">Champs ajoutés</w:t>
            </w:r>
          </w:p>
        </w:tc>
        <w:tc>
          <w:tcPr>
            <w:tcW w:w="3000" w:type="dxa"/>
            <w:shd w:val="clear" w:color="auto" w:fill="1F3864"/>
          </w:tcPr>
          <w:p>
            <w:r>
              <w:rPr>
                <w:b/>
                <w:color w:val="FFFFFF"/>
                <w:sz w:val="17"/>
                <w:szCs w:val="17"/>
              </w:rPr>
              <w:t xml:space="preserve">Règle de gestion associée</w:t>
            </w:r>
          </w:p>
        </w:tc>
      </w:tr>
      <w:tr>
        <w:tc>
          <w:tcPr>
            <w:tcW w:w="2800" w:type="dxa"/>
            <w:shd w:val="clear" w:color="auto" w:fill="EEF4FB"/>
          </w:tcPr>
          <w:p>
            <w:r>
              <w:rPr>
                <w:color w:val="333333"/>
                <w:sz w:val="17"/>
                <w:szCs w:val="17"/>
              </w:rPr>
              <w:t xml:space="preserve">Enrichissement fiche produit vitrine</w:t>
            </w:r>
          </w:p>
        </w:tc>
        <w:tc>
          <w:tcPr>
            <w:tcW w:w="2400" w:type="dxa"/>
            <w:shd w:val="clear" w:color="auto" w:fill="EEF4FB"/>
          </w:tcPr>
          <w:p>
            <w:r>
              <w:rPr>
                <w:color w:val="333333"/>
                <w:sz w:val="17"/>
                <w:szCs w:val="17"/>
              </w:rPr>
              <w:t xml:space="preserve">ARTICLE</w:t>
            </w:r>
          </w:p>
        </w:tc>
        <w:tc>
          <w:tcPr>
            <w:tcW w:w="3000" w:type="dxa"/>
            <w:shd w:val="clear" w:color="auto" w:fill="EEF4FB"/>
          </w:tcPr>
          <w:p>
            <w:r>
              <w:rPr>
                <w:color w:val="333333"/>
                <w:sz w:val="17"/>
                <w:szCs w:val="17"/>
              </w:rPr>
              <w:t xml:space="preserve">datasheet_url, disponibilite_site, visible_site, article_similaire_ids</w:t>
            </w:r>
          </w:p>
        </w:tc>
        <w:tc>
          <w:tcPr>
            <w:tcW w:w="3000" w:type="dxa"/>
            <w:shd w:val="clear" w:color="auto" w:fill="EEF4FB"/>
          </w:tcPr>
          <w:p>
            <w:r>
              <w:rPr>
                <w:color w:val="333333"/>
                <w:sz w:val="17"/>
                <w:szCs w:val="17"/>
              </w:rPr>
              <w:t xml:space="preserve">RG-13 : publication contrôlée | RG-15 : disponibilité manuelle</w:t>
            </w:r>
          </w:p>
        </w:tc>
      </w:tr>
      <w:tr>
        <w:tc>
          <w:tcPr>
            <w:tcW w:w="2800" w:type="dxa"/>
            <w:shd w:val="clear" w:color="auto" w:fill="FFFFFF"/>
          </w:tcPr>
          <w:p>
            <w:r>
              <w:rPr>
                <w:color w:val="333333"/>
                <w:sz w:val="17"/>
                <w:szCs w:val="17"/>
              </w:rPr>
              <w:t xml:space="preserve">Galerie photos multiples</w:t>
            </w:r>
          </w:p>
        </w:tc>
        <w:tc>
          <w:tcPr>
            <w:tcW w:w="2400" w:type="dxa"/>
            <w:shd w:val="clear" w:color="auto" w:fill="FFFFFF"/>
          </w:tcPr>
          <w:p>
            <w:r>
              <w:rPr>
                <w:color w:val="333333"/>
                <w:sz w:val="17"/>
                <w:szCs w:val="17"/>
              </w:rPr>
              <w:t xml:space="preserve">ARTICLE_MEDIA (nouvelle)</w:t>
            </w:r>
          </w:p>
        </w:tc>
        <w:tc>
          <w:tcPr>
            <w:tcW w:w="3000" w:type="dxa"/>
            <w:shd w:val="clear" w:color="auto" w:fill="FFFFFF"/>
          </w:tcPr>
          <w:p>
            <w:r>
              <w:rPr>
                <w:color w:val="333333"/>
                <w:sz w:val="17"/>
                <w:szCs w:val="17"/>
              </w:rPr>
              <w:t xml:space="preserve">id_media, id_article, url_fichier, type_media, legende, est_principale, ordre</w:t>
            </w:r>
          </w:p>
        </w:tc>
        <w:tc>
          <w:tcPr>
            <w:tcW w:w="3000" w:type="dxa"/>
            <w:shd w:val="clear" w:color="auto" w:fill="FFFFFF"/>
          </w:tcPr>
          <w:p>
            <w:r>
              <w:rPr>
                <w:color w:val="333333"/>
                <w:sz w:val="17"/>
                <w:szCs w:val="17"/>
              </w:rPr>
              <w:t xml:space="preserve">RG-14 : max 10 médias, 1 photo principale unique</w:t>
            </w:r>
          </w:p>
        </w:tc>
      </w:tr>
      <w:tr>
        <w:tc>
          <w:tcPr>
            <w:tcW w:w="2800" w:type="dxa"/>
            <w:shd w:val="clear" w:color="auto" w:fill="EEF4FB"/>
          </w:tcPr>
          <w:p>
            <w:r>
              <w:rPr>
                <w:color w:val="333333"/>
                <w:sz w:val="17"/>
                <w:szCs w:val="17"/>
              </w:rPr>
              <w:t xml:space="preserve">Traçabilité acquisition marketing</w:t>
            </w:r>
          </w:p>
        </w:tc>
        <w:tc>
          <w:tcPr>
            <w:tcW w:w="2400" w:type="dxa"/>
            <w:shd w:val="clear" w:color="auto" w:fill="EEF4FB"/>
          </w:tcPr>
          <w:p>
            <w:r>
              <w:rPr>
                <w:color w:val="333333"/>
                <w:sz w:val="17"/>
                <w:szCs w:val="17"/>
              </w:rPr>
              <w:t xml:space="preserve">LEAD</w:t>
            </w:r>
          </w:p>
        </w:tc>
        <w:tc>
          <w:tcPr>
            <w:tcW w:w="3000" w:type="dxa"/>
            <w:shd w:val="clear" w:color="auto" w:fill="EEF4FB"/>
          </w:tcPr>
          <w:p>
            <w:r>
              <w:rPr>
                <w:color w:val="333333"/>
                <w:sz w:val="17"/>
                <w:szCs w:val="17"/>
              </w:rPr>
              <w:t xml:space="preserve">source_acquisition</w:t>
            </w:r>
          </w:p>
        </w:tc>
        <w:tc>
          <w:tcPr>
            <w:tcW w:w="3000" w:type="dxa"/>
            <w:shd w:val="clear" w:color="auto" w:fill="EEF4FB"/>
          </w:tcPr>
          <w:p>
            <w:r>
              <w:rPr>
                <w:color w:val="333333"/>
                <w:sz w:val="17"/>
                <w:szCs w:val="17"/>
              </w:rPr>
              <w:t xml:space="preserve">RG-16 : capture automatique UTM ou saisie manuelle DIRECT</w:t>
            </w:r>
          </w:p>
        </w:tc>
      </w:tr>
    </w:tbl>
    <w:p>
      <w:pPr>
        <w:spacing w:before="80" w:after="80"/>
      </w:pPr>
    </w:p>
    <w:p>
      <w:pPr>
        <w:pStyle w:val="Heading2"/>
      </w:pPr>
      <w:r>
        <w:t xml:space="preserve">12.5 Exigences non-fonctionnelles du site vitrine (benchmark)</w:t>
      </w:r>
    </w:p>
    <w:tbl>
      <w:tblPr>
        <w:tblW w:w="9500" w:type="dxa"/>
        <w:tblBorders>
          <w:top w:val="single" w:sz="4" w:space="0" w:color="CCCCCC"/>
          <w:bottom w:val="single" w:sz="4" w:space="0" w:color="CCCCCC"/>
          <w:insideH w:val="single" w:sz="4" w:space="0" w:color="CCCCCC"/>
          <w:insideV w:val="single" w:sz="4" w:space="0" w:color="CCCCCC"/>
        </w:tblBorders>
      </w:tblPr>
      <w:tblGrid>
        <w:gridCol w:w="2500"/>
        <w:gridCol w:w="2000"/>
        <w:gridCol w:w="2000"/>
        <w:gridCol w:w="3000"/>
      </w:tblGrid>
      <w:tr>
        <w:tc>
          <w:tcPr>
            <w:tcW w:w="2500" w:type="dxa"/>
            <w:shd w:val="clear" w:color="auto" w:fill="1F3864"/>
          </w:tcPr>
          <w:p>
            <w:r>
              <w:rPr>
                <w:b/>
                <w:color w:val="FFFFFF"/>
                <w:sz w:val="17"/>
                <w:szCs w:val="17"/>
              </w:rPr>
              <w:t xml:space="preserve">Exigence</w:t>
            </w:r>
          </w:p>
        </w:tc>
        <w:tc>
          <w:tcPr>
            <w:tcW w:w="2000" w:type="dxa"/>
            <w:shd w:val="clear" w:color="auto" w:fill="1F3864"/>
          </w:tcPr>
          <w:p>
            <w:r>
              <w:rPr>
                <w:b/>
                <w:color w:val="FFFFFF"/>
                <w:sz w:val="17"/>
                <w:szCs w:val="17"/>
              </w:rPr>
              <w:t xml:space="preserve">Cible</w:t>
            </w:r>
          </w:p>
        </w:tc>
        <w:tc>
          <w:tcPr>
            <w:tcW w:w="2000" w:type="dxa"/>
            <w:shd w:val="clear" w:color="auto" w:fill="1F3864"/>
          </w:tcPr>
          <w:p>
            <w:r>
              <w:rPr>
                <w:b/>
                <w:color w:val="FFFFFF"/>
                <w:sz w:val="17"/>
                <w:szCs w:val="17"/>
              </w:rPr>
              <w:t xml:space="preserve">Source</w:t>
            </w:r>
          </w:p>
        </w:tc>
        <w:tc>
          <w:tcPr>
            <w:tcW w:w="3000" w:type="dxa"/>
            <w:shd w:val="clear" w:color="auto" w:fill="1F3864"/>
          </w:tcPr>
          <w:p>
            <w:r>
              <w:rPr>
                <w:b/>
                <w:color w:val="FFFFFF"/>
                <w:sz w:val="17"/>
                <w:szCs w:val="17"/>
              </w:rPr>
              <w:t xml:space="preserve">Méthode de vérification</w:t>
            </w:r>
          </w:p>
        </w:tc>
      </w:tr>
      <w:tr>
        <w:tc>
          <w:tcPr>
            <w:tcW w:w="2500" w:type="dxa"/>
            <w:shd w:val="clear" w:color="auto" w:fill="EEF4FB"/>
          </w:tcPr>
          <w:p>
            <w:r>
              <w:rPr>
                <w:color w:val="333333"/>
                <w:sz w:val="17"/>
                <w:szCs w:val="17"/>
              </w:rPr>
              <w:t xml:space="preserve">Temps de chargement fiche produit</w:t>
            </w:r>
          </w:p>
        </w:tc>
        <w:tc>
          <w:tcPr>
            <w:tcW w:w="2000" w:type="dxa"/>
            <w:shd w:val="clear" w:color="auto" w:fill="EEF4FB"/>
          </w:tcPr>
          <w:p>
            <w:r>
              <w:rPr>
                <w:color w:val="333333"/>
                <w:sz w:val="17"/>
                <w:szCs w:val="17"/>
              </w:rPr>
              <w:t xml:space="preserve">&lt; 2 secondes sur connexion 4G</w:t>
            </w:r>
          </w:p>
        </w:tc>
        <w:tc>
          <w:tcPr>
            <w:tcW w:w="2000" w:type="dxa"/>
            <w:shd w:val="clear" w:color="auto" w:fill="EEF4FB"/>
          </w:tcPr>
          <w:p>
            <w:r>
              <w:rPr>
                <w:color w:val="333333"/>
                <w:sz w:val="17"/>
                <w:szCs w:val="17"/>
              </w:rPr>
              <w:t xml:space="preserve">RS Components UX study</w:t>
            </w:r>
          </w:p>
        </w:tc>
        <w:tc>
          <w:tcPr>
            <w:tcW w:w="3000" w:type="dxa"/>
            <w:shd w:val="clear" w:color="auto" w:fill="EEF4FB"/>
          </w:tcPr>
          <w:p>
            <w:r>
              <w:rPr>
                <w:color w:val="333333"/>
                <w:sz w:val="17"/>
                <w:szCs w:val="17"/>
              </w:rPr>
              <w:t xml:space="preserve">Google PageSpeed Insights score &gt; 85</w:t>
            </w:r>
          </w:p>
        </w:tc>
      </w:tr>
      <w:tr>
        <w:tc>
          <w:tcPr>
            <w:tcW w:w="2500" w:type="dxa"/>
            <w:shd w:val="clear" w:color="auto" w:fill="FFFFFF"/>
          </w:tcPr>
          <w:p>
            <w:r>
              <w:rPr>
                <w:color w:val="333333"/>
                <w:sz w:val="17"/>
                <w:szCs w:val="17"/>
              </w:rPr>
              <w:t xml:space="preserve">Rendu mobile</w:t>
            </w:r>
          </w:p>
        </w:tc>
        <w:tc>
          <w:tcPr>
            <w:tcW w:w="2000" w:type="dxa"/>
            <w:shd w:val="clear" w:color="auto" w:fill="FFFFFF"/>
          </w:tcPr>
          <w:p>
            <w:r>
              <w:rPr>
                <w:color w:val="333333"/>
                <w:sz w:val="17"/>
                <w:szCs w:val="17"/>
              </w:rPr>
              <w:t xml:space="preserve">Affichage correct sur écran 375px (iPhone SE)</w:t>
            </w:r>
          </w:p>
        </w:tc>
        <w:tc>
          <w:tcPr>
            <w:tcW w:w="2000" w:type="dxa"/>
            <w:shd w:val="clear" w:color="auto" w:fill="FFFFFF"/>
          </w:tcPr>
          <w:p>
            <w:r>
              <w:rPr>
                <w:color w:val="333333"/>
                <w:sz w:val="17"/>
                <w:szCs w:val="17"/>
              </w:rPr>
              <w:t xml:space="preserve">Mabéo, contexte marocain</w:t>
            </w:r>
          </w:p>
        </w:tc>
        <w:tc>
          <w:tcPr>
            <w:tcW w:w="3000" w:type="dxa"/>
            <w:shd w:val="clear" w:color="auto" w:fill="FFFFFF"/>
          </w:tcPr>
          <w:p>
            <w:r>
              <w:rPr>
                <w:color w:val="333333"/>
                <w:sz w:val="17"/>
                <w:szCs w:val="17"/>
              </w:rPr>
              <w:t xml:space="preserve">Test Chrome DevTools mode mobile</w:t>
            </w:r>
          </w:p>
        </w:tc>
      </w:tr>
      <w:tr>
        <w:tc>
          <w:tcPr>
            <w:tcW w:w="2500" w:type="dxa"/>
            <w:shd w:val="clear" w:color="auto" w:fill="EEF4FB"/>
          </w:tcPr>
          <w:p>
            <w:r>
              <w:rPr>
                <w:color w:val="333333"/>
                <w:sz w:val="17"/>
                <w:szCs w:val="17"/>
              </w:rPr>
              <w:t xml:space="preserve">Indexation SEO</w:t>
            </w:r>
          </w:p>
        </w:tc>
        <w:tc>
          <w:tcPr>
            <w:tcW w:w="2000" w:type="dxa"/>
            <w:shd w:val="clear" w:color="auto" w:fill="EEF4FB"/>
          </w:tcPr>
          <w:p>
            <w:r>
              <w:rPr>
                <w:color w:val="333333"/>
                <w:sz w:val="17"/>
                <w:szCs w:val="17"/>
              </w:rPr>
              <w:t xml:space="preserve">Pages catalogue indexables par Google (SSR)</w:t>
            </w:r>
          </w:p>
        </w:tc>
        <w:tc>
          <w:tcPr>
            <w:tcW w:w="2000" w:type="dxa"/>
            <w:shd w:val="clear" w:color="auto" w:fill="EEF4FB"/>
          </w:tcPr>
          <w:p>
            <w:r>
              <w:rPr>
                <w:color w:val="333333"/>
                <w:sz w:val="17"/>
                <w:szCs w:val="17"/>
              </w:rPr>
              <w:t xml:space="preserve">RS, Automation24</w:t>
            </w:r>
          </w:p>
        </w:tc>
        <w:tc>
          <w:tcPr>
            <w:tcW w:w="3000" w:type="dxa"/>
            <w:shd w:val="clear" w:color="auto" w:fill="EEF4FB"/>
          </w:tcPr>
          <w:p>
            <w:r>
              <w:rPr>
                <w:color w:val="333333"/>
                <w:sz w:val="17"/>
                <w:szCs w:val="17"/>
              </w:rPr>
              <w:t xml:space="preserve">Vérification via Google Search Console</w:t>
            </w:r>
          </w:p>
        </w:tc>
      </w:tr>
      <w:tr>
        <w:tc>
          <w:tcPr>
            <w:tcW w:w="2500" w:type="dxa"/>
            <w:shd w:val="clear" w:color="auto" w:fill="FFFFFF"/>
          </w:tcPr>
          <w:p>
            <w:r>
              <w:rPr>
                <w:color w:val="333333"/>
                <w:sz w:val="17"/>
                <w:szCs w:val="17"/>
              </w:rPr>
              <w:t xml:space="preserve">Recherche par référence</w:t>
            </w:r>
          </w:p>
        </w:tc>
        <w:tc>
          <w:tcPr>
            <w:tcW w:w="2000" w:type="dxa"/>
            <w:shd w:val="clear" w:color="auto" w:fill="FFFFFF"/>
          </w:tcPr>
          <w:p>
            <w:r>
              <w:rPr>
                <w:color w:val="333333"/>
                <w:sz w:val="17"/>
                <w:szCs w:val="17"/>
              </w:rPr>
              <w:t xml:space="preserve">Résultat en &lt; 500ms pour une référence exacte</w:t>
            </w:r>
          </w:p>
        </w:tc>
        <w:tc>
          <w:tcPr>
            <w:tcW w:w="2000" w:type="dxa"/>
            <w:shd w:val="clear" w:color="auto" w:fill="FFFFFF"/>
          </w:tcPr>
          <w:p>
            <w:r>
              <w:rPr>
                <w:color w:val="333333"/>
                <w:sz w:val="17"/>
                <w:szCs w:val="17"/>
              </w:rPr>
              <w:t xml:space="preserve">Mouser</w:t>
            </w:r>
          </w:p>
        </w:tc>
        <w:tc>
          <w:tcPr>
            <w:tcW w:w="3000" w:type="dxa"/>
            <w:shd w:val="clear" w:color="auto" w:fill="FFFFFF"/>
          </w:tcPr>
          <w:p>
            <w:r>
              <w:rPr>
                <w:color w:val="333333"/>
                <w:sz w:val="17"/>
                <w:szCs w:val="17"/>
              </w:rPr>
              <w:t xml:space="preserve">Test de performance API /articles?ref=XXX</w:t>
            </w:r>
          </w:p>
        </w:tc>
      </w:tr>
      <w:tr>
        <w:tc>
          <w:tcPr>
            <w:tcW w:w="2500" w:type="dxa"/>
            <w:shd w:val="clear" w:color="auto" w:fill="EEF4FB"/>
          </w:tcPr>
          <w:p>
            <w:r>
              <w:rPr>
                <w:color w:val="333333"/>
                <w:sz w:val="17"/>
                <w:szCs w:val="17"/>
              </w:rPr>
              <w:t xml:space="preserve">Accessibilité images</w:t>
            </w:r>
          </w:p>
        </w:tc>
        <w:tc>
          <w:tcPr>
            <w:tcW w:w="2000" w:type="dxa"/>
            <w:shd w:val="clear" w:color="auto" w:fill="EEF4FB"/>
          </w:tcPr>
          <w:p>
            <w:r>
              <w:rPr>
                <w:color w:val="333333"/>
                <w:sz w:val="17"/>
                <w:szCs w:val="17"/>
              </w:rPr>
              <w:t xml:space="preserve">Attribut alt renseigné sur chaque photo</w:t>
            </w:r>
          </w:p>
        </w:tc>
        <w:tc>
          <w:tcPr>
            <w:tcW w:w="2000" w:type="dxa"/>
            <w:shd w:val="clear" w:color="auto" w:fill="EEF4FB"/>
          </w:tcPr>
          <w:p>
            <w:r>
              <w:rPr>
                <w:color w:val="333333"/>
                <w:sz w:val="17"/>
                <w:szCs w:val="17"/>
              </w:rPr>
              <w:t xml:space="preserve">Bonnes pratiques SEO</w:t>
            </w:r>
          </w:p>
        </w:tc>
        <w:tc>
          <w:tcPr>
            <w:tcW w:w="3000" w:type="dxa"/>
            <w:shd w:val="clear" w:color="auto" w:fill="EEF4FB"/>
          </w:tcPr>
          <w:p>
            <w:r>
              <w:rPr>
                <w:color w:val="333333"/>
                <w:sz w:val="17"/>
                <w:szCs w:val="17"/>
              </w:rPr>
              <w:t xml:space="preserve">Audit Lighthouse accessibilité</w:t>
            </w:r>
          </w:p>
        </w:tc>
      </w:tr>
      <w:tr>
        <w:tc>
          <w:tcPr>
            <w:tcW w:w="2500" w:type="dxa"/>
            <w:shd w:val="clear" w:color="auto" w:fill="FFFFFF"/>
          </w:tcPr>
          <w:p>
            <w:r>
              <w:rPr>
                <w:color w:val="333333"/>
                <w:sz w:val="17"/>
                <w:szCs w:val="17"/>
              </w:rPr>
              <w:t xml:space="preserve">Sécurité formulaire devis</w:t>
            </w:r>
          </w:p>
        </w:tc>
        <w:tc>
          <w:tcPr>
            <w:tcW w:w="2000" w:type="dxa"/>
            <w:shd w:val="clear" w:color="auto" w:fill="FFFFFF"/>
          </w:tcPr>
          <w:p>
            <w:r>
              <w:rPr>
                <w:color w:val="333333"/>
                <w:sz w:val="17"/>
                <w:szCs w:val="17"/>
              </w:rPr>
              <w:t xml:space="preserve">Protection anti-spam (honeypot ou reCAPTCHA)</w:t>
            </w:r>
          </w:p>
        </w:tc>
        <w:tc>
          <w:tcPr>
            <w:tcW w:w="2000" w:type="dxa"/>
            <w:shd w:val="clear" w:color="auto" w:fill="FFFFFF"/>
          </w:tcPr>
          <w:p>
            <w:r>
              <w:rPr>
                <w:color w:val="333333"/>
                <w:sz w:val="17"/>
                <w:szCs w:val="17"/>
              </w:rPr>
              <w:t xml:space="preserve">Bonnes pratiques B2B</w:t>
            </w:r>
          </w:p>
        </w:tc>
        <w:tc>
          <w:tcPr>
            <w:tcW w:w="3000" w:type="dxa"/>
            <w:shd w:val="clear" w:color="auto" w:fill="FFFFFF"/>
          </w:tcPr>
          <w:p>
            <w:r>
              <w:rPr>
                <w:color w:val="333333"/>
                <w:sz w:val="17"/>
                <w:szCs w:val="17"/>
              </w:rPr>
              <w:t xml:space="preserve">Test de soumission automatisée bloquée</w:t>
            </w:r>
          </w:p>
        </w:tc>
      </w:tr>
    </w:tbl>
    <w:p>
      <w:r>
        <w:br w:type="page"/>
      </w:r>
    </w:p>
    <w:p>
      <w:pPr>
        <w:pStyle w:val="Heading1"/>
      </w:pPr>
      <w:r>
        <w:t xml:space="preserve">13. Module MEAR — Moteur d'Enrichissement Automatique des Références</w:t>
      </w:r>
    </w:p>
    <w:p>
      <w:pPr>
        <w:spacing w:before="80" w:after="80"/>
      </w:pPr>
      <w:r>
        <w:rPr>
          <w:color w:val="333333"/>
          <w:sz w:val="19"/>
          <w:szCs w:val="19"/>
        </w:rPr>
        <w:t xml:space="preserve">Ce chapitre définit le Module d'Enrichissement Automatique des Références (MEAR), fonctionnalité différenciante du logiciel. Son objectif : à partir d'une référence fabricant capturée ou saisie, rechercher automatiquement les informations techniques sur toutes les sources disponibles (APIs, web ouvert, base interne), vérifier la conformité des informations entre sources, et pré-remplir le formulaire d'entrée en stock avec un score de confiance par champ. La validation finale reste humaine.</w:t>
      </w:r>
    </w:p>
    <w:p>
      <w:pPr>
        <w:spacing w:before="80" w:after="80"/>
      </w:pPr>
    </w:p>
    <w:p>
      <w:pPr>
        <w:pStyle w:val="Heading2"/>
      </w:pPr>
      <w:r>
        <w:t xml:space="preserve">13.1 Contexte &amp; valeur métier</w:t>
      </w:r>
    </w:p>
    <w:p>
      <w:pPr>
        <w:spacing w:before="80" w:after="80"/>
      </w:pPr>
      <w:r>
        <w:rPr>
          <w:color w:val="333333"/>
          <w:sz w:val="19"/>
          <w:szCs w:val="19"/>
        </w:rPr>
        <w:t xml:space="preserve">Un technicien de maintenance qui réceptionne une pièce industrielle doit aujourd'hui recopier manuellement les informations de la plaque signalétique, puis rechercher les caractéristiques techniques sur internet pour compléter la fiche. Ce processus est long (10 à 20 minutes par article), source d'erreurs de saisie, et particulièrement fastidieux pour les pièces obsolètes dont la documentation est dispersée sur le web. Le MEAR automatise ce processus en entier.</w:t>
      </w:r>
    </w:p>
    <w:p>
      <w:pPr>
        <w:spacing w:before="80" w:after="80"/>
      </w:pPr>
    </w:p>
    <w:tbl>
      <w:tblPr>
        <w:tblW w:w="9200" w:type="dxa"/>
        <w:tblBorders>
          <w:top w:val="single" w:sz="4" w:space="0" w:color="CCCCCC"/>
          <w:bottom w:val="single" w:sz="4" w:space="0" w:color="CCCCCC"/>
          <w:insideH w:val="single" w:sz="4" w:space="0" w:color="CCCCCC"/>
          <w:insideV w:val="single" w:sz="4" w:space="0" w:color="CCCCCC"/>
        </w:tblBorders>
      </w:tblPr>
      <w:tblGrid>
        <w:gridCol w:w="4600"/>
        <w:gridCol w:w="4600"/>
      </w:tblGrid>
      <w:tr>
        <w:tc>
          <w:tcPr>
            <w:tcW w:w="4600" w:type="dxa"/>
            <w:shd w:val="clear" w:color="auto" w:fill="C55A11"/>
          </w:tcPr>
          <w:p>
            <w:r>
              <w:rPr>
                <w:b/>
                <w:color w:val="FFFFFF"/>
                <w:sz w:val="17"/>
                <w:szCs w:val="17"/>
              </w:rPr>
              <w:t xml:space="preserve">Sans MEAR</w:t>
            </w:r>
          </w:p>
        </w:tc>
        <w:tc>
          <w:tcPr>
            <w:tcW w:w="4600" w:type="dxa"/>
            <w:shd w:val="clear" w:color="auto" w:fill="C55A11"/>
          </w:tcPr>
          <w:p>
            <w:r>
              <w:rPr>
                <w:b/>
                <w:color w:val="FFFFFF"/>
                <w:sz w:val="17"/>
                <w:szCs w:val="17"/>
              </w:rPr>
              <w:t xml:space="preserve">Avec MEAR</w:t>
            </w:r>
          </w:p>
        </w:tc>
      </w:tr>
      <w:tr>
        <w:tc>
          <w:tcPr>
            <w:tcW w:w="4600" w:type="dxa"/>
            <w:shd w:val="clear" w:color="auto" w:fill="FCE4D6"/>
          </w:tcPr>
          <w:p>
            <w:r>
              <w:rPr>
                <w:color w:val="333333"/>
                <w:sz w:val="17"/>
                <w:szCs w:val="17"/>
              </w:rPr>
              <w:t xml:space="preserve">Saisie manuelle référence + caractéristiques</w:t>
            </w:r>
          </w:p>
        </w:tc>
        <w:tc>
          <w:tcPr>
            <w:tcW w:w="4600" w:type="dxa"/>
            <w:shd w:val="clear" w:color="auto" w:fill="FCE4D6"/>
          </w:tcPr>
          <w:p>
            <w:r>
              <w:rPr>
                <w:color w:val="333333"/>
                <w:sz w:val="17"/>
                <w:szCs w:val="17"/>
              </w:rPr>
              <w:t xml:space="preserve">Scan ou photo de la plaque → extraction automatique</w:t>
            </w:r>
          </w:p>
        </w:tc>
      </w:tr>
      <w:tr>
        <w:tc>
          <w:tcPr>
            <w:tcW w:w="4600" w:type="dxa"/>
            <w:shd w:val="clear" w:color="auto" w:fill="FFFFFF"/>
          </w:tcPr>
          <w:p>
            <w:r>
              <w:rPr>
                <w:color w:val="333333"/>
                <w:sz w:val="17"/>
                <w:szCs w:val="17"/>
              </w:rPr>
              <w:t xml:space="preserve">Recherche web manuelle sur plusieurs sites</w:t>
            </w:r>
          </w:p>
        </w:tc>
        <w:tc>
          <w:tcPr>
            <w:tcW w:w="4600" w:type="dxa"/>
            <w:shd w:val="clear" w:color="auto" w:fill="FFFFFF"/>
          </w:tcPr>
          <w:p>
            <w:r>
              <w:rPr>
                <w:color w:val="333333"/>
                <w:sz w:val="17"/>
                <w:szCs w:val="17"/>
              </w:rPr>
              <w:t xml:space="preserve">Interrogation automatique de toutes les sources en parallèle</w:t>
            </w:r>
          </w:p>
        </w:tc>
      </w:tr>
      <w:tr>
        <w:tc>
          <w:tcPr>
            <w:tcW w:w="4600" w:type="dxa"/>
            <w:shd w:val="clear" w:color="auto" w:fill="FCE4D6"/>
          </w:tcPr>
          <w:p>
            <w:r>
              <w:rPr>
                <w:color w:val="333333"/>
                <w:sz w:val="17"/>
                <w:szCs w:val="17"/>
              </w:rPr>
              <w:t xml:space="preserve">Recopie des données sans vérification</w:t>
            </w:r>
          </w:p>
        </w:tc>
        <w:tc>
          <w:tcPr>
            <w:tcW w:w="4600" w:type="dxa"/>
            <w:shd w:val="clear" w:color="auto" w:fill="FCE4D6"/>
          </w:tcPr>
          <w:p>
            <w:r>
              <w:rPr>
                <w:color w:val="333333"/>
                <w:sz w:val="17"/>
                <w:szCs w:val="17"/>
              </w:rPr>
              <w:t xml:space="preserve">Score de confiance par champ + détection des contradictions</w:t>
            </w:r>
          </w:p>
        </w:tc>
      </w:tr>
      <w:tr>
        <w:tc>
          <w:tcPr>
            <w:tcW w:w="4600" w:type="dxa"/>
            <w:shd w:val="clear" w:color="auto" w:fill="FFFFFF"/>
          </w:tcPr>
          <w:p>
            <w:r>
              <w:rPr>
                <w:color w:val="333333"/>
                <w:sz w:val="17"/>
                <w:szCs w:val="17"/>
              </w:rPr>
              <w:t xml:space="preserve">10 à 20 min par article de saisie complète</w:t>
            </w:r>
          </w:p>
        </w:tc>
        <w:tc>
          <w:tcPr>
            <w:tcW w:w="4600" w:type="dxa"/>
            <w:shd w:val="clear" w:color="auto" w:fill="FFFFFF"/>
          </w:tcPr>
          <w:p>
            <w:r>
              <w:rPr>
                <w:color w:val="333333"/>
                <w:sz w:val="17"/>
                <w:szCs w:val="17"/>
              </w:rPr>
              <w:t xml:space="preserve">1 à 2 min de validation d'une fiche pré-remplie</w:t>
            </w:r>
          </w:p>
        </w:tc>
      </w:tr>
      <w:tr>
        <w:tc>
          <w:tcPr>
            <w:tcW w:w="4600" w:type="dxa"/>
            <w:shd w:val="clear" w:color="auto" w:fill="FCE4D6"/>
          </w:tcPr>
          <w:p>
            <w:r>
              <w:rPr>
                <w:color w:val="333333"/>
                <w:sz w:val="17"/>
                <w:szCs w:val="17"/>
              </w:rPr>
              <w:t xml:space="preserve">Qualité des données dépend du technicien</w:t>
            </w:r>
          </w:p>
        </w:tc>
        <w:tc>
          <w:tcPr>
            <w:tcW w:w="4600" w:type="dxa"/>
            <w:shd w:val="clear" w:color="auto" w:fill="FCE4D6"/>
          </w:tcPr>
          <w:p>
            <w:r>
              <w:rPr>
                <w:color w:val="333333"/>
                <w:sz w:val="17"/>
                <w:szCs w:val="17"/>
              </w:rPr>
              <w:t xml:space="preserve">Qualité homogène, traçabilité de la source de chaque champ</w:t>
            </w:r>
          </w:p>
        </w:tc>
      </w:tr>
    </w:tbl>
    <w:p>
      <w:pPr>
        <w:spacing w:before="80" w:after="80"/>
      </w:pPr>
    </w:p>
    <w:p>
      <w:pPr>
        <w:pStyle w:val="Heading2"/>
      </w:pPr>
      <w:r>
        <w:t xml:space="preserve">13.2 Architecture du moteur multi-sources</w:t>
      </w:r>
    </w:p>
    <w:p>
      <w:pPr>
        <w:spacing w:before="80" w:after="80"/>
      </w:pPr>
      <w:r>
        <w:rPr>
          <w:color w:val="333333"/>
          <w:sz w:val="19"/>
          <w:szCs w:val="19"/>
        </w:rPr>
        <w:t xml:space="preserve">Le MEAR est organisé en quatre couches de sources, interrogées en parallèle. Chaque couche a un niveau de fiabilité intrinsèque différent. Le moteur agrège, normalise, compare et score les résultats avant de les présenter.</w:t>
      </w:r>
    </w:p>
    <w:p>
      <w:pPr>
        <w:spacing w:before="80" w:after="80"/>
      </w:pPr>
    </w:p>
    <w:tbl>
      <w:tblPr>
        <w:tblW w:w="9200" w:type="dxa"/>
        <w:tblBorders>
          <w:top w:val="single" w:sz="4" w:space="0" w:color="CCCCCC"/>
          <w:bottom w:val="single" w:sz="4" w:space="0" w:color="CCCCCC"/>
          <w:insideH w:val="single" w:sz="4" w:space="0" w:color="CCCCCC"/>
          <w:insideV w:val="single" w:sz="4" w:space="0" w:color="CCCCCC"/>
        </w:tblBorders>
      </w:tblPr>
      <w:tblGrid>
        <w:gridCol w:w="1400"/>
        <w:gridCol w:w="2200"/>
        <w:gridCol w:w="2800"/>
        <w:gridCol w:w="1400"/>
        <w:gridCol w:w="1400"/>
      </w:tblGrid>
      <w:tr>
        <w:tc>
          <w:tcPr>
            <w:tcW w:w="1400" w:type="dxa"/>
            <w:shd w:val="clear" w:color="auto" w:fill="1F3864"/>
          </w:tcPr>
          <w:p>
            <w:r>
              <w:rPr>
                <w:b/>
                <w:color w:val="FFFFFF"/>
                <w:sz w:val="17"/>
                <w:szCs w:val="17"/>
              </w:rPr>
              <w:t xml:space="preserve">Couche</w:t>
            </w:r>
          </w:p>
        </w:tc>
        <w:tc>
          <w:tcPr>
            <w:tcW w:w="2200" w:type="dxa"/>
            <w:shd w:val="clear" w:color="auto" w:fill="1F3864"/>
          </w:tcPr>
          <w:p>
            <w:r>
              <w:rPr>
                <w:b/>
                <w:color w:val="FFFFFF"/>
                <w:sz w:val="17"/>
                <w:szCs w:val="17"/>
              </w:rPr>
              <w:t xml:space="preserve">Type de sources</w:t>
            </w:r>
          </w:p>
        </w:tc>
        <w:tc>
          <w:tcPr>
            <w:tcW w:w="2800" w:type="dxa"/>
            <w:shd w:val="clear" w:color="auto" w:fill="1F3864"/>
          </w:tcPr>
          <w:p>
            <w:r>
              <w:rPr>
                <w:b/>
                <w:color w:val="FFFFFF"/>
                <w:sz w:val="17"/>
                <w:szCs w:val="17"/>
              </w:rPr>
              <w:t xml:space="preserve">Exemples</w:t>
            </w:r>
          </w:p>
        </w:tc>
        <w:tc>
          <w:tcPr>
            <w:tcW w:w="1400" w:type="dxa"/>
            <w:shd w:val="clear" w:color="auto" w:fill="1F3864"/>
          </w:tcPr>
          <w:p>
            <w:r>
              <w:rPr>
                <w:b/>
                <w:color w:val="FFFFFF"/>
                <w:sz w:val="17"/>
                <w:szCs w:val="17"/>
              </w:rPr>
              <w:t xml:space="preserve">Fiabilité</w:t>
            </w:r>
          </w:p>
        </w:tc>
        <w:tc>
          <w:tcPr>
            <w:tcW w:w="1400" w:type="dxa"/>
            <w:shd w:val="clear" w:color="auto" w:fill="1F3864"/>
          </w:tcPr>
          <w:p>
            <w:r>
              <w:rPr>
                <w:b/>
                <w:color w:val="FFFFFF"/>
                <w:sz w:val="17"/>
                <w:szCs w:val="17"/>
              </w:rPr>
              <w:t xml:space="preserve">Latence estimée</w:t>
            </w:r>
          </w:p>
        </w:tc>
      </w:tr>
      <w:tr>
        <w:tc>
          <w:tcPr>
            <w:tcW w:w="1400" w:type="dxa"/>
            <w:shd w:val="clear" w:color="auto" w:fill="EEF4FB"/>
          </w:tcPr>
          <w:p>
            <w:r>
              <w:rPr>
                <w:color w:val="333333"/>
                <w:sz w:val="17"/>
                <w:szCs w:val="17"/>
              </w:rPr>
              <w:t xml:space="preserve">1 — APIs structurées</w:t>
            </w:r>
          </w:p>
        </w:tc>
        <w:tc>
          <w:tcPr>
            <w:tcW w:w="2200" w:type="dxa"/>
            <w:shd w:val="clear" w:color="auto" w:fill="EEF4FB"/>
          </w:tcPr>
          <w:p>
            <w:r>
              <w:rPr>
                <w:color w:val="333333"/>
                <w:sz w:val="17"/>
                <w:szCs w:val="17"/>
              </w:rPr>
              <w:t xml:space="preserve">APIs officielles avec données formatées (JSON/XML)</w:t>
            </w:r>
          </w:p>
        </w:tc>
        <w:tc>
          <w:tcPr>
            <w:tcW w:w="2800" w:type="dxa"/>
            <w:shd w:val="clear" w:color="auto" w:fill="EEF4FB"/>
          </w:tcPr>
          <w:p>
            <w:r>
              <w:rPr>
                <w:color w:val="333333"/>
                <w:sz w:val="17"/>
                <w:szCs w:val="17"/>
              </w:rPr>
              <w:t xml:space="preserve">Mouser, Farnell, RS Components, Digi-Key, TME, Arrow, Conrad, LCSC, Octopart</w:t>
            </w:r>
          </w:p>
        </w:tc>
        <w:tc>
          <w:tcPr>
            <w:tcW w:w="1400" w:type="dxa"/>
            <w:shd w:val="clear" w:color="auto" w:fill="EEF4FB"/>
          </w:tcPr>
          <w:p>
            <w:r>
              <w:rPr>
                <w:color w:val="333333"/>
                <w:sz w:val="17"/>
                <w:szCs w:val="17"/>
              </w:rPr>
              <w:t xml:space="preserve">Très élevée</w:t>
            </w:r>
          </w:p>
        </w:tc>
        <w:tc>
          <w:tcPr>
            <w:tcW w:w="1400" w:type="dxa"/>
            <w:shd w:val="clear" w:color="auto" w:fill="EEF4FB"/>
          </w:tcPr>
          <w:p>
            <w:r>
              <w:rPr>
                <w:color w:val="333333"/>
                <w:sz w:val="17"/>
                <w:szCs w:val="17"/>
              </w:rPr>
              <w:t xml:space="preserve">&lt; 1s</w:t>
            </w:r>
          </w:p>
        </w:tc>
      </w:tr>
      <w:tr>
        <w:tc>
          <w:tcPr>
            <w:tcW w:w="1400" w:type="dxa"/>
            <w:shd w:val="clear" w:color="auto" w:fill="FFFFFF"/>
          </w:tcPr>
          <w:p>
            <w:r>
              <w:rPr>
                <w:color w:val="333333"/>
                <w:sz w:val="17"/>
                <w:szCs w:val="17"/>
              </w:rPr>
              <w:t xml:space="preserve">2 — APIs constructeurs</w:t>
            </w:r>
          </w:p>
        </w:tc>
        <w:tc>
          <w:tcPr>
            <w:tcW w:w="2200" w:type="dxa"/>
            <w:shd w:val="clear" w:color="auto" w:fill="FFFFFF"/>
          </w:tcPr>
          <w:p>
            <w:r>
              <w:rPr>
                <w:color w:val="333333"/>
                <w:sz w:val="17"/>
                <w:szCs w:val="17"/>
              </w:rPr>
              <w:t xml:space="preserve">Portails techniques des fabricants</w:t>
            </w:r>
          </w:p>
        </w:tc>
        <w:tc>
          <w:tcPr>
            <w:tcW w:w="2800" w:type="dxa"/>
            <w:shd w:val="clear" w:color="auto" w:fill="FFFFFF"/>
          </w:tcPr>
          <w:p>
            <w:r>
              <w:rPr>
                <w:color w:val="333333"/>
                <w:sz w:val="17"/>
                <w:szCs w:val="17"/>
              </w:rPr>
              <w:t xml:space="preserve">Schneider Electric Exchange, Siemens Industry Mall, ABB Library, Danfoss Product Store, Rockwell, SEW-Eurodrive</w:t>
            </w:r>
          </w:p>
        </w:tc>
        <w:tc>
          <w:tcPr>
            <w:tcW w:w="1400" w:type="dxa"/>
            <w:shd w:val="clear" w:color="auto" w:fill="FFFFFF"/>
          </w:tcPr>
          <w:p>
            <w:r>
              <w:rPr>
                <w:color w:val="333333"/>
                <w:sz w:val="17"/>
                <w:szCs w:val="17"/>
              </w:rPr>
              <w:t xml:space="preserve">Maximale (source primaire)</w:t>
            </w:r>
          </w:p>
        </w:tc>
        <w:tc>
          <w:tcPr>
            <w:tcW w:w="1400" w:type="dxa"/>
            <w:shd w:val="clear" w:color="auto" w:fill="FFFFFF"/>
          </w:tcPr>
          <w:p>
            <w:r>
              <w:rPr>
                <w:color w:val="333333"/>
                <w:sz w:val="17"/>
                <w:szCs w:val="17"/>
              </w:rPr>
              <w:t xml:space="preserve">1-3s</w:t>
            </w:r>
          </w:p>
        </w:tc>
      </w:tr>
      <w:tr>
        <w:tc>
          <w:tcPr>
            <w:tcW w:w="1400" w:type="dxa"/>
            <w:shd w:val="clear" w:color="auto" w:fill="EEF4FB"/>
          </w:tcPr>
          <w:p>
            <w:r>
              <w:rPr>
                <w:color w:val="333333"/>
                <w:sz w:val="17"/>
                <w:szCs w:val="17"/>
              </w:rPr>
              <w:t xml:space="preserve">3 — Web ciblé</w:t>
            </w:r>
          </w:p>
        </w:tc>
        <w:tc>
          <w:tcPr>
            <w:tcW w:w="2200" w:type="dxa"/>
            <w:shd w:val="clear" w:color="auto" w:fill="EEF4FB"/>
          </w:tcPr>
          <w:p>
            <w:r>
              <w:rPr>
                <w:color w:val="333333"/>
                <w:sz w:val="17"/>
                <w:szCs w:val="17"/>
              </w:rPr>
              <w:t xml:space="preserve">Sites industriels sans API officielle (scraping ou Google Custom Search)</w:t>
            </w:r>
          </w:p>
        </w:tc>
        <w:tc>
          <w:tcPr>
            <w:tcW w:w="2800" w:type="dxa"/>
            <w:shd w:val="clear" w:color="auto" w:fill="EEF4FB"/>
          </w:tcPr>
          <w:p>
            <w:r>
              <w:rPr>
                <w:color w:val="333333"/>
                <w:sz w:val="17"/>
                <w:szCs w:val="17"/>
              </w:rPr>
              <w:t xml:space="preserve">DirectIndustry, Europages, Kompass, manuels-notices.com, ElectroManuales, sites distributeurs régionaux</w:t>
            </w:r>
          </w:p>
        </w:tc>
        <w:tc>
          <w:tcPr>
            <w:tcW w:w="1400" w:type="dxa"/>
            <w:shd w:val="clear" w:color="auto" w:fill="EEF4FB"/>
          </w:tcPr>
          <w:p>
            <w:r>
              <w:rPr>
                <w:color w:val="333333"/>
                <w:sz w:val="17"/>
                <w:szCs w:val="17"/>
              </w:rPr>
              <w:t xml:space="preserve">Élevée</w:t>
            </w:r>
          </w:p>
        </w:tc>
        <w:tc>
          <w:tcPr>
            <w:tcW w:w="1400" w:type="dxa"/>
            <w:shd w:val="clear" w:color="auto" w:fill="EEF4FB"/>
          </w:tcPr>
          <w:p>
            <w:r>
              <w:rPr>
                <w:color w:val="333333"/>
                <w:sz w:val="17"/>
                <w:szCs w:val="17"/>
              </w:rPr>
              <w:t xml:space="preserve">2-5s</w:t>
            </w:r>
          </w:p>
        </w:tc>
      </w:tr>
      <w:tr>
        <w:tc>
          <w:tcPr>
            <w:tcW w:w="1400" w:type="dxa"/>
            <w:shd w:val="clear" w:color="auto" w:fill="FFFFFF"/>
          </w:tcPr>
          <w:p>
            <w:r>
              <w:rPr>
                <w:color w:val="333333"/>
                <w:sz w:val="17"/>
                <w:szCs w:val="17"/>
              </w:rPr>
              <w:t xml:space="preserve">4 — Web ouvert + IA</w:t>
            </w:r>
          </w:p>
        </w:tc>
        <w:tc>
          <w:tcPr>
            <w:tcW w:w="2200" w:type="dxa"/>
            <w:shd w:val="clear" w:color="auto" w:fill="FFFFFF"/>
          </w:tcPr>
          <w:p>
            <w:r>
              <w:rPr>
                <w:color w:val="333333"/>
                <w:sz w:val="17"/>
                <w:szCs w:val="17"/>
              </w:rPr>
              <w:t xml:space="preserve">Recherche Google/Bing sur la référence exacte, extraction structurée par LLM des résultats (PDF datasheets, forums maintenance, annonces, fiches techniques)</w:t>
            </w:r>
          </w:p>
        </w:tc>
        <w:tc>
          <w:tcPr>
            <w:tcW w:w="2800" w:type="dxa"/>
            <w:shd w:val="clear" w:color="auto" w:fill="FFFFFF"/>
          </w:tcPr>
          <w:p>
            <w:r>
              <w:rPr>
                <w:color w:val="333333"/>
                <w:sz w:val="17"/>
                <w:szCs w:val="17"/>
              </w:rPr>
              <w:t xml:space="preserve">Tout le web indexé : forums électrotechnique, PDF fabricants, annonces revendeurs, bases de données industrielles</w:t>
            </w:r>
          </w:p>
        </w:tc>
        <w:tc>
          <w:tcPr>
            <w:tcW w:w="1400" w:type="dxa"/>
            <w:shd w:val="clear" w:color="auto" w:fill="FFFFFF"/>
          </w:tcPr>
          <w:p>
            <w:r>
              <w:rPr>
                <w:color w:val="333333"/>
                <w:sz w:val="17"/>
                <w:szCs w:val="17"/>
              </w:rPr>
              <w:t xml:space="preserve">Moyenne à élevée</w:t>
            </w:r>
          </w:p>
        </w:tc>
        <w:tc>
          <w:tcPr>
            <w:tcW w:w="1400" w:type="dxa"/>
            <w:shd w:val="clear" w:color="auto" w:fill="FFFFFF"/>
          </w:tcPr>
          <w:p>
            <w:r>
              <w:rPr>
                <w:color w:val="333333"/>
                <w:sz w:val="17"/>
                <w:szCs w:val="17"/>
              </w:rPr>
              <w:t xml:space="preserve">3-8s</w:t>
            </w:r>
          </w:p>
        </w:tc>
      </w:tr>
      <w:tr>
        <w:tc>
          <w:tcPr>
            <w:tcW w:w="1400" w:type="dxa"/>
            <w:shd w:val="clear" w:color="auto" w:fill="EEF4FB"/>
          </w:tcPr>
          <w:p>
            <w:r>
              <w:rPr>
                <w:color w:val="333333"/>
                <w:sz w:val="17"/>
                <w:szCs w:val="17"/>
              </w:rPr>
              <w:t xml:space="preserve">5 — Base interne</w:t>
            </w:r>
          </w:p>
        </w:tc>
        <w:tc>
          <w:tcPr>
            <w:tcW w:w="2200" w:type="dxa"/>
            <w:shd w:val="clear" w:color="auto" w:fill="EEF4FB"/>
          </w:tcPr>
          <w:p>
            <w:r>
              <w:rPr>
                <w:color w:val="333333"/>
                <w:sz w:val="17"/>
                <w:szCs w:val="17"/>
              </w:rPr>
              <w:t xml:space="preserve">Références déjà saisies dans le logiciel (cache propriétaire)</w:t>
            </w:r>
          </w:p>
        </w:tc>
        <w:tc>
          <w:tcPr>
            <w:tcW w:w="2800" w:type="dxa"/>
            <w:shd w:val="clear" w:color="auto" w:fill="EEF4FB"/>
          </w:tcPr>
          <w:p>
            <w:r>
              <w:rPr>
                <w:color w:val="333333"/>
                <w:sz w:val="17"/>
                <w:szCs w:val="17"/>
              </w:rPr>
              <w:t xml:space="preserve">Base locale — s'enrichit à chaque nouvelle entrée validée</w:t>
            </w:r>
          </w:p>
        </w:tc>
        <w:tc>
          <w:tcPr>
            <w:tcW w:w="1400" w:type="dxa"/>
            <w:shd w:val="clear" w:color="auto" w:fill="EEF4FB"/>
          </w:tcPr>
          <w:p>
            <w:r>
              <w:rPr>
                <w:color w:val="333333"/>
                <w:sz w:val="17"/>
                <w:szCs w:val="17"/>
              </w:rPr>
              <w:t xml:space="preserve">Maximale (validée humainement)</w:t>
            </w:r>
          </w:p>
        </w:tc>
        <w:tc>
          <w:tcPr>
            <w:tcW w:w="1400" w:type="dxa"/>
            <w:shd w:val="clear" w:color="auto" w:fill="EEF4FB"/>
          </w:tcPr>
          <w:p>
            <w:r>
              <w:rPr>
                <w:color w:val="333333"/>
                <w:sz w:val="17"/>
                <w:szCs w:val="17"/>
              </w:rPr>
              <w:t xml:space="preserve">&lt; 100ms</w:t>
            </w:r>
          </w:p>
        </w:tc>
      </w:tr>
    </w:tbl>
    <w:p>
      <w:pPr>
        <w:spacing w:before="80" w:after="80"/>
      </w:pPr>
    </w:p>
    <w:p>
      <w:pPr>
        <w:spacing w:before="80" w:after="80"/>
      </w:pPr>
      <w:r>
        <w:rPr>
          <w:i/>
          <w:color w:val="555555"/>
          <w:sz w:val="19"/>
          <w:szCs w:val="19"/>
        </w:rPr>
        <w:t xml:space="preserve">Architecture technique : le MEAR est un microservice indépendant (worker asynchrone) qui reçoit une référence, orchestre les appels aux sources en parallèle via des adaptateurs (un par source), agrège les résultats, et retourne une fiche enrichie avec scores de confiance. Il est découplé du back-office principal et communique via l'API REST interne.</w:t>
      </w:r>
    </w:p>
    <w:p>
      <w:pPr>
        <w:spacing w:before="80" w:after="80"/>
      </w:pPr>
    </w:p>
    <w:p>
      <w:pPr>
        <w:pStyle w:val="Heading2"/>
      </w:pPr>
      <w:r>
        <w:t xml:space="preserve">13.3 Modes de capture de la référence</w:t>
      </w:r>
    </w:p>
    <w:tbl>
      <w:tblPr>
        <w:tblW w:w="9200" w:type="dxa"/>
        <w:tblBorders>
          <w:top w:val="single" w:sz="4" w:space="0" w:color="CCCCCC"/>
          <w:bottom w:val="single" w:sz="4" w:space="0" w:color="CCCCCC"/>
          <w:insideH w:val="single" w:sz="4" w:space="0" w:color="CCCCCC"/>
          <w:insideV w:val="single" w:sz="4" w:space="0" w:color="CCCCCC"/>
        </w:tblBorders>
      </w:tblPr>
      <w:tblGrid>
        <w:gridCol w:w="1800"/>
        <w:gridCol w:w="3800"/>
        <w:gridCol w:w="2400"/>
        <w:gridCol w:w="1200"/>
      </w:tblGrid>
      <w:tr>
        <w:tc>
          <w:tcPr>
            <w:tcW w:w="1800" w:type="dxa"/>
            <w:shd w:val="clear" w:color="auto" w:fill="1F3864"/>
          </w:tcPr>
          <w:p>
            <w:r>
              <w:rPr>
                <w:b/>
                <w:color w:val="FFFFFF"/>
                <w:sz w:val="17"/>
                <w:szCs w:val="17"/>
              </w:rPr>
              <w:t xml:space="preserve">Mode</w:t>
            </w:r>
          </w:p>
        </w:tc>
        <w:tc>
          <w:tcPr>
            <w:tcW w:w="3800" w:type="dxa"/>
            <w:shd w:val="clear" w:color="auto" w:fill="1F3864"/>
          </w:tcPr>
          <w:p>
            <w:r>
              <w:rPr>
                <w:b/>
                <w:color w:val="FFFFFF"/>
                <w:sz w:val="17"/>
                <w:szCs w:val="17"/>
              </w:rPr>
              <w:t xml:space="preserve">Description</w:t>
            </w:r>
          </w:p>
        </w:tc>
        <w:tc>
          <w:tcPr>
            <w:tcW w:w="2400" w:type="dxa"/>
            <w:shd w:val="clear" w:color="auto" w:fill="1F3864"/>
          </w:tcPr>
          <w:p>
            <w:r>
              <w:rPr>
                <w:b/>
                <w:color w:val="FFFFFF"/>
                <w:sz w:val="17"/>
                <w:szCs w:val="17"/>
              </w:rPr>
              <w:t xml:space="preserve">Matériel requis</w:t>
            </w:r>
          </w:p>
        </w:tc>
        <w:tc>
          <w:tcPr>
            <w:tcW w:w="1200" w:type="dxa"/>
            <w:shd w:val="clear" w:color="auto" w:fill="1F3864"/>
          </w:tcPr>
          <w:p>
            <w:r>
              <w:rPr>
                <w:b/>
                <w:color w:val="FFFFFF"/>
                <w:sz w:val="17"/>
                <w:szCs w:val="17"/>
              </w:rPr>
              <w:t xml:space="preserve">Phase</w:t>
            </w:r>
          </w:p>
        </w:tc>
      </w:tr>
      <w:tr>
        <w:tc>
          <w:tcPr>
            <w:tcW w:w="1800" w:type="dxa"/>
            <w:shd w:val="clear" w:color="auto" w:fill="EEF4FB"/>
          </w:tcPr>
          <w:p>
            <w:r>
              <w:rPr>
                <w:color w:val="333333"/>
                <w:sz w:val="17"/>
                <w:szCs w:val="17"/>
              </w:rPr>
              <w:t xml:space="preserve">Saisie manuelle</w:t>
            </w:r>
          </w:p>
        </w:tc>
        <w:tc>
          <w:tcPr>
            <w:tcW w:w="3800" w:type="dxa"/>
            <w:shd w:val="clear" w:color="auto" w:fill="EEF4FB"/>
          </w:tcPr>
          <w:p>
            <w:r>
              <w:rPr>
                <w:color w:val="333333"/>
                <w:sz w:val="17"/>
                <w:szCs w:val="17"/>
              </w:rPr>
              <w:t xml:space="preserve">Le technicien tape la référence dans le champ de recherche MEAR du back-office. Autocomplétion depuis la base interne dès 3 caractères.</w:t>
            </w:r>
          </w:p>
        </w:tc>
        <w:tc>
          <w:tcPr>
            <w:tcW w:w="2400" w:type="dxa"/>
            <w:shd w:val="clear" w:color="auto" w:fill="EEF4FB"/>
          </w:tcPr>
          <w:p>
            <w:r>
              <w:rPr>
                <w:color w:val="333333"/>
                <w:sz w:val="17"/>
                <w:szCs w:val="17"/>
              </w:rPr>
              <w:t xml:space="preserve">Aucun</w:t>
            </w:r>
          </w:p>
        </w:tc>
        <w:tc>
          <w:tcPr>
            <w:tcW w:w="1200" w:type="dxa"/>
            <w:shd w:val="clear" w:color="auto" w:fill="EEF4FB"/>
          </w:tcPr>
          <w:p>
            <w:r>
              <w:rPr>
                <w:color w:val="333333"/>
                <w:sz w:val="17"/>
                <w:szCs w:val="17"/>
              </w:rPr>
              <w:t xml:space="preserve">MVP Phase 1</w:t>
            </w:r>
          </w:p>
        </w:tc>
      </w:tr>
      <w:tr>
        <w:tc>
          <w:tcPr>
            <w:tcW w:w="1800" w:type="dxa"/>
            <w:shd w:val="clear" w:color="auto" w:fill="FFFFFF"/>
          </w:tcPr>
          <w:p>
            <w:r>
              <w:rPr>
                <w:color w:val="333333"/>
                <w:sz w:val="17"/>
                <w:szCs w:val="17"/>
              </w:rPr>
              <w:t xml:space="preserve">Scan QR code / code-barres</w:t>
            </w:r>
          </w:p>
        </w:tc>
        <w:tc>
          <w:tcPr>
            <w:tcW w:w="3800" w:type="dxa"/>
            <w:shd w:val="clear" w:color="auto" w:fill="FFFFFF"/>
          </w:tcPr>
          <w:p>
            <w:r>
              <w:rPr>
                <w:color w:val="333333"/>
                <w:sz w:val="17"/>
                <w:szCs w:val="17"/>
              </w:rPr>
              <w:t xml:space="preserve">Lecture d'un QR code ou code-barres sur l'emballage ou la plaque. La référence est envoyée automatiquement au MEAR via API REST.</w:t>
            </w:r>
          </w:p>
        </w:tc>
        <w:tc>
          <w:tcPr>
            <w:tcW w:w="2400" w:type="dxa"/>
            <w:shd w:val="clear" w:color="auto" w:fill="FFFFFF"/>
          </w:tcPr>
          <w:p>
            <w:r>
              <w:rPr>
                <w:color w:val="333333"/>
                <w:sz w:val="17"/>
                <w:szCs w:val="17"/>
              </w:rPr>
              <w:t xml:space="preserve">Lecteur Bluetooth (Zebra, Honeywell, Datalogic) ou smartphone</w:t>
            </w:r>
          </w:p>
        </w:tc>
        <w:tc>
          <w:tcPr>
            <w:tcW w:w="1200" w:type="dxa"/>
            <w:shd w:val="clear" w:color="auto" w:fill="FFFFFF"/>
          </w:tcPr>
          <w:p>
            <w:r>
              <w:rPr>
                <w:color w:val="333333"/>
                <w:sz w:val="17"/>
                <w:szCs w:val="17"/>
              </w:rPr>
              <w:t xml:space="preserve">MVP Phase 1</w:t>
            </w:r>
          </w:p>
        </w:tc>
      </w:tr>
      <w:tr>
        <w:tc>
          <w:tcPr>
            <w:tcW w:w="1800" w:type="dxa"/>
            <w:shd w:val="clear" w:color="auto" w:fill="EEF4FB"/>
          </w:tcPr>
          <w:p>
            <w:r>
              <w:rPr>
                <w:color w:val="333333"/>
                <w:sz w:val="17"/>
                <w:szCs w:val="17"/>
              </w:rPr>
              <w:t xml:space="preserve">OCR photo plaque signalétique</w:t>
            </w:r>
          </w:p>
        </w:tc>
        <w:tc>
          <w:tcPr>
            <w:tcW w:w="3800" w:type="dxa"/>
            <w:shd w:val="clear" w:color="auto" w:fill="EEF4FB"/>
          </w:tcPr>
          <w:p>
            <w:r>
              <w:rPr>
                <w:color w:val="333333"/>
                <w:sz w:val="17"/>
                <w:szCs w:val="17"/>
              </w:rPr>
              <w:t xml:space="preserve">Le technicien prend une photo de la plaque avec son smartphone. Google Vision API ou ML Kit extrait la référence et les données brutes. Le MEAR prend le relais pour l'enrichissement.</w:t>
            </w:r>
          </w:p>
        </w:tc>
        <w:tc>
          <w:tcPr>
            <w:tcW w:w="2400" w:type="dxa"/>
            <w:shd w:val="clear" w:color="auto" w:fill="EEF4FB"/>
          </w:tcPr>
          <w:p>
            <w:r>
              <w:rPr>
                <w:color w:val="333333"/>
                <w:sz w:val="17"/>
                <w:szCs w:val="17"/>
              </w:rPr>
              <w:t xml:space="preserve">Smartphone + app mobile (React Native ou PWA)</w:t>
            </w:r>
          </w:p>
        </w:tc>
        <w:tc>
          <w:tcPr>
            <w:tcW w:w="1200" w:type="dxa"/>
            <w:shd w:val="clear" w:color="auto" w:fill="EEF4FB"/>
          </w:tcPr>
          <w:p>
            <w:r>
              <w:rPr>
                <w:color w:val="333333"/>
                <w:sz w:val="17"/>
                <w:szCs w:val="17"/>
              </w:rPr>
              <w:t xml:space="preserve">Phase 2</w:t>
            </w:r>
          </w:p>
        </w:tc>
      </w:tr>
      <w:tr>
        <w:tc>
          <w:tcPr>
            <w:tcW w:w="1800" w:type="dxa"/>
            <w:shd w:val="clear" w:color="auto" w:fill="FFFFFF"/>
          </w:tcPr>
          <w:p>
            <w:r>
              <w:rPr>
                <w:color w:val="333333"/>
                <w:sz w:val="17"/>
                <w:szCs w:val="17"/>
              </w:rPr>
              <w:t xml:space="preserve">NFC / RFID</w:t>
            </w:r>
          </w:p>
        </w:tc>
        <w:tc>
          <w:tcPr>
            <w:tcW w:w="3800" w:type="dxa"/>
            <w:shd w:val="clear" w:color="auto" w:fill="FFFFFF"/>
          </w:tcPr>
          <w:p>
            <w:r>
              <w:rPr>
                <w:color w:val="333333"/>
                <w:sz w:val="17"/>
                <w:szCs w:val="17"/>
              </w:rPr>
              <w:t xml:space="preserve">Lecture d'une étiquette NFC sur les équipements récents. Certains fabricants (Siemens, ABB) équipent déjà leur matériel d'étiquettes NFC avec les données constructeur.</w:t>
            </w:r>
          </w:p>
        </w:tc>
        <w:tc>
          <w:tcPr>
            <w:tcW w:w="2400" w:type="dxa"/>
            <w:shd w:val="clear" w:color="auto" w:fill="FFFFFF"/>
          </w:tcPr>
          <w:p>
            <w:r>
              <w:rPr>
                <w:color w:val="333333"/>
                <w:sz w:val="17"/>
                <w:szCs w:val="17"/>
              </w:rPr>
              <w:t xml:space="preserve">Smartphone NFC ou lecteur RFID industriel</w:t>
            </w:r>
          </w:p>
        </w:tc>
        <w:tc>
          <w:tcPr>
            <w:tcW w:w="1200" w:type="dxa"/>
            <w:shd w:val="clear" w:color="auto" w:fill="FFFFFF"/>
          </w:tcPr>
          <w:p>
            <w:r>
              <w:rPr>
                <w:color w:val="333333"/>
                <w:sz w:val="17"/>
                <w:szCs w:val="17"/>
              </w:rPr>
              <w:t xml:space="preserve">Phase 2</w:t>
            </w:r>
          </w:p>
        </w:tc>
      </w:tr>
    </w:tbl>
    <w:p>
      <w:pPr>
        <w:spacing w:before="80" w:after="80"/>
      </w:pPr>
    </w:p>
    <w:p>
      <w:pPr>
        <w:pStyle w:val="Heading2"/>
      </w:pPr>
      <w:r>
        <w:t xml:space="preserve">13.4 Moteur de vérification de conformité</w:t>
      </w:r>
    </w:p>
    <w:p>
      <w:pPr>
        <w:spacing w:before="80" w:after="80"/>
      </w:pPr>
      <w:r>
        <w:rPr>
          <w:color w:val="333333"/>
          <w:sz w:val="19"/>
          <w:szCs w:val="19"/>
        </w:rPr>
        <w:t xml:space="preserve">C'est le cœur intelligent du MEAR. Pour chaque champ technique (puissance, tension, courant, fabricant, type, fréquence...), le moteur collecte toutes les valeurs retournées par les différentes sources et applique les règles suivantes :</w:t>
      </w:r>
    </w:p>
    <w:p>
      <w:pPr>
        <w:spacing w:before="80" w:after="80"/>
      </w:pPr>
    </w:p>
    <w:tbl>
      <w:tblPr>
        <w:tblW w:w="8800" w:type="dxa"/>
        <w:tblBorders>
          <w:top w:val="single" w:sz="4" w:space="0" w:color="CCCCCC"/>
          <w:bottom w:val="single" w:sz="4" w:space="0" w:color="CCCCCC"/>
          <w:insideH w:val="single" w:sz="4" w:space="0" w:color="CCCCCC"/>
          <w:insideV w:val="single" w:sz="4" w:space="0" w:color="CCCCCC"/>
        </w:tblBorders>
      </w:tblPr>
      <w:tblGrid>
        <w:gridCol w:w="2000"/>
        <w:gridCol w:w="2500"/>
        <w:gridCol w:w="2500"/>
        <w:gridCol w:w="1800"/>
      </w:tblGrid>
      <w:tr>
        <w:tc>
          <w:tcPr>
            <w:tcW w:w="2000" w:type="dxa"/>
            <w:shd w:val="clear" w:color="auto" w:fill="1F3864"/>
          </w:tcPr>
          <w:p>
            <w:r>
              <w:rPr>
                <w:b/>
                <w:color w:val="FFFFFF"/>
                <w:sz w:val="17"/>
                <w:szCs w:val="17"/>
              </w:rPr>
              <w:t xml:space="preserve">Règle</w:t>
            </w:r>
          </w:p>
        </w:tc>
        <w:tc>
          <w:tcPr>
            <w:tcW w:w="2500" w:type="dxa"/>
            <w:shd w:val="clear" w:color="auto" w:fill="1F3864"/>
          </w:tcPr>
          <w:p>
            <w:r>
              <w:rPr>
                <w:b/>
                <w:color w:val="FFFFFF"/>
                <w:sz w:val="17"/>
                <w:szCs w:val="17"/>
              </w:rPr>
              <w:t xml:space="preserve">Description</w:t>
            </w:r>
          </w:p>
        </w:tc>
        <w:tc>
          <w:tcPr>
            <w:tcW w:w="2500" w:type="dxa"/>
            <w:shd w:val="clear" w:color="auto" w:fill="1F3864"/>
          </w:tcPr>
          <w:p>
            <w:r>
              <w:rPr>
                <w:b/>
                <w:color w:val="FFFFFF"/>
                <w:sz w:val="17"/>
                <w:szCs w:val="17"/>
              </w:rPr>
              <w:t xml:space="preserve">Exemple</w:t>
            </w:r>
          </w:p>
        </w:tc>
        <w:tc>
          <w:tcPr>
            <w:tcW w:w="1800" w:type="dxa"/>
            <w:shd w:val="clear" w:color="auto" w:fill="1F3864"/>
          </w:tcPr>
          <w:p>
            <w:r>
              <w:rPr>
                <w:b/>
                <w:color w:val="FFFFFF"/>
                <w:sz w:val="17"/>
                <w:szCs w:val="17"/>
              </w:rPr>
              <w:t xml:space="preserve">Résultat affiché</w:t>
            </w:r>
          </w:p>
        </w:tc>
      </w:tr>
      <w:tr>
        <w:tc>
          <w:tcPr>
            <w:tcW w:w="2000" w:type="dxa"/>
            <w:shd w:val="clear" w:color="auto" w:fill="EEF4FB"/>
          </w:tcPr>
          <w:p>
            <w:r>
              <w:rPr>
                <w:color w:val="333333"/>
                <w:sz w:val="17"/>
                <w:szCs w:val="17"/>
              </w:rPr>
              <w:t xml:space="preserve">Normalisation des unités</w:t>
            </w:r>
          </w:p>
        </w:tc>
        <w:tc>
          <w:tcPr>
            <w:tcW w:w="2500" w:type="dxa"/>
            <w:shd w:val="clear" w:color="auto" w:fill="EEF4FB"/>
          </w:tcPr>
          <w:p>
            <w:r>
              <w:rPr>
                <w:color w:val="333333"/>
                <w:sz w:val="17"/>
                <w:szCs w:val="17"/>
              </w:rPr>
              <w:t xml:space="preserve">Convertit les valeurs dans une unité commune avant comparaison. Gère les variantes d'écriture.</w:t>
            </w:r>
          </w:p>
        </w:tc>
        <w:tc>
          <w:tcPr>
            <w:tcW w:w="2500" w:type="dxa"/>
            <w:shd w:val="clear" w:color="auto" w:fill="EEF4FB"/>
          </w:tcPr>
          <w:p>
            <w:r>
              <w:rPr>
                <w:color w:val="333333"/>
                <w:sz w:val="17"/>
                <w:szCs w:val="17"/>
              </w:rPr>
              <w:t xml:space="preserve">"5.5 kW", "5500 W", "7.5 HP" → 5.5 kW (référence SI)</w:t>
            </w:r>
          </w:p>
        </w:tc>
        <w:tc>
          <w:tcPr>
            <w:tcW w:w="1800" w:type="dxa"/>
            <w:shd w:val="clear" w:color="auto" w:fill="EEF4FB"/>
          </w:tcPr>
          <w:p>
            <w:r>
              <w:rPr>
                <w:color w:val="333333"/>
                <w:sz w:val="17"/>
                <w:szCs w:val="17"/>
              </w:rPr>
              <w:t xml:space="preserve">Valeur normalisée — score élevé</w:t>
            </w:r>
          </w:p>
        </w:tc>
      </w:tr>
      <w:tr>
        <w:tc>
          <w:tcPr>
            <w:tcW w:w="2000" w:type="dxa"/>
            <w:shd w:val="clear" w:color="auto" w:fill="FFFFFF"/>
          </w:tcPr>
          <w:p>
            <w:r>
              <w:rPr>
                <w:color w:val="333333"/>
                <w:sz w:val="17"/>
                <w:szCs w:val="17"/>
              </w:rPr>
              <w:t xml:space="preserve">Concordance multi-sources</w:t>
            </w:r>
          </w:p>
        </w:tc>
        <w:tc>
          <w:tcPr>
            <w:tcW w:w="2500" w:type="dxa"/>
            <w:shd w:val="clear" w:color="auto" w:fill="FFFFFF"/>
          </w:tcPr>
          <w:p>
            <w:r>
              <w:rPr>
                <w:color w:val="333333"/>
                <w:sz w:val="17"/>
                <w:szCs w:val="17"/>
              </w:rPr>
              <w:t xml:space="preserve">Si ≥ 3 sources concordent sur une valeur normalisée, le champ est considéré fiable.</w:t>
            </w:r>
          </w:p>
        </w:tc>
        <w:tc>
          <w:tcPr>
            <w:tcW w:w="2500" w:type="dxa"/>
            <w:shd w:val="clear" w:color="auto" w:fill="FFFFFF"/>
          </w:tcPr>
          <w:p>
            <w:r>
              <w:rPr>
                <w:color w:val="333333"/>
                <w:sz w:val="17"/>
                <w:szCs w:val="17"/>
              </w:rPr>
              <w:t xml:space="preserve">5 sources sur 6 indiquent "400V 3Ph" → concordance</w:t>
            </w:r>
          </w:p>
        </w:tc>
        <w:tc>
          <w:tcPr>
            <w:tcW w:w="1800" w:type="dxa"/>
            <w:shd w:val="clear" w:color="auto" w:fill="FFFFFF"/>
          </w:tcPr>
          <w:p>
            <w:r>
              <w:rPr>
                <w:color w:val="333333"/>
                <w:sz w:val="17"/>
                <w:szCs w:val="17"/>
              </w:rPr>
              <w:t xml:space="preserve">Vert — confiance maximale</w:t>
            </w:r>
          </w:p>
        </w:tc>
      </w:tr>
      <w:tr>
        <w:tc>
          <w:tcPr>
            <w:tcW w:w="2000" w:type="dxa"/>
            <w:shd w:val="clear" w:color="auto" w:fill="EEF4FB"/>
          </w:tcPr>
          <w:p>
            <w:r>
              <w:rPr>
                <w:color w:val="333333"/>
                <w:sz w:val="17"/>
                <w:szCs w:val="17"/>
              </w:rPr>
              <w:t xml:space="preserve">Divergence détectée</w:t>
            </w:r>
          </w:p>
        </w:tc>
        <w:tc>
          <w:tcPr>
            <w:tcW w:w="2500" w:type="dxa"/>
            <w:shd w:val="clear" w:color="auto" w:fill="EEF4FB"/>
          </w:tcPr>
          <w:p>
            <w:r>
              <w:rPr>
                <w:color w:val="333333"/>
                <w:sz w:val="17"/>
                <w:szCs w:val="17"/>
              </w:rPr>
              <w:t xml:space="preserve">Si des sources donnent des valeurs différentes non réductibles à la même unité, le champ est marqué en contradiction.</w:t>
            </w:r>
          </w:p>
        </w:tc>
        <w:tc>
          <w:tcPr>
            <w:tcW w:w="2500" w:type="dxa"/>
            <w:shd w:val="clear" w:color="auto" w:fill="EEF4FB"/>
          </w:tcPr>
          <w:p>
            <w:r>
              <w:rPr>
                <w:color w:val="333333"/>
                <w:sz w:val="17"/>
                <w:szCs w:val="17"/>
              </w:rPr>
              <w:t xml:space="preserve">2 sources : "IP54", 1 source : "IP55" → contradiction</w:t>
            </w:r>
          </w:p>
        </w:tc>
        <w:tc>
          <w:tcPr>
            <w:tcW w:w="1800" w:type="dxa"/>
            <w:shd w:val="clear" w:color="auto" w:fill="EEF4FB"/>
          </w:tcPr>
          <w:p>
            <w:r>
              <w:rPr>
                <w:color w:val="333333"/>
                <w:sz w:val="17"/>
                <w:szCs w:val="17"/>
              </w:rPr>
              <w:t xml:space="preserve">Rouge — validation obligatoire</w:t>
            </w:r>
          </w:p>
        </w:tc>
      </w:tr>
      <w:tr>
        <w:tc>
          <w:tcPr>
            <w:tcW w:w="2000" w:type="dxa"/>
            <w:shd w:val="clear" w:color="auto" w:fill="FFFFFF"/>
          </w:tcPr>
          <w:p>
            <w:r>
              <w:rPr>
                <w:color w:val="333333"/>
                <w:sz w:val="17"/>
                <w:szCs w:val="17"/>
              </w:rPr>
              <w:t xml:space="preserve">Source unique</w:t>
            </w:r>
          </w:p>
        </w:tc>
        <w:tc>
          <w:tcPr>
            <w:tcW w:w="2500" w:type="dxa"/>
            <w:shd w:val="clear" w:color="auto" w:fill="FFFFFF"/>
          </w:tcPr>
          <w:p>
            <w:r>
              <w:rPr>
                <w:color w:val="333333"/>
                <w:sz w:val="17"/>
                <w:szCs w:val="17"/>
              </w:rPr>
              <w:t xml:space="preserve">Une seule source a retourné cette valeur, aucune autre ne la confirme ni ne la contredit.</w:t>
            </w:r>
          </w:p>
        </w:tc>
        <w:tc>
          <w:tcPr>
            <w:tcW w:w="2500" w:type="dxa"/>
            <w:shd w:val="clear" w:color="auto" w:fill="FFFFFF"/>
          </w:tcPr>
          <w:p>
            <w:r>
              <w:rPr>
                <w:color w:val="333333"/>
                <w:sz w:val="17"/>
                <w:szCs w:val="17"/>
              </w:rPr>
              <w:t xml:space="preserve">Seul le site du fabricant mentionne la classe d'isolation</w:t>
            </w:r>
          </w:p>
        </w:tc>
        <w:tc>
          <w:tcPr>
            <w:tcW w:w="1800" w:type="dxa"/>
            <w:shd w:val="clear" w:color="auto" w:fill="FFFFFF"/>
          </w:tcPr>
          <w:p>
            <w:r>
              <w:rPr>
                <w:color w:val="333333"/>
                <w:sz w:val="17"/>
                <w:szCs w:val="17"/>
              </w:rPr>
              <w:t xml:space="preserve">Orange — à vérifier</w:t>
            </w:r>
          </w:p>
        </w:tc>
      </w:tr>
      <w:tr>
        <w:tc>
          <w:tcPr>
            <w:tcW w:w="2000" w:type="dxa"/>
            <w:shd w:val="clear" w:color="auto" w:fill="EEF4FB"/>
          </w:tcPr>
          <w:p>
            <w:r>
              <w:rPr>
                <w:color w:val="333333"/>
                <w:sz w:val="17"/>
                <w:szCs w:val="17"/>
              </w:rPr>
              <w:t xml:space="preserve">Valeur absente</w:t>
            </w:r>
          </w:p>
        </w:tc>
        <w:tc>
          <w:tcPr>
            <w:tcW w:w="2500" w:type="dxa"/>
            <w:shd w:val="clear" w:color="auto" w:fill="EEF4FB"/>
          </w:tcPr>
          <w:p>
            <w:r>
              <w:rPr>
                <w:color w:val="333333"/>
                <w:sz w:val="17"/>
                <w:szCs w:val="17"/>
              </w:rPr>
              <w:t xml:space="preserve">Aucune source n'a retourné de valeur pour ce champ.</w:t>
            </w:r>
          </w:p>
        </w:tc>
        <w:tc>
          <w:tcPr>
            <w:tcW w:w="2500" w:type="dxa"/>
            <w:shd w:val="clear" w:color="auto" w:fill="EEF4FB"/>
          </w:tcPr>
          <w:p>
            <w:r>
              <w:rPr>
                <w:color w:val="333333"/>
                <w:sz w:val="17"/>
                <w:szCs w:val="17"/>
              </w:rPr>
              <w:t xml:space="preserve">Année de fabrication introuvable partout</w:t>
            </w:r>
          </w:p>
        </w:tc>
        <w:tc>
          <w:tcPr>
            <w:tcW w:w="1800" w:type="dxa"/>
            <w:shd w:val="clear" w:color="auto" w:fill="EEF4FB"/>
          </w:tcPr>
          <w:p>
            <w:r>
              <w:rPr>
                <w:color w:val="333333"/>
                <w:sz w:val="17"/>
                <w:szCs w:val="17"/>
              </w:rPr>
              <w:t xml:space="preserve">Gris — à saisir manuellement</w:t>
            </w:r>
          </w:p>
        </w:tc>
      </w:tr>
      <w:tr>
        <w:tc>
          <w:tcPr>
            <w:tcW w:w="2000" w:type="dxa"/>
            <w:shd w:val="clear" w:color="auto" w:fill="FFFFFF"/>
          </w:tcPr>
          <w:p>
            <w:r>
              <w:rPr>
                <w:color w:val="333333"/>
                <w:sz w:val="17"/>
                <w:szCs w:val="17"/>
              </w:rPr>
              <w:t xml:space="preserve">Cohérence inter-champs</w:t>
            </w:r>
          </w:p>
        </w:tc>
        <w:tc>
          <w:tcPr>
            <w:tcW w:w="2500" w:type="dxa"/>
            <w:shd w:val="clear" w:color="auto" w:fill="FFFFFF"/>
          </w:tcPr>
          <w:p>
            <w:r>
              <w:rPr>
                <w:color w:val="333333"/>
                <w:sz w:val="17"/>
                <w:szCs w:val="17"/>
              </w:rPr>
              <w:t xml:space="preserve">Vérifie la cohérence logique entre champs liés. Ex : la puissance et le courant nominal doivent être cohérents avec la tension.</w:t>
            </w:r>
          </w:p>
        </w:tc>
        <w:tc>
          <w:tcPr>
            <w:tcW w:w="2500" w:type="dxa"/>
            <w:shd w:val="clear" w:color="auto" w:fill="FFFFFF"/>
          </w:tcPr>
          <w:p>
            <w:r>
              <w:rPr>
                <w:color w:val="333333"/>
                <w:sz w:val="17"/>
                <w:szCs w:val="17"/>
              </w:rPr>
              <w:t xml:space="preserve">P=5.5kW, U=400V → I nominal attendu ~10A. Source dit 6A → incohérence signalée.</w:t>
            </w:r>
          </w:p>
        </w:tc>
        <w:tc>
          <w:tcPr>
            <w:tcW w:w="1800" w:type="dxa"/>
            <w:shd w:val="clear" w:color="auto" w:fill="FFFFFF"/>
          </w:tcPr>
          <w:p>
            <w:r>
              <w:rPr>
                <w:color w:val="333333"/>
                <w:sz w:val="17"/>
                <w:szCs w:val="17"/>
              </w:rPr>
              <w:t xml:space="preserve">Orange — vérification recommandée</w:t>
            </w:r>
          </w:p>
        </w:tc>
      </w:tr>
    </w:tbl>
    <w:p>
      <w:pPr>
        <w:spacing w:before="80" w:after="80"/>
      </w:pPr>
    </w:p>
    <w:p>
      <w:pPr>
        <w:pStyle w:val="Heading2"/>
      </w:pPr>
      <w:r>
        <w:t xml:space="preserve">13.5 Interface utilisateur — Formulaire d'entrée enrichi</w:t>
      </w:r>
    </w:p>
    <w:p>
      <w:pPr>
        <w:spacing w:before="80" w:after="80"/>
      </w:pPr>
      <w:r>
        <w:rPr>
          <w:color w:val="333333"/>
          <w:sz w:val="19"/>
          <w:szCs w:val="19"/>
        </w:rPr>
        <w:t xml:space="preserve">Le formulaire d'entrée en stock est étendu avec le panneau MEAR. Il présente la fiche pré-remplie avec un code couleur par champ et la liste des sources ayant contribué à chaque information.</w:t>
      </w:r>
    </w:p>
    <w:p>
      <w:pPr>
        <w:spacing w:before="80" w:after="80"/>
      </w:pPr>
    </w:p>
    <w:tbl>
      <w:tblPr>
        <w:tblW w:w="9200" w:type="dxa"/>
        <w:tblBorders>
          <w:top w:val="single" w:sz="4" w:space="0" w:color="CCCCCC"/>
          <w:bottom w:val="single" w:sz="4" w:space="0" w:color="CCCCCC"/>
          <w:insideH w:val="single" w:sz="4" w:space="0" w:color="CCCCCC"/>
          <w:insideV w:val="single" w:sz="4" w:space="0" w:color="CCCCCC"/>
        </w:tblBorders>
      </w:tblPr>
      <w:tblGrid>
        <w:gridCol w:w="2200"/>
        <w:gridCol w:w="3000"/>
        <w:gridCol w:w="4000"/>
      </w:tblGrid>
      <w:tr>
        <w:tc>
          <w:tcPr>
            <w:tcW w:w="2200" w:type="dxa"/>
            <w:shd w:val="clear" w:color="auto" w:fill="1F3864"/>
          </w:tcPr>
          <w:p>
            <w:r>
              <w:rPr>
                <w:b/>
                <w:color w:val="FFFFFF"/>
                <w:sz w:val="17"/>
                <w:szCs w:val="17"/>
              </w:rPr>
              <w:t xml:space="preserve">Élément UI</w:t>
            </w:r>
          </w:p>
        </w:tc>
        <w:tc>
          <w:tcPr>
            <w:tcW w:w="3000" w:type="dxa"/>
            <w:shd w:val="clear" w:color="auto" w:fill="1F3864"/>
          </w:tcPr>
          <w:p>
            <w:r>
              <w:rPr>
                <w:b/>
                <w:color w:val="FFFFFF"/>
                <w:sz w:val="17"/>
                <w:szCs w:val="17"/>
              </w:rPr>
              <w:t xml:space="preserve">Description</w:t>
            </w:r>
          </w:p>
        </w:tc>
        <w:tc>
          <w:tcPr>
            <w:tcW w:w="4000" w:type="dxa"/>
            <w:shd w:val="clear" w:color="auto" w:fill="1F3864"/>
          </w:tcPr>
          <w:p>
            <w:r>
              <w:rPr>
                <w:b/>
                <w:color w:val="FFFFFF"/>
                <w:sz w:val="17"/>
                <w:szCs w:val="17"/>
              </w:rPr>
              <w:t xml:space="preserve">Comportement</w:t>
            </w:r>
          </w:p>
        </w:tc>
      </w:tr>
      <w:tr>
        <w:tc>
          <w:tcPr>
            <w:tcW w:w="2200" w:type="dxa"/>
            <w:shd w:val="clear" w:color="auto" w:fill="EEF4FB"/>
          </w:tcPr>
          <w:p>
            <w:r>
              <w:rPr>
                <w:color w:val="333333"/>
                <w:sz w:val="17"/>
                <w:szCs w:val="17"/>
              </w:rPr>
              <w:t xml:space="preserve">Champ "Référence fabricant" + bouton MEAR</w:t>
            </w:r>
          </w:p>
        </w:tc>
        <w:tc>
          <w:tcPr>
            <w:tcW w:w="3000" w:type="dxa"/>
            <w:shd w:val="clear" w:color="auto" w:fill="EEF4FB"/>
          </w:tcPr>
          <w:p>
            <w:r>
              <w:rPr>
                <w:color w:val="333333"/>
                <w:sz w:val="17"/>
                <w:szCs w:val="17"/>
              </w:rPr>
              <w:t xml:space="preserve">Déclencheur du moteur. Peut aussi recevoir la référence depuis un lecteur de codes ou l'OCR.</w:t>
            </w:r>
          </w:p>
        </w:tc>
        <w:tc>
          <w:tcPr>
            <w:tcW w:w="4000" w:type="dxa"/>
            <w:shd w:val="clear" w:color="auto" w:fill="EEF4FB"/>
          </w:tcPr>
          <w:p>
            <w:r>
              <w:rPr>
                <w:color w:val="333333"/>
                <w:sz w:val="17"/>
                <w:szCs w:val="17"/>
              </w:rPr>
              <w:t xml:space="preserve">Clic sur [Enrichir] → appel asynchrone MEAR → chargement spinner → affichage résultats</w:t>
            </w:r>
          </w:p>
        </w:tc>
      </w:tr>
      <w:tr>
        <w:tc>
          <w:tcPr>
            <w:tcW w:w="2200" w:type="dxa"/>
            <w:shd w:val="clear" w:color="auto" w:fill="FFFFFF"/>
          </w:tcPr>
          <w:p>
            <w:r>
              <w:rPr>
                <w:color w:val="333333"/>
                <w:sz w:val="17"/>
                <w:szCs w:val="17"/>
              </w:rPr>
              <w:t xml:space="preserve">Indicateur de progression</w:t>
            </w:r>
          </w:p>
        </w:tc>
        <w:tc>
          <w:tcPr>
            <w:tcW w:w="3000" w:type="dxa"/>
            <w:shd w:val="clear" w:color="auto" w:fill="FFFFFF"/>
          </w:tcPr>
          <w:p>
            <w:r>
              <w:rPr>
                <w:color w:val="333333"/>
                <w:sz w:val="17"/>
                <w:szCs w:val="17"/>
              </w:rPr>
              <w:t xml:space="preserve">Barre de progression indiquant les sources interrogées en temps réel : "Mouser ✓ | Siemens ✓ | Web ✓ | ..."</w:t>
            </w:r>
          </w:p>
        </w:tc>
        <w:tc>
          <w:tcPr>
            <w:tcW w:w="4000" w:type="dxa"/>
            <w:shd w:val="clear" w:color="auto" w:fill="FFFFFF"/>
          </w:tcPr>
          <w:p>
            <w:r>
              <w:rPr>
                <w:color w:val="333333"/>
                <w:sz w:val="17"/>
                <w:szCs w:val="17"/>
              </w:rPr>
              <w:t xml:space="preserve">Mis à jour en temps réel via WebSocket ou polling</w:t>
            </w:r>
          </w:p>
        </w:tc>
      </w:tr>
      <w:tr>
        <w:tc>
          <w:tcPr>
            <w:tcW w:w="2200" w:type="dxa"/>
            <w:shd w:val="clear" w:color="auto" w:fill="EEF4FB"/>
          </w:tcPr>
          <w:p>
            <w:r>
              <w:rPr>
                <w:color w:val="333333"/>
                <w:sz w:val="17"/>
                <w:szCs w:val="17"/>
              </w:rPr>
              <w:t xml:space="preserve">Badge score de confiance global</w:t>
            </w:r>
          </w:p>
        </w:tc>
        <w:tc>
          <w:tcPr>
            <w:tcW w:w="3000" w:type="dxa"/>
            <w:shd w:val="clear" w:color="auto" w:fill="EEF4FB"/>
          </w:tcPr>
          <w:p>
            <w:r>
              <w:rPr>
                <w:color w:val="333333"/>
                <w:sz w:val="17"/>
                <w:szCs w:val="17"/>
              </w:rPr>
              <w:t xml:space="preserve">Score global de la fiche (0-100%) calculé sur la moyenne pondérée des scores par champ.</w:t>
            </w:r>
          </w:p>
        </w:tc>
        <w:tc>
          <w:tcPr>
            <w:tcW w:w="4000" w:type="dxa"/>
            <w:shd w:val="clear" w:color="auto" w:fill="EEF4FB"/>
          </w:tcPr>
          <w:p>
            <w:r>
              <w:rPr>
                <w:color w:val="333333"/>
                <w:sz w:val="17"/>
                <w:szCs w:val="17"/>
              </w:rPr>
              <w:t xml:space="preserve">Affiché en haut de la fiche : Confiance : 87%</w:t>
            </w:r>
          </w:p>
        </w:tc>
      </w:tr>
      <w:tr>
        <w:tc>
          <w:tcPr>
            <w:tcW w:w="2200" w:type="dxa"/>
            <w:shd w:val="clear" w:color="auto" w:fill="FFFFFF"/>
          </w:tcPr>
          <w:p>
            <w:r>
              <w:rPr>
                <w:color w:val="333333"/>
                <w:sz w:val="17"/>
                <w:szCs w:val="17"/>
              </w:rPr>
              <w:t xml:space="preserve">Champ vert (confiance élevée)</w:t>
            </w:r>
          </w:p>
        </w:tc>
        <w:tc>
          <w:tcPr>
            <w:tcW w:w="3000" w:type="dxa"/>
            <w:shd w:val="clear" w:color="auto" w:fill="FFFFFF"/>
          </w:tcPr>
          <w:p>
            <w:r>
              <w:rPr>
                <w:color w:val="333333"/>
                <w:sz w:val="17"/>
                <w:szCs w:val="17"/>
              </w:rPr>
              <w:t xml:space="preserve">Valeur confirmée par plusieurs sources concordantes. Pré-rempli et verrouillé (déverrouillable).</w:t>
            </w:r>
          </w:p>
        </w:tc>
        <w:tc>
          <w:tcPr>
            <w:tcW w:w="4000" w:type="dxa"/>
            <w:shd w:val="clear" w:color="auto" w:fill="FFFFFF"/>
          </w:tcPr>
          <w:p>
            <w:r>
              <w:rPr>
                <w:color w:val="333333"/>
                <w:sz w:val="17"/>
                <w:szCs w:val="17"/>
              </w:rPr>
              <w:t xml:space="preserve">Technicien peut déverrouiller pour corriger si nécessaire</w:t>
            </w:r>
          </w:p>
        </w:tc>
      </w:tr>
      <w:tr>
        <w:tc>
          <w:tcPr>
            <w:tcW w:w="2200" w:type="dxa"/>
            <w:shd w:val="clear" w:color="auto" w:fill="EEF4FB"/>
          </w:tcPr>
          <w:p>
            <w:r>
              <w:rPr>
                <w:color w:val="333333"/>
                <w:sz w:val="17"/>
                <w:szCs w:val="17"/>
              </w:rPr>
              <w:t xml:space="preserve">Champ orange (à vérifier)</w:t>
            </w:r>
          </w:p>
        </w:tc>
        <w:tc>
          <w:tcPr>
            <w:tcW w:w="3000" w:type="dxa"/>
            <w:shd w:val="clear" w:color="auto" w:fill="EEF4FB"/>
          </w:tcPr>
          <w:p>
            <w:r>
              <w:rPr>
                <w:color w:val="333333"/>
                <w:sz w:val="17"/>
                <w:szCs w:val="17"/>
              </w:rPr>
              <w:t xml:space="preserve">Source unique ou légère divergence. Valeur proposée mais modifiable sans déverrouillage.</w:t>
            </w:r>
          </w:p>
        </w:tc>
        <w:tc>
          <w:tcPr>
            <w:tcW w:w="4000" w:type="dxa"/>
            <w:shd w:val="clear" w:color="auto" w:fill="EEF4FB"/>
          </w:tcPr>
          <w:p>
            <w:r>
              <w:rPr>
                <w:color w:val="333333"/>
                <w:sz w:val="17"/>
                <w:szCs w:val="17"/>
              </w:rPr>
              <w:t xml:space="preserve">Champ en surbrillance orange, focus automatique</w:t>
            </w:r>
          </w:p>
        </w:tc>
      </w:tr>
      <w:tr>
        <w:tc>
          <w:tcPr>
            <w:tcW w:w="2200" w:type="dxa"/>
            <w:shd w:val="clear" w:color="auto" w:fill="FFFFFF"/>
          </w:tcPr>
          <w:p>
            <w:r>
              <w:rPr>
                <w:color w:val="333333"/>
                <w:sz w:val="17"/>
                <w:szCs w:val="17"/>
              </w:rPr>
              <w:t xml:space="preserve">Champ rouge (contradiction)</w:t>
            </w:r>
          </w:p>
        </w:tc>
        <w:tc>
          <w:tcPr>
            <w:tcW w:w="3000" w:type="dxa"/>
            <w:shd w:val="clear" w:color="auto" w:fill="FFFFFF"/>
          </w:tcPr>
          <w:p>
            <w:r>
              <w:rPr>
                <w:color w:val="333333"/>
                <w:sz w:val="17"/>
                <w:szCs w:val="17"/>
              </w:rPr>
              <w:t xml:space="preserve">Valeurs contradictoires entre sources. Champ vide — saisie manuelle obligatoire.</w:t>
            </w:r>
          </w:p>
        </w:tc>
        <w:tc>
          <w:tcPr>
            <w:tcW w:w="4000" w:type="dxa"/>
            <w:shd w:val="clear" w:color="auto" w:fill="FFFFFF"/>
          </w:tcPr>
          <w:p>
            <w:r>
              <w:rPr>
                <w:color w:val="333333"/>
                <w:sz w:val="17"/>
                <w:szCs w:val="17"/>
              </w:rPr>
              <w:t xml:space="preserve">Champ rouge + bouton "Voir les divergences" (popup avec détail source par source)</w:t>
            </w:r>
          </w:p>
        </w:tc>
      </w:tr>
      <w:tr>
        <w:tc>
          <w:tcPr>
            <w:tcW w:w="2200" w:type="dxa"/>
            <w:shd w:val="clear" w:color="auto" w:fill="EEF4FB"/>
          </w:tcPr>
          <w:p>
            <w:r>
              <w:rPr>
                <w:color w:val="333333"/>
                <w:sz w:val="17"/>
                <w:szCs w:val="17"/>
              </w:rPr>
              <w:t xml:space="preserve">Bouton "Sources" par champ</w:t>
            </w:r>
          </w:p>
        </w:tc>
        <w:tc>
          <w:tcPr>
            <w:tcW w:w="3000" w:type="dxa"/>
            <w:shd w:val="clear" w:color="auto" w:fill="EEF4FB"/>
          </w:tcPr>
          <w:p>
            <w:r>
              <w:rPr>
                <w:color w:val="333333"/>
                <w:sz w:val="17"/>
                <w:szCs w:val="17"/>
              </w:rPr>
              <w:t xml:space="preserve">Liste déroulante affichant toutes les valeurs trouvées source par source avec lien vers la page source.</w:t>
            </w:r>
          </w:p>
        </w:tc>
        <w:tc>
          <w:tcPr>
            <w:tcW w:w="4000" w:type="dxa"/>
            <w:shd w:val="clear" w:color="auto" w:fill="EEF4FB"/>
          </w:tcPr>
          <w:p>
            <w:r>
              <w:rPr>
                <w:color w:val="333333"/>
                <w:sz w:val="17"/>
                <w:szCs w:val="17"/>
              </w:rPr>
              <w:t xml:space="preserve">Popup : "Mouser : 5.5 kW | Farnell : 5.5 kW | Web : 5500 W [normalisé]"</w:t>
            </w:r>
          </w:p>
        </w:tc>
      </w:tr>
      <w:tr>
        <w:tc>
          <w:tcPr>
            <w:tcW w:w="2200" w:type="dxa"/>
            <w:shd w:val="clear" w:color="auto" w:fill="FFFFFF"/>
          </w:tcPr>
          <w:p>
            <w:r>
              <w:rPr>
                <w:color w:val="333333"/>
                <w:sz w:val="17"/>
                <w:szCs w:val="17"/>
              </w:rPr>
              <w:t xml:space="preserve">Validation finale</w:t>
            </w:r>
          </w:p>
        </w:tc>
        <w:tc>
          <w:tcPr>
            <w:tcW w:w="3000" w:type="dxa"/>
            <w:shd w:val="clear" w:color="auto" w:fill="FFFFFF"/>
          </w:tcPr>
          <w:p>
            <w:r>
              <w:rPr>
                <w:color w:val="333333"/>
                <w:sz w:val="17"/>
                <w:szCs w:val="17"/>
              </w:rPr>
              <w:t xml:space="preserve">Bouton "Valider et enregistrer". Impossible si des champs obligatoires sont rouges et vides.</w:t>
            </w:r>
          </w:p>
        </w:tc>
        <w:tc>
          <w:tcPr>
            <w:tcW w:w="4000" w:type="dxa"/>
            <w:shd w:val="clear" w:color="auto" w:fill="FFFFFF"/>
          </w:tcPr>
          <w:p>
            <w:r>
              <w:rPr>
                <w:color w:val="333333"/>
                <w:sz w:val="17"/>
                <w:szCs w:val="17"/>
              </w:rPr>
              <w:t xml:space="preserve">Enregistre l'article avec source_saisie = MEAR + score_confiance_global</w:t>
            </w:r>
          </w:p>
        </w:tc>
      </w:tr>
    </w:tbl>
    <w:p>
      <w:pPr>
        <w:spacing w:before="80" w:after="80"/>
      </w:pPr>
    </w:p>
    <w:p>
      <w:pPr>
        <w:pStyle w:val="Heading2"/>
      </w:pPr>
      <w:r>
        <w:t xml:space="preserve">13.6 Règles de gestion du module MEAR</w:t>
      </w:r>
    </w:p>
    <w:tbl>
      <w:tblPr>
        <w:tblW w:w="9200" w:type="dxa"/>
        <w:tblBorders>
          <w:top w:val="single" w:sz="4" w:space="0" w:color="CCCCCC"/>
          <w:bottom w:val="single" w:sz="4" w:space="0" w:color="CCCCCC"/>
          <w:insideH w:val="single" w:sz="4" w:space="0" w:color="CCCCCC"/>
          <w:insideV w:val="single" w:sz="4" w:space="0" w:color="CCCCCC"/>
        </w:tblBorders>
      </w:tblPr>
      <w:tblGrid>
        <w:gridCol w:w="900"/>
        <w:gridCol w:w="3500"/>
        <w:gridCol w:w="4800"/>
      </w:tblGrid>
      <w:tr>
        <w:tc>
          <w:tcPr>
            <w:tcW w:w="900" w:type="dxa"/>
            <w:shd w:val="clear" w:color="auto" w:fill="1F3864"/>
          </w:tcPr>
          <w:p>
            <w:r>
              <w:rPr>
                <w:b/>
                <w:color w:val="FFFFFF"/>
                <w:sz w:val="17"/>
                <w:szCs w:val="17"/>
              </w:rPr>
              <w:t xml:space="preserve">Code</w:t>
            </w:r>
          </w:p>
        </w:tc>
        <w:tc>
          <w:tcPr>
            <w:tcW w:w="3500" w:type="dxa"/>
            <w:shd w:val="clear" w:color="auto" w:fill="1F3864"/>
          </w:tcPr>
          <w:p>
            <w:r>
              <w:rPr>
                <w:b/>
                <w:color w:val="FFFFFF"/>
                <w:sz w:val="17"/>
                <w:szCs w:val="17"/>
              </w:rPr>
              <w:t xml:space="preserve">Règle</w:t>
            </w:r>
          </w:p>
        </w:tc>
        <w:tc>
          <w:tcPr>
            <w:tcW w:w="4800" w:type="dxa"/>
            <w:shd w:val="clear" w:color="auto" w:fill="1F3864"/>
          </w:tcPr>
          <w:p>
            <w:r>
              <w:rPr>
                <w:b/>
                <w:color w:val="FFFFFF"/>
                <w:sz w:val="17"/>
                <w:szCs w:val="17"/>
              </w:rPr>
              <w:t xml:space="preserve">Implémentation</w:t>
            </w:r>
          </w:p>
        </w:tc>
      </w:tr>
      <w:tr>
        <w:tc>
          <w:tcPr>
            <w:tcW w:w="900" w:type="dxa"/>
            <w:shd w:val="clear" w:color="auto" w:fill="EEF4FB"/>
          </w:tcPr>
          <w:p>
            <w:r>
              <w:rPr>
                <w:color w:val="333333"/>
                <w:sz w:val="17"/>
                <w:szCs w:val="17"/>
              </w:rPr>
              <w:t xml:space="preserve">RG-17</w:t>
            </w:r>
          </w:p>
        </w:tc>
        <w:tc>
          <w:tcPr>
            <w:tcW w:w="3500" w:type="dxa"/>
            <w:shd w:val="clear" w:color="auto" w:fill="EEF4FB"/>
          </w:tcPr>
          <w:p>
            <w:r>
              <w:rPr>
                <w:color w:val="333333"/>
                <w:sz w:val="17"/>
                <w:szCs w:val="17"/>
              </w:rPr>
              <w:t xml:space="preserve">Le MEAR est déclenché manuellement (bouton Enrichir) ou automatiquement après scan/OCR. Il ne bloque jamais la saisie manuelle — il est un assistant, pas un obstacle.</w:t>
            </w:r>
          </w:p>
        </w:tc>
        <w:tc>
          <w:tcPr>
            <w:tcW w:w="4800" w:type="dxa"/>
            <w:shd w:val="clear" w:color="auto" w:fill="EEF4FB"/>
          </w:tcPr>
          <w:p>
            <w:r>
              <w:rPr>
                <w:color w:val="333333"/>
                <w:sz w:val="17"/>
                <w:szCs w:val="17"/>
              </w:rPr>
              <w:t xml:space="preserve">Le formulaire d'entrée reste entièrement accessible en mode manuel, même sans déclencher le MEAR.</w:t>
            </w:r>
          </w:p>
        </w:tc>
      </w:tr>
      <w:tr>
        <w:tc>
          <w:tcPr>
            <w:tcW w:w="900" w:type="dxa"/>
            <w:shd w:val="clear" w:color="auto" w:fill="FFFFFF"/>
          </w:tcPr>
          <w:p>
            <w:r>
              <w:rPr>
                <w:color w:val="333333"/>
                <w:sz w:val="17"/>
                <w:szCs w:val="17"/>
              </w:rPr>
              <w:t xml:space="preserve">RG-18</w:t>
            </w:r>
          </w:p>
        </w:tc>
        <w:tc>
          <w:tcPr>
            <w:tcW w:w="3500" w:type="dxa"/>
            <w:shd w:val="clear" w:color="auto" w:fill="FFFFFF"/>
          </w:tcPr>
          <w:p>
            <w:r>
              <w:rPr>
                <w:color w:val="333333"/>
                <w:sz w:val="17"/>
                <w:szCs w:val="17"/>
              </w:rPr>
              <w:t xml:space="preserve">Le résultat MEAR est mis en cache (table reference_cache) pendant 30 jours. Un rechargement forcé est possible à la demande pour les références dont les données peuvent avoir évolué.</w:t>
            </w:r>
          </w:p>
        </w:tc>
        <w:tc>
          <w:tcPr>
            <w:tcW w:w="4800" w:type="dxa"/>
            <w:shd w:val="clear" w:color="auto" w:fill="FFFFFF"/>
          </w:tcPr>
          <w:p>
            <w:r>
              <w:rPr>
                <w:color w:val="333333"/>
                <w:sz w:val="17"/>
                <w:szCs w:val="17"/>
              </w:rPr>
              <w:t xml:space="preserve">Cache avec champ expires_at. Bouton "Actualiser" force le rechargement depuis toutes les sources.</w:t>
            </w:r>
          </w:p>
        </w:tc>
      </w:tr>
      <w:tr>
        <w:tc>
          <w:tcPr>
            <w:tcW w:w="900" w:type="dxa"/>
            <w:shd w:val="clear" w:color="auto" w:fill="EEF4FB"/>
          </w:tcPr>
          <w:p>
            <w:r>
              <w:rPr>
                <w:color w:val="333333"/>
                <w:sz w:val="17"/>
                <w:szCs w:val="17"/>
              </w:rPr>
              <w:t xml:space="preserve">RG-19</w:t>
            </w:r>
          </w:p>
        </w:tc>
        <w:tc>
          <w:tcPr>
            <w:tcW w:w="3500" w:type="dxa"/>
            <w:shd w:val="clear" w:color="auto" w:fill="EEF4FB"/>
          </w:tcPr>
          <w:p>
            <w:r>
              <w:rPr>
                <w:color w:val="333333"/>
                <w:sz w:val="17"/>
                <w:szCs w:val="17"/>
              </w:rPr>
              <w:t xml:space="preserve">Chaque champ validé conserve la liste des sources ayant contribué à sa valeur finale (table champ_enrichi_valeur). Cette traçabilité est consultable depuis la fiche article.</w:t>
            </w:r>
          </w:p>
        </w:tc>
        <w:tc>
          <w:tcPr>
            <w:tcW w:w="4800" w:type="dxa"/>
            <w:shd w:val="clear" w:color="auto" w:fill="EEF4FB"/>
          </w:tcPr>
          <w:p>
            <w:r>
              <w:rPr>
                <w:color w:val="333333"/>
                <w:sz w:val="17"/>
                <w:szCs w:val="17"/>
              </w:rPr>
              <w:t xml:space="preserve">Affichage "Sources" sur la fiche article en back-office pour chaque champ enrichi.</w:t>
            </w:r>
          </w:p>
        </w:tc>
      </w:tr>
      <w:tr>
        <w:tc>
          <w:tcPr>
            <w:tcW w:w="900" w:type="dxa"/>
            <w:shd w:val="clear" w:color="auto" w:fill="FFFFFF"/>
          </w:tcPr>
          <w:p>
            <w:r>
              <w:rPr>
                <w:color w:val="333333"/>
                <w:sz w:val="17"/>
                <w:szCs w:val="17"/>
              </w:rPr>
              <w:t xml:space="preserve">RG-20</w:t>
            </w:r>
          </w:p>
        </w:tc>
        <w:tc>
          <w:tcPr>
            <w:tcW w:w="3500" w:type="dxa"/>
            <w:shd w:val="clear" w:color="auto" w:fill="FFFFFF"/>
          </w:tcPr>
          <w:p>
            <w:r>
              <w:rPr>
                <w:color w:val="333333"/>
                <w:sz w:val="17"/>
                <w:szCs w:val="17"/>
              </w:rPr>
              <w:t xml:space="preserve">Si le score de confiance global est inférieur à 50%, un avertissement est affiché invitant le technicien à vérifier manuellement avant validation.</w:t>
            </w:r>
          </w:p>
        </w:tc>
        <w:tc>
          <w:tcPr>
            <w:tcW w:w="4800" w:type="dxa"/>
            <w:shd w:val="clear" w:color="auto" w:fill="FFFFFF"/>
          </w:tcPr>
          <w:p>
            <w:r>
              <w:rPr>
                <w:color w:val="333333"/>
                <w:sz w:val="17"/>
                <w:szCs w:val="17"/>
              </w:rPr>
              <w:t xml:space="preserve">Modale d'avertissement : "Score de confiance faible (XX%). Veuillez vérifier les champs avant enregistrement."</w:t>
            </w:r>
          </w:p>
        </w:tc>
      </w:tr>
      <w:tr>
        <w:tc>
          <w:tcPr>
            <w:tcW w:w="900" w:type="dxa"/>
            <w:shd w:val="clear" w:color="auto" w:fill="EEF4FB"/>
          </w:tcPr>
          <w:p>
            <w:r>
              <w:rPr>
                <w:color w:val="333333"/>
                <w:sz w:val="17"/>
                <w:szCs w:val="17"/>
              </w:rPr>
              <w:t xml:space="preserve">RG-21</w:t>
            </w:r>
          </w:p>
        </w:tc>
        <w:tc>
          <w:tcPr>
            <w:tcW w:w="3500" w:type="dxa"/>
            <w:shd w:val="clear" w:color="auto" w:fill="EEF4FB"/>
          </w:tcPr>
          <w:p>
            <w:r>
              <w:rPr>
                <w:color w:val="333333"/>
                <w:sz w:val="17"/>
                <w:szCs w:val="17"/>
              </w:rPr>
              <w:t xml:space="preserve">Les données validées par un humain (champs verts confirmés + corrections manuelles) enrichissent automatiquement la base interne (couche 5) pour améliorer les prochaines recherches.</w:t>
            </w:r>
          </w:p>
        </w:tc>
        <w:tc>
          <w:tcPr>
            <w:tcW w:w="4800" w:type="dxa"/>
            <w:shd w:val="clear" w:color="auto" w:fill="EEF4FB"/>
          </w:tcPr>
          <w:p>
            <w:r>
              <w:rPr>
                <w:color w:val="333333"/>
                <w:sz w:val="17"/>
                <w:szCs w:val="17"/>
              </w:rPr>
              <w:t xml:space="preserve">After INSERT sur article, trigger insère dans reference_cache avec source=INTERNE et confiance=100.</w:t>
            </w:r>
          </w:p>
        </w:tc>
      </w:tr>
      <w:tr>
        <w:tc>
          <w:tcPr>
            <w:tcW w:w="900" w:type="dxa"/>
            <w:shd w:val="clear" w:color="auto" w:fill="FFFFFF"/>
          </w:tcPr>
          <w:p>
            <w:r>
              <w:rPr>
                <w:color w:val="333333"/>
                <w:sz w:val="17"/>
                <w:szCs w:val="17"/>
              </w:rPr>
              <w:t xml:space="preserve">RG-22</w:t>
            </w:r>
          </w:p>
        </w:tc>
        <w:tc>
          <w:tcPr>
            <w:tcW w:w="3500" w:type="dxa"/>
            <w:shd w:val="clear" w:color="auto" w:fill="FFFFFF"/>
          </w:tcPr>
          <w:p>
            <w:r>
              <w:rPr>
                <w:color w:val="333333"/>
                <w:sz w:val="17"/>
                <w:szCs w:val="17"/>
              </w:rPr>
              <w:t xml:space="preserve">Le MEAR ne modifie jamais le stock ni les mouvements. Il agit uniquement sur le formulaire de création d'article, avant l'enregistrement.</w:t>
            </w:r>
          </w:p>
        </w:tc>
        <w:tc>
          <w:tcPr>
            <w:tcW w:w="4800" w:type="dxa"/>
            <w:shd w:val="clear" w:color="auto" w:fill="FFFFFF"/>
          </w:tcPr>
          <w:p>
            <w:r>
              <w:rPr>
                <w:color w:val="333333"/>
                <w:sz w:val="17"/>
                <w:szCs w:val="17"/>
              </w:rPr>
              <w:t xml:space="preserve">Isolation complète du module : lecture seule sur les tables de stock.</w:t>
            </w:r>
          </w:p>
        </w:tc>
      </w:tr>
    </w:tbl>
    <w:p>
      <w:pPr>
        <w:spacing w:before="80" w:after="80"/>
      </w:pPr>
    </w:p>
    <w:p>
      <w:pPr>
        <w:pStyle w:val="Heading2"/>
      </w:pPr>
      <w:r>
        <w:t xml:space="preserve">13.7 Périmètre MVP vs Phase 2 du module MEAR</w:t>
      </w:r>
    </w:p>
    <w:tbl>
      <w:tblPr>
        <w:tblW w:w="9200" w:type="dxa"/>
        <w:tblBorders>
          <w:top w:val="single" w:sz="4" w:space="0" w:color="CCCCCC"/>
          <w:bottom w:val="single" w:sz="4" w:space="0" w:color="CCCCCC"/>
          <w:insideH w:val="single" w:sz="4" w:space="0" w:color="CCCCCC"/>
          <w:insideV w:val="single" w:sz="4" w:space="0" w:color="CCCCCC"/>
        </w:tblBorders>
      </w:tblPr>
      <w:tblGrid>
        <w:gridCol w:w="3400"/>
        <w:gridCol w:w="2200"/>
        <w:gridCol w:w="3600"/>
      </w:tblGrid>
      <w:tr>
        <w:tc>
          <w:tcPr>
            <w:tcW w:w="3400" w:type="dxa"/>
            <w:shd w:val="clear" w:color="auto" w:fill="1F3864"/>
          </w:tcPr>
          <w:p>
            <w:r>
              <w:rPr>
                <w:b/>
                <w:color w:val="FFFFFF"/>
                <w:sz w:val="17"/>
                <w:szCs w:val="17"/>
              </w:rPr>
              <w:t xml:space="preserve">Fonctionnalité MEAR</w:t>
            </w:r>
          </w:p>
        </w:tc>
        <w:tc>
          <w:tcPr>
            <w:tcW w:w="2200" w:type="dxa"/>
            <w:shd w:val="clear" w:color="auto" w:fill="1F3864"/>
          </w:tcPr>
          <w:p>
            <w:r>
              <w:rPr>
                <w:b/>
                <w:color w:val="FFFFFF"/>
                <w:sz w:val="17"/>
                <w:szCs w:val="17"/>
              </w:rPr>
              <w:t xml:space="preserve">MVP Phase 1</w:t>
            </w:r>
          </w:p>
        </w:tc>
        <w:tc>
          <w:tcPr>
            <w:tcW w:w="3600" w:type="dxa"/>
            <w:shd w:val="clear" w:color="auto" w:fill="1F3864"/>
          </w:tcPr>
          <w:p>
            <w:r>
              <w:rPr>
                <w:b/>
                <w:color w:val="FFFFFF"/>
                <w:sz w:val="17"/>
                <w:szCs w:val="17"/>
              </w:rPr>
              <w:t xml:space="preserve">Phase 2</w:t>
            </w:r>
          </w:p>
        </w:tc>
      </w:tr>
      <w:tr>
        <w:tc>
          <w:tcPr>
            <w:tcW w:w="3400" w:type="dxa"/>
            <w:shd w:val="clear" w:color="auto" w:fill="EEF4FB"/>
          </w:tcPr>
          <w:p>
            <w:r>
              <w:rPr>
                <w:color w:val="333333"/>
                <w:sz w:val="17"/>
                <w:szCs w:val="17"/>
              </w:rPr>
              <w:t xml:space="preserve">Saisie manuelle référence + déclenchement MEAR</w:t>
            </w:r>
          </w:p>
        </w:tc>
        <w:tc>
          <w:tcPr>
            <w:tcW w:w="2200" w:type="dxa"/>
            <w:shd w:val="clear" w:color="auto" w:fill="EEF4FB"/>
          </w:tcPr>
          <w:p>
            <w:r>
              <w:rPr>
                <w:color w:val="333333"/>
                <w:sz w:val="17"/>
                <w:szCs w:val="17"/>
              </w:rPr>
              <w:t xml:space="preserve">✅ Oui</w:t>
            </w:r>
          </w:p>
        </w:tc>
        <w:tc>
          <w:tcPr>
            <w:tcW w:w="3600" w:type="dxa"/>
            <w:shd w:val="clear" w:color="auto" w:fill="EEF4FB"/>
          </w:tcPr>
          <w:p>
            <w:r>
              <w:rPr>
                <w:color w:val="333333"/>
                <w:sz w:val="17"/>
                <w:szCs w:val="17"/>
              </w:rPr>
              <w:t xml:space="preserve">—</w:t>
            </w:r>
          </w:p>
        </w:tc>
      </w:tr>
      <w:tr>
        <w:tc>
          <w:tcPr>
            <w:tcW w:w="3400" w:type="dxa"/>
            <w:shd w:val="clear" w:color="auto" w:fill="FFFFFF"/>
          </w:tcPr>
          <w:p>
            <w:r>
              <w:rPr>
                <w:color w:val="333333"/>
                <w:sz w:val="17"/>
                <w:szCs w:val="17"/>
              </w:rPr>
              <w:t xml:space="preserve">Scan code-barres / QR code (Bluetooth ou caméra navigateur)</w:t>
            </w:r>
          </w:p>
        </w:tc>
        <w:tc>
          <w:tcPr>
            <w:tcW w:w="2200" w:type="dxa"/>
            <w:shd w:val="clear" w:color="auto" w:fill="FFFFFF"/>
          </w:tcPr>
          <w:p>
            <w:r>
              <w:rPr>
                <w:color w:val="333333"/>
                <w:sz w:val="17"/>
                <w:szCs w:val="17"/>
              </w:rPr>
              <w:t xml:space="preserve">✅ Oui</w:t>
            </w:r>
          </w:p>
        </w:tc>
        <w:tc>
          <w:tcPr>
            <w:tcW w:w="3600" w:type="dxa"/>
            <w:shd w:val="clear" w:color="auto" w:fill="FFFFFF"/>
          </w:tcPr>
          <w:p>
            <w:r>
              <w:rPr>
                <w:color w:val="333333"/>
                <w:sz w:val="17"/>
                <w:szCs w:val="17"/>
              </w:rPr>
              <w:t xml:space="preserve">—</w:t>
            </w:r>
          </w:p>
        </w:tc>
      </w:tr>
      <w:tr>
        <w:tc>
          <w:tcPr>
            <w:tcW w:w="3400" w:type="dxa"/>
            <w:shd w:val="clear" w:color="auto" w:fill="EEF4FB"/>
          </w:tcPr>
          <w:p>
            <w:r>
              <w:rPr>
                <w:color w:val="333333"/>
                <w:sz w:val="17"/>
                <w:szCs w:val="17"/>
              </w:rPr>
              <w:t xml:space="preserve">Interrogation APIs structurées (Mouser, Farnell, RS, Digi-Key)</w:t>
            </w:r>
          </w:p>
        </w:tc>
        <w:tc>
          <w:tcPr>
            <w:tcW w:w="2200" w:type="dxa"/>
            <w:shd w:val="clear" w:color="auto" w:fill="EEF4FB"/>
          </w:tcPr>
          <w:p>
            <w:r>
              <w:rPr>
                <w:color w:val="333333"/>
                <w:sz w:val="17"/>
                <w:szCs w:val="17"/>
              </w:rPr>
              <w:t xml:space="preserve">✅ Oui (3-4 APIs)</w:t>
            </w:r>
          </w:p>
        </w:tc>
        <w:tc>
          <w:tcPr>
            <w:tcW w:w="3600" w:type="dxa"/>
            <w:shd w:val="clear" w:color="auto" w:fill="EEF4FB"/>
          </w:tcPr>
          <w:p>
            <w:r>
              <w:rPr>
                <w:color w:val="333333"/>
                <w:sz w:val="17"/>
                <w:szCs w:val="17"/>
              </w:rPr>
              <w:t xml:space="preserve">Extension à toutes les APIs disponibles</w:t>
            </w:r>
          </w:p>
        </w:tc>
      </w:tr>
      <w:tr>
        <w:tc>
          <w:tcPr>
            <w:tcW w:w="3400" w:type="dxa"/>
            <w:shd w:val="clear" w:color="auto" w:fill="FFFFFF"/>
          </w:tcPr>
          <w:p>
            <w:r>
              <w:rPr>
                <w:color w:val="333333"/>
                <w:sz w:val="17"/>
                <w:szCs w:val="17"/>
              </w:rPr>
              <w:t xml:space="preserve">Interrogation APIs constructeurs (Schneider, Siemens, ABB…)</w:t>
            </w:r>
          </w:p>
        </w:tc>
        <w:tc>
          <w:tcPr>
            <w:tcW w:w="2200" w:type="dxa"/>
            <w:shd w:val="clear" w:color="auto" w:fill="FFFFFF"/>
          </w:tcPr>
          <w:p>
            <w:r>
              <w:rPr>
                <w:color w:val="333333"/>
                <w:sz w:val="17"/>
                <w:szCs w:val="17"/>
              </w:rPr>
              <w:t xml:space="preserve">✅ Partielle (si API publique disponible)</w:t>
            </w:r>
          </w:p>
        </w:tc>
        <w:tc>
          <w:tcPr>
            <w:tcW w:w="3600" w:type="dxa"/>
            <w:shd w:val="clear" w:color="auto" w:fill="FFFFFF"/>
          </w:tcPr>
          <w:p>
            <w:r>
              <w:rPr>
                <w:color w:val="333333"/>
                <w:sz w:val="17"/>
                <w:szCs w:val="17"/>
              </w:rPr>
              <w:t xml:space="preserve">Couverture complète</w:t>
            </w:r>
          </w:p>
        </w:tc>
      </w:tr>
      <w:tr>
        <w:tc>
          <w:tcPr>
            <w:tcW w:w="3400" w:type="dxa"/>
            <w:shd w:val="clear" w:color="auto" w:fill="EEF4FB"/>
          </w:tcPr>
          <w:p>
            <w:r>
              <w:rPr>
                <w:color w:val="333333"/>
                <w:sz w:val="17"/>
                <w:szCs w:val="17"/>
              </w:rPr>
              <w:t xml:space="preserve">Recherche web ouverte (Google Search API + extraction LLM)</w:t>
            </w:r>
          </w:p>
        </w:tc>
        <w:tc>
          <w:tcPr>
            <w:tcW w:w="2200" w:type="dxa"/>
            <w:shd w:val="clear" w:color="auto" w:fill="EEF4FB"/>
          </w:tcPr>
          <w:p>
            <w:r>
              <w:rPr>
                <w:color w:val="333333"/>
                <w:sz w:val="17"/>
                <w:szCs w:val="17"/>
              </w:rPr>
              <w:t xml:space="preserve">⚠️ Optionnelle si temps disponible</w:t>
            </w:r>
          </w:p>
        </w:tc>
        <w:tc>
          <w:tcPr>
            <w:tcW w:w="3600" w:type="dxa"/>
            <w:shd w:val="clear" w:color="auto" w:fill="EEF4FB"/>
          </w:tcPr>
          <w:p>
            <w:r>
              <w:rPr>
                <w:color w:val="333333"/>
                <w:sz w:val="17"/>
                <w:szCs w:val="17"/>
              </w:rPr>
              <w:t xml:space="preserve">✅ Complète</w:t>
            </w:r>
          </w:p>
        </w:tc>
      </w:tr>
      <w:tr>
        <w:tc>
          <w:tcPr>
            <w:tcW w:w="3400" w:type="dxa"/>
            <w:shd w:val="clear" w:color="auto" w:fill="FFFFFF"/>
          </w:tcPr>
          <w:p>
            <w:r>
              <w:rPr>
                <w:color w:val="333333"/>
                <w:sz w:val="17"/>
                <w:szCs w:val="17"/>
              </w:rPr>
              <w:t xml:space="preserve">Normalisation des unités (kW/W/HP, V triphasé/monophasé…)</w:t>
            </w:r>
          </w:p>
        </w:tc>
        <w:tc>
          <w:tcPr>
            <w:tcW w:w="2200" w:type="dxa"/>
            <w:shd w:val="clear" w:color="auto" w:fill="FFFFFF"/>
          </w:tcPr>
          <w:p>
            <w:r>
              <w:rPr>
                <w:color w:val="333333"/>
                <w:sz w:val="17"/>
                <w:szCs w:val="17"/>
              </w:rPr>
              <w:t xml:space="preserve">✅ Oui (règles codées)</w:t>
            </w:r>
          </w:p>
        </w:tc>
        <w:tc>
          <w:tcPr>
            <w:tcW w:w="3600" w:type="dxa"/>
            <w:shd w:val="clear" w:color="auto" w:fill="FFFFFF"/>
          </w:tcPr>
          <w:p>
            <w:r>
              <w:rPr>
                <w:color w:val="333333"/>
                <w:sz w:val="17"/>
                <w:szCs w:val="17"/>
              </w:rPr>
              <w:t xml:space="preserve">Enrichissement par ML</w:t>
            </w:r>
          </w:p>
        </w:tc>
      </w:tr>
      <w:tr>
        <w:tc>
          <w:tcPr>
            <w:tcW w:w="3400" w:type="dxa"/>
            <w:shd w:val="clear" w:color="auto" w:fill="EEF4FB"/>
          </w:tcPr>
          <w:p>
            <w:r>
              <w:rPr>
                <w:color w:val="333333"/>
                <w:sz w:val="17"/>
                <w:szCs w:val="17"/>
              </w:rPr>
              <w:t xml:space="preserve">Score de confiance par champ + code couleur interface</w:t>
            </w:r>
          </w:p>
        </w:tc>
        <w:tc>
          <w:tcPr>
            <w:tcW w:w="2200" w:type="dxa"/>
            <w:shd w:val="clear" w:color="auto" w:fill="EEF4FB"/>
          </w:tcPr>
          <w:p>
            <w:r>
              <w:rPr>
                <w:color w:val="333333"/>
                <w:sz w:val="17"/>
                <w:szCs w:val="17"/>
              </w:rPr>
              <w:t xml:space="preserve">✅ Oui</w:t>
            </w:r>
          </w:p>
        </w:tc>
        <w:tc>
          <w:tcPr>
            <w:tcW w:w="3600" w:type="dxa"/>
            <w:shd w:val="clear" w:color="auto" w:fill="EEF4FB"/>
          </w:tcPr>
          <w:p>
            <w:r>
              <w:rPr>
                <w:color w:val="333333"/>
                <w:sz w:val="17"/>
                <w:szCs w:val="17"/>
              </w:rPr>
              <w:t xml:space="preserve">—</w:t>
            </w:r>
          </w:p>
        </w:tc>
      </w:tr>
      <w:tr>
        <w:tc>
          <w:tcPr>
            <w:tcW w:w="3400" w:type="dxa"/>
            <w:shd w:val="clear" w:color="auto" w:fill="FFFFFF"/>
          </w:tcPr>
          <w:p>
            <w:r>
              <w:rPr>
                <w:color w:val="333333"/>
                <w:sz w:val="17"/>
                <w:szCs w:val="17"/>
              </w:rPr>
              <w:t xml:space="preserve">Affichage des sources par champ (popup détail)</w:t>
            </w:r>
          </w:p>
        </w:tc>
        <w:tc>
          <w:tcPr>
            <w:tcW w:w="2200" w:type="dxa"/>
            <w:shd w:val="clear" w:color="auto" w:fill="FFFFFF"/>
          </w:tcPr>
          <w:p>
            <w:r>
              <w:rPr>
                <w:color w:val="333333"/>
                <w:sz w:val="17"/>
                <w:szCs w:val="17"/>
              </w:rPr>
              <w:t xml:space="preserve">✅ Oui</w:t>
            </w:r>
          </w:p>
        </w:tc>
        <w:tc>
          <w:tcPr>
            <w:tcW w:w="3600" w:type="dxa"/>
            <w:shd w:val="clear" w:color="auto" w:fill="FFFFFF"/>
          </w:tcPr>
          <w:p>
            <w:r>
              <w:rPr>
                <w:color w:val="333333"/>
                <w:sz w:val="17"/>
                <w:szCs w:val="17"/>
              </w:rPr>
              <w:t xml:space="preserve">—</w:t>
            </w:r>
          </w:p>
        </w:tc>
      </w:tr>
      <w:tr>
        <w:tc>
          <w:tcPr>
            <w:tcW w:w="3400" w:type="dxa"/>
            <w:shd w:val="clear" w:color="auto" w:fill="EEF4FB"/>
          </w:tcPr>
          <w:p>
            <w:r>
              <w:rPr>
                <w:color w:val="333333"/>
                <w:sz w:val="17"/>
                <w:szCs w:val="17"/>
              </w:rPr>
              <w:t xml:space="preserve">OCR photo plaque signalétique (smartphone)</w:t>
            </w:r>
          </w:p>
        </w:tc>
        <w:tc>
          <w:tcPr>
            <w:tcW w:w="2200" w:type="dxa"/>
            <w:shd w:val="clear" w:color="auto" w:fill="EEF4FB"/>
          </w:tcPr>
          <w:p>
            <w:r>
              <w:rPr>
                <w:color w:val="333333"/>
                <w:sz w:val="17"/>
                <w:szCs w:val="17"/>
              </w:rPr>
              <w:t xml:space="preserve">❌ Phase 2</w:t>
            </w:r>
          </w:p>
        </w:tc>
        <w:tc>
          <w:tcPr>
            <w:tcW w:w="3600" w:type="dxa"/>
            <w:shd w:val="clear" w:color="auto" w:fill="EEF4FB"/>
          </w:tcPr>
          <w:p>
            <w:r>
              <w:rPr>
                <w:color w:val="333333"/>
                <w:sz w:val="17"/>
                <w:szCs w:val="17"/>
              </w:rPr>
              <w:t xml:space="preserve">✅ Google Vision API</w:t>
            </w:r>
          </w:p>
        </w:tc>
      </w:tr>
      <w:tr>
        <w:tc>
          <w:tcPr>
            <w:tcW w:w="3400" w:type="dxa"/>
            <w:shd w:val="clear" w:color="auto" w:fill="FFFFFF"/>
          </w:tcPr>
          <w:p>
            <w:r>
              <w:rPr>
                <w:color w:val="333333"/>
                <w:sz w:val="17"/>
                <w:szCs w:val="17"/>
              </w:rPr>
              <w:t xml:space="preserve">NFC / RFID</w:t>
            </w:r>
          </w:p>
        </w:tc>
        <w:tc>
          <w:tcPr>
            <w:tcW w:w="2200" w:type="dxa"/>
            <w:shd w:val="clear" w:color="auto" w:fill="FFFFFF"/>
          </w:tcPr>
          <w:p>
            <w:r>
              <w:rPr>
                <w:color w:val="333333"/>
                <w:sz w:val="17"/>
                <w:szCs w:val="17"/>
              </w:rPr>
              <w:t xml:space="preserve">❌ Phase 2</w:t>
            </w:r>
          </w:p>
        </w:tc>
        <w:tc>
          <w:tcPr>
            <w:tcW w:w="3600" w:type="dxa"/>
            <w:shd w:val="clear" w:color="auto" w:fill="FFFFFF"/>
          </w:tcPr>
          <w:p>
            <w:r>
              <w:rPr>
                <w:color w:val="333333"/>
                <w:sz w:val="17"/>
                <w:szCs w:val="17"/>
              </w:rPr>
              <w:t xml:space="preserve">✅ Selon équipement</w:t>
            </w:r>
          </w:p>
        </w:tc>
      </w:tr>
      <w:tr>
        <w:tc>
          <w:tcPr>
            <w:tcW w:w="3400" w:type="dxa"/>
            <w:shd w:val="clear" w:color="auto" w:fill="EEF4FB"/>
          </w:tcPr>
          <w:p>
            <w:r>
              <w:rPr>
                <w:color w:val="333333"/>
                <w:sz w:val="17"/>
                <w:szCs w:val="17"/>
              </w:rPr>
              <w:t xml:space="preserve">Apprentissage automatique depuis la base interne</w:t>
            </w:r>
          </w:p>
        </w:tc>
        <w:tc>
          <w:tcPr>
            <w:tcW w:w="2200" w:type="dxa"/>
            <w:shd w:val="clear" w:color="auto" w:fill="EEF4FB"/>
          </w:tcPr>
          <w:p>
            <w:r>
              <w:rPr>
                <w:color w:val="333333"/>
                <w:sz w:val="17"/>
                <w:szCs w:val="17"/>
              </w:rPr>
              <w:t xml:space="preserve">❌ Phase 2</w:t>
            </w:r>
          </w:p>
        </w:tc>
        <w:tc>
          <w:tcPr>
            <w:tcW w:w="3600" w:type="dxa"/>
            <w:shd w:val="clear" w:color="auto" w:fill="EEF4FB"/>
          </w:tcPr>
          <w:p>
            <w:r>
              <w:rPr>
                <w:color w:val="333333"/>
                <w:sz w:val="17"/>
                <w:szCs w:val="17"/>
              </w:rPr>
              <w:t xml:space="preserve">✅ ML sur corpus interne</w:t>
            </w:r>
          </w:p>
        </w:tc>
      </w:tr>
      <w:tr>
        <w:tc>
          <w:tcPr>
            <w:tcW w:w="3400" w:type="dxa"/>
            <w:shd w:val="clear" w:color="auto" w:fill="FFFFFF"/>
          </w:tcPr>
          <w:p>
            <w:r>
              <w:rPr>
                <w:color w:val="333333"/>
                <w:sz w:val="17"/>
                <w:szCs w:val="17"/>
              </w:rPr>
              <w:t xml:space="preserve">Détection de doublons (même article, référence légèrement différente)</w:t>
            </w:r>
          </w:p>
        </w:tc>
        <w:tc>
          <w:tcPr>
            <w:tcW w:w="2200" w:type="dxa"/>
            <w:shd w:val="clear" w:color="auto" w:fill="FFFFFF"/>
          </w:tcPr>
          <w:p>
            <w:r>
              <w:rPr>
                <w:color w:val="333333"/>
                <w:sz w:val="17"/>
                <w:szCs w:val="17"/>
              </w:rPr>
              <w:t xml:space="preserve">❌ Phase 2</w:t>
            </w:r>
          </w:p>
        </w:tc>
        <w:tc>
          <w:tcPr>
            <w:tcW w:w="3600" w:type="dxa"/>
            <w:shd w:val="clear" w:color="auto" w:fill="FFFFFF"/>
          </w:tcPr>
          <w:p>
            <w:r>
              <w:rPr>
                <w:color w:val="333333"/>
                <w:sz w:val="17"/>
                <w:szCs w:val="17"/>
              </w:rPr>
              <w:t xml:space="preserve">✅ Similarité sémantique</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pPr>
    <w:r>
      <w:rPr>
        <w:rFonts w:ascii="Arial" w:cs="Arial" w:eastAsia="Arial" w:hAnsi="Arial"/>
        <w:color w:val="888888"/>
        <w:sz w:val="16"/>
        <w:szCs w:val="16"/>
      </w:rPr>
      <w:t xml:space="preserve">EPSI Montpellier – MSc 2 Expert Informatique &amp; SI – PFE 2024-2025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120"/>
    </w:pPr>
    <w:r>
      <w:rPr>
        <w:rFonts w:ascii="Arial" w:cs="Arial" w:eastAsia="Arial" w:hAnsi="Arial"/>
        <w:i/>
        <w:iCs/>
        <w:color w:val="888888"/>
        <w:sz w:val="16"/>
        <w:szCs w:val="16"/>
      </w:rPr>
      <w:t xml:space="preserve">Cahier des Charges – Logiciel de Gestion de Stock Industriel</w:t>
    </w:r>
    <w:r>
      <w:rPr>
        <w:rFonts w:ascii="Arial" w:cs="Arial" w:eastAsia="Arial" w:hAnsi="Arial"/>
        <w:color w:val="888888"/>
        <w:sz w:val="16"/>
        <w:szCs w:val="1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2026-03-01T15:20:40.691Z</dcterms:created>
  <dcterms:modified xsi:type="dcterms:W3CDTF">2026-03-01T15:20:40.692Z</dcterms:modified>
</cp:coreProperties>
</file>

<file path=docProps/custom.xml><?xml version="1.0" encoding="utf-8"?>
<Properties xmlns="http://schemas.openxmlformats.org/officeDocument/2006/custom-properties" xmlns:vt="http://schemas.openxmlformats.org/officeDocument/2006/docPropsVTypes"/>
</file>