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pPr>
    </w:p>
    <w:p>
      <w:pPr>
        <w:spacing w:after="240"/>
        <w:jc w:val="center"/>
      </w:pPr>
      <w:r>
        <w:drawing>
          <wp:inline distT="0" distB="0" distL="0" distR="0">
            <wp:extent cx="3409950" cy="1333500"/>
            <wp:effectExtent l="0" t="0" r="0" b="0"/>
            <wp:docPr id="1" name="Picture 1" descr="/home/elansk/Documentos/PERSONALES/SOFTWARE/PrecioJusto/Logo-Elan-SK-Soft.svgLogo-Elan-SK-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elansk/Documentos/PERSONALES/SOFTWARE/PrecioJusto/Logo-Elan-SK-Soft.svgLogo-Elan-SK-Soft"/>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a:xfrm>
                      <a:off x="0" y="0"/>
                      <a:ext cx="3409950" cy="1333500"/>
                    </a:xfrm>
                    <a:prstGeom prst="rect">
                      <a:avLst/>
                    </a:prstGeom>
                  </pic:spPr>
                </pic:pic>
              </a:graphicData>
            </a:graphic>
          </wp:inline>
        </w:drawing>
      </w:r>
    </w:p>
    <w:p>
      <w:pPr>
        <w:jc w:val="center"/>
      </w:pPr>
      <w:r>
        <w:rPr>
          <w:rFonts w:ascii="Calibri" w:hAnsi="Calibri" w:eastAsia="Calibri" w:cs="Calibri"/>
          <w:b/>
          <w:bCs/>
          <w:color w:val="1B4F8A"/>
          <w:sz w:val="80"/>
          <w:szCs w:val="80"/>
        </w:rPr>
        <w:t>PrecioJusto</w:t>
      </w:r>
    </w:p>
    <w:p>
      <w:pPr>
        <w:spacing w:after="200"/>
        <w:jc w:val="center"/>
      </w:pPr>
      <w:r>
        <w:rPr>
          <w:rFonts w:ascii="Calibri" w:hAnsi="Calibri" w:eastAsia="Calibri" w:cs="Calibri"/>
          <w:color w:val="2E86C1"/>
          <w:sz w:val="48"/>
          <w:szCs w:val="48"/>
        </w:rPr>
        <w:t>Calculadora de Precio de Venta</w:t>
      </w:r>
    </w:p>
    <w:p>
      <w:pPr>
        <w:spacing w:after="200"/>
        <w:jc w:val="center"/>
      </w:pPr>
      <w:r>
        <w:rPr>
          <w:color w:val="BFC9CA"/>
          <w:sz w:val="28"/>
          <w:szCs w:val="28"/>
        </w:rPr>
        <w:t>─────────────────────────────────────────</w:t>
      </w:r>
    </w:p>
    <w:p>
      <w:pPr>
        <w:spacing w:after="600"/>
        <w:jc w:val="center"/>
      </w:pPr>
      <w:r>
        <w:rPr>
          <w:color w:val="1C2833"/>
          <w:sz w:val="28"/>
          <w:szCs w:val="28"/>
        </w:rPr>
        <w:t>Documento de Análisis, Requerimientos y Arquitectura</w:t>
      </w:r>
    </w:p>
    <w:p>
      <w:pPr>
        <w:spacing w:after="800"/>
        <w:jc w:val="center"/>
      </w:pPr>
      <w:r>
        <w:rPr>
          <w:color w:val="BFC9CA"/>
          <w:sz w:val="22"/>
          <w:szCs w:val="22"/>
        </w:rPr>
        <w:t>Versión 1.2  ·  2025  ·  Versión Final</w:t>
      </w:r>
    </w:p>
    <w:p>
      <w:pPr>
        <w:pStyle w:val="2"/>
        <w:shd w:val="clear" w:fill="1B4F8A"/>
        <w:spacing w:before="400" w:after="200"/>
        <w:ind w:left="200"/>
      </w:pPr>
      <w:r>
        <w:rPr>
          <w:b/>
          <w:bCs/>
          <w:color w:val="FFFFFF"/>
          <w:sz w:val="36"/>
          <w:szCs w:val="36"/>
        </w:rPr>
        <w:t>1. Resumen</w:t>
      </w:r>
    </w:p>
    <w:p>
      <w:pPr>
        <w:spacing w:after="120"/>
      </w:pPr>
      <w:r>
        <w:rPr>
          <w:color w:val="1C2833"/>
          <w:sz w:val="22"/>
          <w:szCs w:val="22"/>
        </w:rPr>
        <w:t>Cada día, miles de emprendedores lanzan negocios con esfuerzo y entusiasmo, solo para descubrir semanas después que sus precios no les generan ganancias reales. No porque sus productos sean malos, sino porque calcular un precio de venta correcto es más complejo de lo que parece: hay que considerar cada insumo, la parte proporcional de los servicios públicos, el tiempo de trabajo, los impuestos legales y el margen de ganancia esperado. Sin una herramienta adecuada, la mayoría improvisa, cobra de más perdiendo clientes, o cobra de menos perdiendo dinero.</w:t>
      </w:r>
    </w:p>
    <w:p/>
    <w:p>
      <w:pPr>
        <w:spacing w:after="120"/>
      </w:pPr>
      <w:r>
        <w:rPr>
          <w:color w:val="1C2833"/>
          <w:sz w:val="22"/>
          <w:szCs w:val="22"/>
        </w:rPr>
        <w:t>PrecioJusto nació para resolver exactamente ese problema.</w:t>
      </w:r>
      <w:r>
        <w:rPr>
          <w:rFonts w:hint="default"/>
          <w:color w:val="1C2833"/>
          <w:sz w:val="22"/>
          <w:szCs w:val="22"/>
          <w:lang w:val="en-US"/>
        </w:rPr>
        <w:t xml:space="preserve"> </w:t>
      </w:r>
      <w:bookmarkStart w:id="0" w:name="_GoBack"/>
      <w:bookmarkEnd w:id="0"/>
      <w:r>
        <w:rPr>
          <w:color w:val="1C2833"/>
          <w:sz w:val="22"/>
          <w:szCs w:val="22"/>
        </w:rPr>
        <w:t>Es una aplicación de escritorio y móvil, diseñada desde cero para emprendedores, artesanos, panaderos, costureras, productores artesanales y cualquier persona que fabrique o venda un producto o servicio y necesite saber cuánto cobrar. No requiere conocimientos de contabilidad ni de Excel. No necesita conexión a internet. Todos los datos viven en el propio dispositivo del usuario, de forma privada y segura.</w:t>
      </w:r>
    </w:p>
    <w:p/>
    <w:p>
      <w:pPr>
        <w:spacing w:after="120"/>
      </w:pPr>
      <w:r>
        <w:rPr>
          <w:color w:val="1C2833"/>
          <w:sz w:val="22"/>
          <w:szCs w:val="22"/>
        </w:rPr>
        <w:t>El funcionamiento es simple: el usuario registra una vez sus insumos (con precio y unidad), sus servicios públicos, el costo de su mano de obra y los impuestos aplicables a su negocio. Cuando quiere calcular el precio de un producto, un asistente guiado paso a paso le pregunta qué insumos usó, en qué cantidades, cuánto tiempo trabajó y qué impuestos aplican. En segundos, PrecioJusto devuelve el costo real de producción, el valor de los impuestos y el precio de venta sugerido con el margen de ganancia que el emprendedor quiera obtener.</w:t>
      </w:r>
    </w:p>
    <w:p/>
    <w:p>
      <w:pPr>
        <w:spacing w:after="120"/>
      </w:pPr>
      <w:r>
        <w:rPr>
          <w:color w:val="1C2833"/>
          <w:sz w:val="22"/>
          <w:szCs w:val="22"/>
        </w:rPr>
        <w:t>A diferencia de las calculadoras web existentes, PrecioJusto es una aplicación nativa con base de datos local, disponible inicialmente para Windows y próximamente para Android. Incluye soporte para cuatro idiomas (español, inglés, portugués y francés), diferentes monedas y sistemas de unidades, lo que la hace útil tanto para el emprendedor de una pequeña ciudad colombiana como para quien quiere vender sus productos a clientes en el exterior.</w:t>
      </w:r>
    </w:p>
    <w:p/>
    <w:p>
      <w:pPr>
        <w:spacing w:after="120"/>
      </w:pPr>
      <w:r>
        <w:rPr>
          <w:color w:val="1C2833"/>
          <w:sz w:val="22"/>
          <w:szCs w:val="22"/>
        </w:rPr>
        <w:t>Una de sus funciones más poderosas es la diferencia entre precios estáticos y precios dinámicos: el usuario puede decidir si el precio de un producto queda fijo en el momento de calcularlo, o si se actualiza automáticamente cada vez que cambia el precio de algún insumo. Esto es especialmente valioso en contextos de inflación o variación frecuente de precios de materias primas.</w:t>
      </w:r>
    </w:p>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86C1" w:sz="4" w:space="0"/>
              <w:left w:val="single" w:color="E67E22" w:sz="16" w:space="0"/>
              <w:bottom w:val="single" w:color="2E86C1" w:sz="4" w:space="0"/>
              <w:right w:val="single" w:color="2E86C1" w:sz="4" w:space="0"/>
            </w:tcBorders>
            <w:shd w:val="clear" w:color="auto" w:fill="D6EAF8"/>
            <w:tcMar>
              <w:top w:w="120" w:type="dxa"/>
              <w:left w:w="200" w:type="dxa"/>
              <w:bottom w:w="120" w:type="dxa"/>
              <w:right w:w="200" w:type="dxa"/>
            </w:tcMar>
          </w:tcPr>
          <w:p>
            <w:pPr>
              <w:ind w:firstLine="110" w:firstLineChars="50"/>
            </w:pPr>
            <w:r>
              <w:rPr>
                <w:b/>
                <w:bCs/>
                <w:color w:val="1B4F8A"/>
                <w:sz w:val="22"/>
                <w:szCs w:val="22"/>
              </w:rPr>
              <w:t>En resumen: ¿para quién es PrecioJusto?</w:t>
            </w:r>
          </w:p>
          <w:p>
            <w:pPr>
              <w:spacing w:before="60"/>
            </w:pPr>
            <w:r>
              <w:rPr>
                <w:color w:val="1C2833"/>
                <w:sz w:val="20"/>
                <w:szCs w:val="20"/>
              </w:rPr>
              <w:t>Para todo emprendedor que fabrica o vende algo y quiere saber con exactitud cuánto le cuesta producirlo y cuánto debe cobrar para ganar dinero — sin depender de internet, sin necesitar contadores y sin complicarse con hojas de cálculo.</w:t>
            </w:r>
          </w:p>
        </w:tc>
      </w:tr>
    </w:tbl>
    <w:p/>
    <w:p>
      <w:pPr>
        <w:pStyle w:val="2"/>
        <w:shd w:val="clear" w:fill="1B4F8A"/>
        <w:spacing w:before="400" w:after="200"/>
        <w:ind w:left="200"/>
      </w:pPr>
      <w:r>
        <w:rPr>
          <w:b/>
          <w:bCs/>
          <w:color w:val="FFFFFF"/>
          <w:sz w:val="36"/>
          <w:szCs w:val="36"/>
        </w:rPr>
        <w:t>2. Objetivos</w:t>
      </w:r>
    </w:p>
    <w:p>
      <w:pPr>
        <w:pStyle w:val="3"/>
        <w:shd w:val="clear" w:fill="2E86C1"/>
        <w:spacing w:before="300" w:after="160"/>
        <w:ind w:left="120"/>
      </w:pPr>
      <w:r>
        <w:rPr>
          <w:b/>
          <w:bCs/>
          <w:color w:val="FFFFFF"/>
          <w:sz w:val="28"/>
          <w:szCs w:val="28"/>
        </w:rPr>
        <w:t>2.1 Objetivo General</w:t>
      </w:r>
    </w:p>
    <w:p>
      <w:pPr>
        <w:spacing w:after="120"/>
      </w:pPr>
      <w:r>
        <w:rPr>
          <w:color w:val="1C2833"/>
          <w:sz w:val="22"/>
          <w:szCs w:val="22"/>
        </w:rPr>
        <w:t>Desarrollar una aplicación multiplataforma, offline y multilenguaje que permita a emprendedores y pequeños productores calcular de forma precisa, sencilla y guiada el precio de venta de sus productos o servicios, considerando todos los costos reales involucrados en su elaboración.</w:t>
      </w:r>
    </w:p>
    <w:p/>
    <w:p>
      <w:pPr>
        <w:pStyle w:val="3"/>
        <w:shd w:val="clear" w:fill="2E86C1"/>
        <w:spacing w:before="300" w:after="160"/>
        <w:ind w:left="120"/>
      </w:pPr>
      <w:r>
        <w:rPr>
          <w:b/>
          <w:bCs/>
          <w:color w:val="FFFFFF"/>
          <w:sz w:val="28"/>
          <w:szCs w:val="28"/>
        </w:rPr>
        <w:t>2.2 Objetivos Específicos</w:t>
      </w:r>
    </w:p>
    <w:p>
      <w:pPr>
        <w:pStyle w:val="16"/>
        <w:numPr>
          <w:ilvl w:val="0"/>
          <w:numId w:val="1"/>
        </w:numPr>
        <w:spacing w:after="80"/>
      </w:pPr>
      <w:r>
        <w:rPr>
          <w:color w:val="1C2833"/>
          <w:sz w:val="22"/>
          <w:szCs w:val="22"/>
        </w:rPr>
        <w:t>Centralizar en un solo lugar el registro de insumos, servicios, nómina e impuestos de un negocio, eliminando la necesidad de hojas de cálculo dispersas o herramientas que requieren conexión a internet.</w:t>
      </w:r>
    </w:p>
    <w:p>
      <w:pPr>
        <w:pStyle w:val="16"/>
        <w:numPr>
          <w:ilvl w:val="0"/>
          <w:numId w:val="1"/>
        </w:numPr>
        <w:spacing w:after="80"/>
      </w:pPr>
      <w:r>
        <w:rPr>
          <w:color w:val="1C2833"/>
          <w:sz w:val="22"/>
          <w:szCs w:val="22"/>
        </w:rPr>
        <w:t>Guiar al usuario sin conocimiento técnico ni contable a través de un asistente paso a paso (wizard) que le permita construir una cotización completa de forma intuitiva.</w:t>
      </w:r>
    </w:p>
    <w:p>
      <w:pPr>
        <w:pStyle w:val="16"/>
        <w:numPr>
          <w:ilvl w:val="0"/>
          <w:numId w:val="1"/>
        </w:numPr>
        <w:spacing w:after="80"/>
      </w:pPr>
      <w:r>
        <w:rPr>
          <w:color w:val="1C2833"/>
          <w:sz w:val="22"/>
          <w:szCs w:val="22"/>
        </w:rPr>
        <w:t>Calcular automáticamente el precio de venta real de un producto incluyendo todos los costos de producción, los impuestos aplicables y el margen de ganancia deseado por el emprendedor.</w:t>
      </w:r>
    </w:p>
    <w:p>
      <w:pPr>
        <w:pStyle w:val="16"/>
        <w:numPr>
          <w:ilvl w:val="0"/>
          <w:numId w:val="1"/>
        </w:numPr>
        <w:spacing w:after="80"/>
      </w:pPr>
      <w:r>
        <w:rPr>
          <w:color w:val="1C2833"/>
          <w:sz w:val="22"/>
          <w:szCs w:val="22"/>
        </w:rPr>
        <w:t>Ofrecer la opción de precios dinámicos que se actualicen automáticamente al cambiar los precios de los insumos, y precios estáticos que preserven el valor histórico de la cotización.</w:t>
      </w:r>
    </w:p>
    <w:p>
      <w:pPr>
        <w:pStyle w:val="16"/>
        <w:numPr>
          <w:ilvl w:val="0"/>
          <w:numId w:val="1"/>
        </w:numPr>
        <w:spacing w:after="80"/>
      </w:pPr>
      <w:r>
        <w:rPr>
          <w:color w:val="1C2833"/>
          <w:sz w:val="22"/>
          <w:szCs w:val="22"/>
        </w:rPr>
        <w:t>Garantizar la privacidad y disponibilidad de los datos del usuario almacenando toda la información de forma local en el dispositivo, sin sincronización ni dependencia de servicios en la nube.</w:t>
      </w:r>
    </w:p>
    <w:p>
      <w:pPr>
        <w:pStyle w:val="16"/>
        <w:numPr>
          <w:ilvl w:val="0"/>
          <w:numId w:val="1"/>
        </w:numPr>
        <w:spacing w:after="80"/>
      </w:pPr>
      <w:r>
        <w:rPr>
          <w:color w:val="1C2833"/>
          <w:sz w:val="22"/>
          <w:szCs w:val="22"/>
        </w:rPr>
        <w:t>Hacer la herramienta accesible a emprendedores de distintos países y contextos a través de soporte multilenguaje (español, inglés, portugués y francés) y configuración de moneda y sistema de unidades.</w:t>
      </w:r>
    </w:p>
    <w:p>
      <w:pPr>
        <w:pStyle w:val="16"/>
        <w:numPr>
          <w:ilvl w:val="0"/>
          <w:numId w:val="1"/>
        </w:numPr>
        <w:spacing w:after="80"/>
      </w:pPr>
      <w:r>
        <w:rPr>
          <w:color w:val="1C2833"/>
          <w:sz w:val="22"/>
          <w:szCs w:val="22"/>
        </w:rPr>
        <w:t>Construir la aplicación sobre un stack tecnológico moderno (React + Tauri + SQLite) que permita escalar a múltiples plataformas (Windows, Android, macOS, iOS) desde una base de código única.</w:t>
      </w:r>
    </w:p>
    <w:p/>
    <w:p>
      <w:pPr>
        <w:pStyle w:val="3"/>
        <w:shd w:val="clear" w:fill="2E86C1"/>
        <w:spacing w:before="300" w:after="160"/>
        <w:ind w:left="120"/>
      </w:pPr>
      <w:r>
        <w:rPr>
          <w:b/>
          <w:bCs/>
          <w:color w:val="FFFFFF"/>
          <w:sz w:val="28"/>
          <w:szCs w:val="28"/>
        </w:rPr>
        <w:t>2.3 Alcance del Proyecto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Categoría</w:t>
            </w:r>
          </w:p>
        </w:tc>
        <w:tc>
          <w:tcPr>
            <w:tcW w:w="70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Detalle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Dentro del alcance</w:t>
            </w:r>
          </w:p>
        </w:tc>
        <w:tc>
          <w:tcPr>
            <w:tcW w:w="7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Registro y gestión de insumos, servicios, nómina e impuestos. Wizard de cotización en 5 pasos. Cálculo de precio de venta. Precios estático y dinámico. Configuración de idioma, moneda y unidades. Almacenamiento local SQLite. Windows (Fase 1), Android (Fase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Fuera del alcance</w:t>
            </w:r>
          </w:p>
        </w:tc>
        <w:tc>
          <w:tcPr>
            <w:tcW w:w="7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Facturación electrónica. Gestión contable completa. Control de inventario en tiempo real. Sincronización en la nube (futura, opcional). Módulo de ventas o punto de venta (POS). Generación de reportes fiscales.</w:t>
            </w:r>
          </w:p>
        </w:tc>
      </w:tr>
    </w:tbl>
    <w:p/>
    <w:p>
      <w:pPr>
        <w:pStyle w:val="2"/>
        <w:shd w:val="clear" w:fill="1B4F8A"/>
        <w:spacing w:before="400" w:after="200"/>
        <w:ind w:left="200"/>
      </w:pPr>
      <w:r>
        <w:rPr>
          <w:b/>
          <w:bCs/>
          <w:color w:val="FFFFFF"/>
          <w:sz w:val="36"/>
          <w:szCs w:val="36"/>
        </w:rPr>
        <w:t>3. Análisis de Mercado</w:t>
      </w:r>
    </w:p>
    <w:p>
      <w:pPr>
        <w:pStyle w:val="3"/>
        <w:shd w:val="clear" w:fill="2E86C1"/>
        <w:spacing w:before="300" w:after="160"/>
        <w:ind w:left="120"/>
      </w:pPr>
      <w:r>
        <w:rPr>
          <w:b/>
          <w:bCs/>
          <w:color w:val="FFFFFF"/>
          <w:sz w:val="28"/>
          <w:szCs w:val="28"/>
        </w:rPr>
        <w:t>3.1 Aplicaciones Similares</w:t>
      </w:r>
    </w:p>
    <w:p>
      <w:pPr>
        <w:spacing w:after="120"/>
      </w:pPr>
      <w:r>
        <w:rPr>
          <w:color w:val="1C2833"/>
          <w:sz w:val="22"/>
          <w:szCs w:val="22"/>
        </w:rPr>
        <w:t>Se identificaron las principales soluciones existentes en el mercado hispanohablante:</w:t>
      </w:r>
    </w:p>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2000"/>
        <w:gridCol w:w="20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Solución</w:t>
            </w:r>
          </w:p>
        </w:tc>
        <w:tc>
          <w:tcPr>
            <w:tcW w:w="14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Plataforma</w:t>
            </w:r>
          </w:p>
        </w:tc>
        <w:tc>
          <w:tcPr>
            <w:tcW w:w="20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Fortalezas</w:t>
            </w:r>
          </w:p>
        </w:tc>
        <w:tc>
          <w:tcPr>
            <w:tcW w:w="20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Debilidades</w:t>
            </w:r>
          </w:p>
        </w:tc>
        <w:tc>
          <w:tcPr>
            <w:tcW w:w="1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Amenaza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Tiendanube Calculadora</w:t>
            </w:r>
          </w:p>
        </w:tc>
        <w:tc>
          <w:tcPr>
            <w:tcW w:w="14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Web (gratuita)</w:t>
            </w:r>
          </w:p>
        </w:tc>
        <w:tc>
          <w:tcPr>
            <w:tcW w:w="2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Costo + margen básico</w:t>
            </w:r>
          </w:p>
        </w:tc>
        <w:tc>
          <w:tcPr>
            <w:tcW w:w="2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Sin idiomas, sin offline</w:t>
            </w:r>
          </w:p>
        </w:tc>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Baja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Business Calculator (Play)</w:t>
            </w:r>
          </w:p>
        </w:tc>
        <w:tc>
          <w:tcPr>
            <w:tcW w:w="14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Android</w:t>
            </w:r>
          </w:p>
        </w:tc>
        <w:tc>
          <w:tcPr>
            <w:tcW w:w="2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Margen, IVA, punto equilibrio</w:t>
            </w:r>
          </w:p>
        </w:tc>
        <w:tc>
          <w:tcPr>
            <w:tcW w:w="2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Sin insumos detallados</w:t>
            </w:r>
          </w:p>
        </w:tc>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Media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Planilla Latinas Together</w:t>
            </w:r>
          </w:p>
        </w:tc>
        <w:tc>
          <w:tcPr>
            <w:tcW w:w="14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Excel/Sheets</w:t>
            </w:r>
          </w:p>
        </w:tc>
        <w:tc>
          <w:tcPr>
            <w:tcW w:w="2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Costos + impuestos + margen</w:t>
            </w:r>
          </w:p>
        </w:tc>
        <w:tc>
          <w:tcPr>
            <w:tcW w:w="2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No es app, requiere Excel</w:t>
            </w:r>
          </w:p>
        </w:tc>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Media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OrderTrackLab</w:t>
            </w:r>
          </w:p>
        </w:tc>
        <w:tc>
          <w:tcPr>
            <w:tcW w:w="14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Web SaaS</w:t>
            </w:r>
          </w:p>
        </w:tc>
        <w:tc>
          <w:tcPr>
            <w:tcW w:w="2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Costo real + precio sugerido</w:t>
            </w:r>
          </w:p>
        </w:tc>
        <w:tc>
          <w:tcPr>
            <w:tcW w:w="2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Requiere registro en nube</w:t>
            </w:r>
          </w:p>
        </w:tc>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Candle Solutions Calc.</w:t>
            </w:r>
          </w:p>
        </w:tc>
        <w:tc>
          <w:tcPr>
            <w:tcW w:w="14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Excel/Web</w:t>
            </w:r>
          </w:p>
        </w:tc>
        <w:tc>
          <w:tcPr>
            <w:tcW w:w="2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Insumos específicos (velas)</w:t>
            </w:r>
          </w:p>
        </w:tc>
        <w:tc>
          <w:tcPr>
            <w:tcW w:w="2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Solo un nicho de mercado</w:t>
            </w:r>
          </w:p>
        </w:tc>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Baja</w:t>
            </w:r>
          </w:p>
        </w:tc>
      </w:tr>
    </w:tbl>
    <w:p/>
    <w:p>
      <w:pPr>
        <w:pStyle w:val="3"/>
        <w:shd w:val="clear" w:fill="2E86C1"/>
        <w:spacing w:before="300" w:after="160"/>
        <w:ind w:left="120"/>
      </w:pPr>
      <w:r>
        <w:rPr>
          <w:b/>
          <w:bCs/>
          <w:color w:val="FFFFFF"/>
          <w:sz w:val="28"/>
          <w:szCs w:val="28"/>
        </w:rPr>
        <w:t>3.2 Oportunidad de Mercado</w:t>
      </w:r>
    </w:p>
    <w:p>
      <w:pPr>
        <w:spacing w:after="120"/>
      </w:pPr>
      <w:r>
        <w:rPr>
          <w:color w:val="1C2833"/>
          <w:sz w:val="22"/>
          <w:szCs w:val="22"/>
        </w:rPr>
        <w:t>Ninguna solución identificada cumple simultáneamente con:</w:t>
      </w:r>
    </w:p>
    <w:p>
      <w:pPr>
        <w:pStyle w:val="16"/>
        <w:numPr>
          <w:ilvl w:val="0"/>
          <w:numId w:val="2"/>
        </w:numPr>
        <w:spacing w:after="80"/>
      </w:pPr>
      <w:r>
        <w:rPr>
          <w:color w:val="1C2833"/>
          <w:sz w:val="22"/>
          <w:szCs w:val="22"/>
        </w:rPr>
        <w:t>Funcionamiento 100% offline con datos locales privados</w:t>
      </w:r>
    </w:p>
    <w:p>
      <w:pPr>
        <w:pStyle w:val="16"/>
        <w:numPr>
          <w:ilvl w:val="0"/>
          <w:numId w:val="2"/>
        </w:numPr>
        <w:spacing w:after="80"/>
      </w:pPr>
      <w:r>
        <w:rPr>
          <w:color w:val="1C2833"/>
          <w:sz w:val="22"/>
          <w:szCs w:val="22"/>
        </w:rPr>
        <w:t>Soporte multilenguaje (ES, EN, PT, FR)</w:t>
      </w:r>
    </w:p>
    <w:p>
      <w:pPr>
        <w:pStyle w:val="16"/>
        <w:numPr>
          <w:ilvl w:val="0"/>
          <w:numId w:val="2"/>
        </w:numPr>
        <w:spacing w:after="80"/>
      </w:pPr>
      <w:r>
        <w:rPr>
          <w:color w:val="1C2833"/>
          <w:sz w:val="22"/>
          <w:szCs w:val="22"/>
        </w:rPr>
        <w:t>Flujo guiado paso a paso para usuarios no técnicos</w:t>
      </w:r>
    </w:p>
    <w:p>
      <w:pPr>
        <w:pStyle w:val="16"/>
        <w:numPr>
          <w:ilvl w:val="0"/>
          <w:numId w:val="2"/>
        </w:numPr>
        <w:spacing w:after="80"/>
      </w:pPr>
      <w:r>
        <w:rPr>
          <w:color w:val="1C2833"/>
          <w:sz w:val="22"/>
          <w:szCs w:val="22"/>
        </w:rPr>
        <w:t>Precios dinámicos que se actualizan al cambiar insumos</w:t>
      </w:r>
    </w:p>
    <w:p>
      <w:pPr>
        <w:pStyle w:val="16"/>
        <w:numPr>
          <w:ilvl w:val="0"/>
          <w:numId w:val="2"/>
        </w:numPr>
        <w:spacing w:after="80"/>
      </w:pPr>
      <w:r>
        <w:rPr>
          <w:color w:val="1C2833"/>
          <w:sz w:val="22"/>
          <w:szCs w:val="22"/>
        </w:rPr>
        <w:t>Disponibilidad en escritorio (Windows/Mac) y móvil (Android/iOS)</w:t>
      </w:r>
    </w:p>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86C1" w:sz="4" w:space="0"/>
              <w:left w:val="single" w:color="E67E22" w:sz="16" w:space="0"/>
              <w:bottom w:val="single" w:color="2E86C1" w:sz="4" w:space="0"/>
              <w:right w:val="single" w:color="2E86C1" w:sz="4" w:space="0"/>
            </w:tcBorders>
            <w:shd w:val="clear" w:color="auto" w:fill="D5F5E3"/>
            <w:tcMar>
              <w:top w:w="120" w:type="dxa"/>
              <w:left w:w="200" w:type="dxa"/>
              <w:bottom w:w="120" w:type="dxa"/>
              <w:right w:w="200" w:type="dxa"/>
            </w:tcMar>
          </w:tcPr>
          <w:p>
            <w:r>
              <w:rPr>
                <w:b/>
                <w:bCs/>
                <w:color w:val="1E8449"/>
                <w:sz w:val="22"/>
                <w:szCs w:val="22"/>
              </w:rPr>
              <w:t>✅ Veredicto: Idea Viable</w:t>
            </w:r>
          </w:p>
          <w:p>
            <w:pPr>
              <w:spacing w:before="60"/>
            </w:pPr>
            <w:r>
              <w:rPr>
                <w:color w:val="1C2833"/>
                <w:sz w:val="20"/>
                <w:szCs w:val="20"/>
              </w:rPr>
              <w:t>Existe un nicho claro para una app local, offline, multilenguaje y multiplataforma. El mercado de emprendedores en Latinoamérica que necesitan herramientas de costeo accesibles es amplio y está sub-atendido por soluciones que requieren nube o conocimientos de Excel.</w:t>
            </w:r>
          </w:p>
        </w:tc>
      </w:tr>
    </w:tbl>
    <w:p/>
    <w:p>
      <w:pPr>
        <w:pStyle w:val="2"/>
        <w:shd w:val="clear" w:fill="1B4F8A"/>
        <w:spacing w:before="400" w:after="200"/>
        <w:ind w:left="200"/>
      </w:pPr>
      <w:r>
        <w:rPr>
          <w:b/>
          <w:bCs/>
          <w:color w:val="FFFFFF"/>
          <w:sz w:val="36"/>
          <w:szCs w:val="36"/>
        </w:rPr>
        <w:t>4. Análisis de Requerimientos</w:t>
      </w:r>
    </w:p>
    <w:p>
      <w:pPr>
        <w:pStyle w:val="3"/>
        <w:shd w:val="clear" w:fill="2E86C1"/>
        <w:spacing w:before="300" w:after="160"/>
        <w:ind w:left="120"/>
      </w:pPr>
      <w:r>
        <w:rPr>
          <w:b/>
          <w:bCs/>
          <w:color w:val="FFFFFF"/>
          <w:sz w:val="28"/>
          <w:szCs w:val="28"/>
        </w:rPr>
        <w:t>4.1 Requerimientos Funcionales</w:t>
      </w:r>
    </w:p>
    <w:p>
      <w:pPr>
        <w:pStyle w:val="4"/>
        <w:pBdr>
          <w:bottom w:val="single" w:color="1B4F8A" w:sz="4" w:space="0"/>
        </w:pBdr>
        <w:spacing w:before="200" w:after="120"/>
      </w:pPr>
      <w:r>
        <w:rPr>
          <w:b/>
          <w:bCs/>
          <w:color w:val="1B4F8A"/>
          <w:sz w:val="26"/>
          <w:szCs w:val="26"/>
        </w:rPr>
        <w:t>RF-01 — Gestión de Insumos</w:t>
      </w:r>
    </w:p>
    <w:p>
      <w:pPr>
        <w:spacing w:after="120"/>
      </w:pPr>
      <w:r>
        <w:rPr>
          <w:color w:val="1C2833"/>
          <w:sz w:val="22"/>
          <w:szCs w:val="22"/>
        </w:rPr>
        <w:t>Permitir el registro, edición y eliminación de insumos con los siguientes atributos:</w:t>
      </w:r>
    </w:p>
    <w:p>
      <w:pPr>
        <w:pStyle w:val="16"/>
        <w:numPr>
          <w:ilvl w:val="0"/>
          <w:numId w:val="2"/>
        </w:numPr>
        <w:spacing w:after="80"/>
      </w:pPr>
      <w:r>
        <w:rPr>
          <w:color w:val="1C2833"/>
          <w:sz w:val="22"/>
          <w:szCs w:val="22"/>
        </w:rPr>
        <w:t>Nombre del insumo</w:t>
      </w:r>
    </w:p>
    <w:p>
      <w:pPr>
        <w:pStyle w:val="16"/>
        <w:numPr>
          <w:ilvl w:val="0"/>
          <w:numId w:val="2"/>
        </w:numPr>
        <w:spacing w:after="80"/>
      </w:pPr>
      <w:r>
        <w:rPr>
          <w:color w:val="1C2833"/>
          <w:sz w:val="22"/>
          <w:szCs w:val="22"/>
        </w:rPr>
        <w:t>Cantidad base de referencia (cantidadCotizada)</w:t>
      </w:r>
    </w:p>
    <w:p>
      <w:pPr>
        <w:pStyle w:val="16"/>
        <w:numPr>
          <w:ilvl w:val="0"/>
          <w:numId w:val="2"/>
        </w:numPr>
        <w:spacing w:after="80"/>
      </w:pPr>
      <w:r>
        <w:rPr>
          <w:color w:val="1C2833"/>
          <w:sz w:val="22"/>
          <w:szCs w:val="22"/>
        </w:rPr>
        <w:t>Tipo de medida: peso, volumen, área, unidades, etc.</w:t>
      </w:r>
    </w:p>
    <w:p>
      <w:pPr>
        <w:pStyle w:val="16"/>
        <w:numPr>
          <w:ilvl w:val="0"/>
          <w:numId w:val="2"/>
        </w:numPr>
        <w:spacing w:after="80"/>
      </w:pPr>
      <w:r>
        <w:rPr>
          <w:color w:val="1C2833"/>
          <w:sz w:val="22"/>
          <w:szCs w:val="22"/>
        </w:rPr>
        <w:t>Unidad específica: gramos, kg, litros, cm², piezas, etc.</w:t>
      </w:r>
    </w:p>
    <w:p>
      <w:pPr>
        <w:pStyle w:val="16"/>
        <w:numPr>
          <w:ilvl w:val="0"/>
          <w:numId w:val="2"/>
        </w:numPr>
        <w:spacing w:after="80"/>
      </w:pPr>
      <w:r>
        <w:rPr>
          <w:color w:val="1C2833"/>
          <w:sz w:val="22"/>
          <w:szCs w:val="22"/>
        </w:rPr>
        <w:t>Costo por la cantidad base</w:t>
      </w:r>
    </w:p>
    <w:p>
      <w:pPr>
        <w:pStyle w:val="16"/>
        <w:numPr>
          <w:ilvl w:val="0"/>
          <w:numId w:val="2"/>
        </w:numPr>
        <w:spacing w:after="80"/>
      </w:pPr>
      <w:r>
        <w:rPr>
          <w:color w:val="1C2833"/>
          <w:sz w:val="22"/>
          <w:szCs w:val="22"/>
        </w:rPr>
        <w:t>Detalle / observación opcional</w:t>
      </w:r>
    </w:p>
    <w:p>
      <w:pPr>
        <w:pStyle w:val="16"/>
        <w:numPr>
          <w:ilvl w:val="1"/>
          <w:numId w:val="2"/>
        </w:numPr>
        <w:spacing w:after="80"/>
      </w:pPr>
      <w:r>
        <w:rPr>
          <w:color w:val="1C2833"/>
          <w:sz w:val="22"/>
          <w:szCs w:val="22"/>
        </w:rPr>
        <w:t>NOTA: La cantidad cotizada sirve para calcular el valor unitario; la cantidad consumida calcula el costo real del producto.</w:t>
      </w:r>
    </w:p>
    <w:p/>
    <w:p>
      <w:pPr>
        <w:pStyle w:val="4"/>
        <w:pBdr>
          <w:bottom w:val="single" w:color="1B4F8A" w:sz="4" w:space="0"/>
        </w:pBdr>
        <w:spacing w:before="200" w:after="120"/>
      </w:pPr>
      <w:r>
        <w:rPr>
          <w:b/>
          <w:bCs/>
          <w:color w:val="1B4F8A"/>
          <w:sz w:val="26"/>
          <w:szCs w:val="26"/>
        </w:rPr>
        <w:t>RF-02 — Gestión de Servicios</w:t>
      </w:r>
    </w:p>
    <w:p>
      <w:pPr>
        <w:spacing w:after="120"/>
      </w:pPr>
      <w:r>
        <w:rPr>
          <w:color w:val="1C2833"/>
          <w:sz w:val="22"/>
          <w:szCs w:val="22"/>
        </w:rPr>
        <w:t>Registrar costos de servicios públicos y servicios externos:</w:t>
      </w:r>
    </w:p>
    <w:p>
      <w:pPr>
        <w:pStyle w:val="16"/>
        <w:numPr>
          <w:ilvl w:val="0"/>
          <w:numId w:val="2"/>
        </w:numPr>
        <w:spacing w:after="80"/>
      </w:pPr>
      <w:r>
        <w:rPr>
          <w:color w:val="1C2833"/>
          <w:sz w:val="22"/>
          <w:szCs w:val="22"/>
        </w:rPr>
        <w:t>Nombre del servicio (energía eléctrica, agua, gas, internet, etc.)</w:t>
      </w:r>
    </w:p>
    <w:p>
      <w:pPr>
        <w:pStyle w:val="16"/>
        <w:numPr>
          <w:ilvl w:val="0"/>
          <w:numId w:val="2"/>
        </w:numPr>
        <w:spacing w:after="80"/>
      </w:pPr>
      <w:r>
        <w:rPr>
          <w:color w:val="1C2833"/>
          <w:sz w:val="22"/>
          <w:szCs w:val="22"/>
        </w:rPr>
        <w:t>Tipo de medida: tiempo, vatios, litros, valor económico, etc.</w:t>
      </w:r>
    </w:p>
    <w:p>
      <w:pPr>
        <w:pStyle w:val="16"/>
        <w:numPr>
          <w:ilvl w:val="0"/>
          <w:numId w:val="2"/>
        </w:numPr>
        <w:spacing w:after="80"/>
      </w:pPr>
      <w:r>
        <w:rPr>
          <w:color w:val="1C2833"/>
          <w:sz w:val="22"/>
          <w:szCs w:val="22"/>
        </w:rPr>
        <w:t>Unidad y período de consumo</w:t>
      </w:r>
    </w:p>
    <w:p>
      <w:pPr>
        <w:pStyle w:val="16"/>
        <w:numPr>
          <w:ilvl w:val="0"/>
          <w:numId w:val="2"/>
        </w:numPr>
        <w:spacing w:after="80"/>
      </w:pPr>
      <w:r>
        <w:rPr>
          <w:color w:val="1C2833"/>
          <w:sz w:val="22"/>
          <w:szCs w:val="22"/>
        </w:rPr>
        <w:t>Costo del servicio en el período</w:t>
      </w:r>
    </w:p>
    <w:p>
      <w:pPr>
        <w:pStyle w:val="16"/>
        <w:numPr>
          <w:ilvl w:val="0"/>
          <w:numId w:val="2"/>
        </w:numPr>
        <w:spacing w:after="80"/>
      </w:pPr>
      <w:r>
        <w:rPr>
          <w:color w:val="1C2833"/>
          <w:sz w:val="22"/>
          <w:szCs w:val="22"/>
        </w:rPr>
        <w:t>Detalle / observación opcional</w:t>
      </w:r>
    </w:p>
    <w:p/>
    <w:p>
      <w:pPr>
        <w:pStyle w:val="4"/>
        <w:pBdr>
          <w:bottom w:val="single" w:color="1B4F8A" w:sz="4" w:space="0"/>
        </w:pBdr>
        <w:spacing w:before="200" w:after="120"/>
      </w:pPr>
      <w:r>
        <w:rPr>
          <w:b/>
          <w:bCs/>
          <w:color w:val="1B4F8A"/>
          <w:sz w:val="26"/>
          <w:szCs w:val="26"/>
        </w:rPr>
        <w:t>RF-03 — Gestión de Nómina</w:t>
      </w:r>
    </w:p>
    <w:p>
      <w:pPr>
        <w:spacing w:after="120"/>
      </w:pPr>
      <w:r>
        <w:rPr>
          <w:color w:val="1C2833"/>
          <w:sz w:val="22"/>
          <w:szCs w:val="22"/>
        </w:rPr>
        <w:t>Registrar el costo de la mano de obra:</w:t>
      </w:r>
    </w:p>
    <w:p>
      <w:pPr>
        <w:pStyle w:val="16"/>
        <w:numPr>
          <w:ilvl w:val="0"/>
          <w:numId w:val="2"/>
        </w:numPr>
        <w:spacing w:after="80"/>
      </w:pPr>
      <w:r>
        <w:rPr>
          <w:color w:val="1C2833"/>
          <w:sz w:val="22"/>
          <w:szCs w:val="22"/>
        </w:rPr>
        <w:t>Nombre del colaborador o rol</w:t>
      </w:r>
    </w:p>
    <w:p>
      <w:pPr>
        <w:pStyle w:val="16"/>
        <w:numPr>
          <w:ilvl w:val="0"/>
          <w:numId w:val="2"/>
        </w:numPr>
        <w:spacing w:after="80"/>
      </w:pPr>
      <w:r>
        <w:rPr>
          <w:color w:val="1C2833"/>
          <w:sz w:val="22"/>
          <w:szCs w:val="22"/>
        </w:rPr>
        <w:t>Período de pago: quincenal, mensual, semanal</w:t>
      </w:r>
    </w:p>
    <w:p>
      <w:pPr>
        <w:pStyle w:val="16"/>
        <w:numPr>
          <w:ilvl w:val="0"/>
          <w:numId w:val="2"/>
        </w:numPr>
        <w:spacing w:after="80"/>
      </w:pPr>
      <w:r>
        <w:rPr>
          <w:color w:val="1C2833"/>
          <w:sz w:val="22"/>
          <w:szCs w:val="22"/>
        </w:rPr>
        <w:t>Costo por período</w:t>
      </w:r>
    </w:p>
    <w:p>
      <w:pPr>
        <w:pStyle w:val="16"/>
        <w:numPr>
          <w:ilvl w:val="0"/>
          <w:numId w:val="2"/>
        </w:numPr>
        <w:spacing w:after="80"/>
      </w:pPr>
      <w:r>
        <w:rPr>
          <w:color w:val="1C2833"/>
          <w:sz w:val="22"/>
          <w:szCs w:val="22"/>
        </w:rPr>
        <w:t>Tiempo laborado imputable al producto</w:t>
      </w:r>
    </w:p>
    <w:p>
      <w:pPr>
        <w:pStyle w:val="16"/>
        <w:numPr>
          <w:ilvl w:val="0"/>
          <w:numId w:val="2"/>
        </w:numPr>
        <w:spacing w:after="80"/>
      </w:pPr>
      <w:r>
        <w:rPr>
          <w:color w:val="1C2833"/>
          <w:sz w:val="22"/>
          <w:szCs w:val="22"/>
        </w:rPr>
        <w:t>Detalle / observación opcional</w:t>
      </w:r>
    </w:p>
    <w:p/>
    <w:p>
      <w:pPr>
        <w:pStyle w:val="4"/>
        <w:pBdr>
          <w:bottom w:val="single" w:color="1B4F8A" w:sz="4" w:space="0"/>
        </w:pBdr>
        <w:spacing w:before="200" w:after="120"/>
      </w:pPr>
      <w:r>
        <w:rPr>
          <w:b/>
          <w:bCs/>
          <w:color w:val="1B4F8A"/>
          <w:sz w:val="26"/>
          <w:szCs w:val="26"/>
        </w:rPr>
        <w:t>RF-04 — Gestión de Impuestos</w:t>
      </w:r>
    </w:p>
    <w:p>
      <w:pPr>
        <w:spacing w:after="120"/>
      </w:pPr>
      <w:r>
        <w:rPr>
          <w:color w:val="1C2833"/>
          <w:sz w:val="22"/>
          <w:szCs w:val="22"/>
        </w:rPr>
        <w:t>Registrar y aplicar impuestos al precio de venta:</w:t>
      </w:r>
    </w:p>
    <w:p>
      <w:pPr>
        <w:pStyle w:val="16"/>
        <w:numPr>
          <w:ilvl w:val="0"/>
          <w:numId w:val="2"/>
        </w:numPr>
        <w:spacing w:after="80"/>
      </w:pPr>
      <w:r>
        <w:rPr>
          <w:color w:val="1C2833"/>
          <w:sz w:val="22"/>
          <w:szCs w:val="22"/>
        </w:rPr>
        <w:t>Nombre del impuesto (IVA, ICA, impuesto ecológico, etc.)</w:t>
      </w:r>
    </w:p>
    <w:p>
      <w:pPr>
        <w:pStyle w:val="16"/>
        <w:numPr>
          <w:ilvl w:val="0"/>
          <w:numId w:val="2"/>
        </w:numPr>
        <w:spacing w:after="80"/>
      </w:pPr>
      <w:r>
        <w:rPr>
          <w:color w:val="1C2833"/>
          <w:sz w:val="22"/>
          <w:szCs w:val="22"/>
        </w:rPr>
        <w:t>Tipo: porcentaje (%) o valor fijo</w:t>
      </w:r>
    </w:p>
    <w:p>
      <w:pPr>
        <w:pStyle w:val="16"/>
        <w:numPr>
          <w:ilvl w:val="0"/>
          <w:numId w:val="2"/>
        </w:numPr>
        <w:spacing w:after="80"/>
      </w:pPr>
      <w:r>
        <w:rPr>
          <w:color w:val="1C2833"/>
          <w:sz w:val="22"/>
          <w:szCs w:val="22"/>
        </w:rPr>
        <w:t>Valor o tasa del impuesto</w:t>
      </w:r>
    </w:p>
    <w:p>
      <w:pPr>
        <w:pStyle w:val="16"/>
        <w:numPr>
          <w:ilvl w:val="0"/>
          <w:numId w:val="2"/>
        </w:numPr>
        <w:spacing w:after="80"/>
      </w:pPr>
      <w:r>
        <w:rPr>
          <w:color w:val="1C2833"/>
          <w:sz w:val="22"/>
          <w:szCs w:val="22"/>
        </w:rPr>
        <w:t>Detalle / observación opcional</w:t>
      </w:r>
    </w:p>
    <w:p/>
    <w:p>
      <w:pPr>
        <w:pStyle w:val="4"/>
        <w:pBdr>
          <w:bottom w:val="single" w:color="1B4F8A" w:sz="4" w:space="0"/>
        </w:pBdr>
        <w:spacing w:before="200" w:after="120"/>
      </w:pPr>
      <w:r>
        <w:rPr>
          <w:b/>
          <w:bCs/>
          <w:color w:val="1B4F8A"/>
          <w:sz w:val="26"/>
          <w:szCs w:val="26"/>
        </w:rPr>
        <w:t>RF-05 — Wizard de Cotización (flujo paso a paso)</w:t>
      </w:r>
    </w:p>
    <w:p>
      <w:pPr>
        <w:spacing w:after="120"/>
      </w:pPr>
      <w:r>
        <w:rPr>
          <w:color w:val="1C2833"/>
          <w:sz w:val="22"/>
          <w:szCs w:val="22"/>
        </w:rPr>
        <w:t>La creación de una cotización debe seguir un asistente en 5 pasos secuenciales:</w:t>
      </w:r>
    </w:p>
    <w:p>
      <w:pPr>
        <w:pStyle w:val="16"/>
        <w:numPr>
          <w:ilvl w:val="0"/>
          <w:numId w:val="1"/>
        </w:numPr>
        <w:spacing w:after="80"/>
      </w:pPr>
      <w:r>
        <w:rPr>
          <w:color w:val="1C2833"/>
          <w:sz w:val="22"/>
          <w:szCs w:val="22"/>
        </w:rPr>
        <w:t>Paso 1 — Insumos: selección y cantidad consumida de cada insumo</w:t>
      </w:r>
    </w:p>
    <w:p>
      <w:pPr>
        <w:pStyle w:val="16"/>
        <w:numPr>
          <w:ilvl w:val="0"/>
          <w:numId w:val="1"/>
        </w:numPr>
        <w:spacing w:after="80"/>
      </w:pPr>
      <w:r>
        <w:rPr>
          <w:color w:val="1C2833"/>
          <w:sz w:val="22"/>
          <w:szCs w:val="22"/>
        </w:rPr>
        <w:t>Paso 2 — Servicios: selección y cantidad consumida de cada servicio</w:t>
      </w:r>
    </w:p>
    <w:p>
      <w:pPr>
        <w:pStyle w:val="16"/>
        <w:numPr>
          <w:ilvl w:val="0"/>
          <w:numId w:val="1"/>
        </w:numPr>
        <w:spacing w:after="80"/>
      </w:pPr>
      <w:r>
        <w:rPr>
          <w:color w:val="1C2833"/>
          <w:sz w:val="22"/>
          <w:szCs w:val="22"/>
        </w:rPr>
        <w:t>Paso 3 — Nómina: selección del colaborador y tiempo laborado en el producto</w:t>
      </w:r>
    </w:p>
    <w:p>
      <w:pPr>
        <w:pStyle w:val="16"/>
        <w:numPr>
          <w:ilvl w:val="0"/>
          <w:numId w:val="1"/>
        </w:numPr>
        <w:spacing w:after="80"/>
      </w:pPr>
      <w:r>
        <w:rPr>
          <w:color w:val="1C2833"/>
          <w:sz w:val="22"/>
          <w:szCs w:val="22"/>
        </w:rPr>
        <w:t>Paso 4 — Impuestos: selección de impuestos a aplicar</w:t>
      </w:r>
    </w:p>
    <w:p>
      <w:pPr>
        <w:pStyle w:val="16"/>
        <w:numPr>
          <w:ilvl w:val="0"/>
          <w:numId w:val="1"/>
        </w:numPr>
        <w:spacing w:after="80"/>
      </w:pPr>
      <w:r>
        <w:rPr>
          <w:color w:val="1C2833"/>
          <w:sz w:val="22"/>
          <w:szCs w:val="22"/>
        </w:rPr>
        <w:t>Paso 5 — Ganancia y resumen: definir margen de ganancia y ver precio final</w:t>
      </w:r>
    </w:p>
    <w:p/>
    <w:p>
      <w:pPr>
        <w:pStyle w:val="4"/>
        <w:pBdr>
          <w:bottom w:val="single" w:color="1B4F8A" w:sz="4" w:space="0"/>
        </w:pBdr>
        <w:spacing w:before="200" w:after="120"/>
      </w:pPr>
      <w:r>
        <w:rPr>
          <w:b/>
          <w:bCs/>
          <w:color w:val="1B4F8A"/>
          <w:sz w:val="26"/>
          <w:szCs w:val="26"/>
        </w:rPr>
        <w:t>RF-06 — Cálculo del Precio de Venta</w:t>
      </w:r>
    </w:p>
    <w:p>
      <w:pPr>
        <w:spacing w:after="120"/>
      </w:pPr>
      <w:r>
        <w:rPr>
          <w:b/>
          <w:bCs/>
          <w:color w:val="1C2833"/>
        </w:rPr>
        <w:t xml:space="preserve">Fórmula base: </w:t>
      </w:r>
      <w:r>
        <w:rPr>
          <w:color w:val="1C2833"/>
        </w:rPr>
        <w:t>Precio de Venta = Costo Total + Impuestos + Ganancia</w:t>
      </w:r>
    </w:p>
    <w:p>
      <w:pPr>
        <w:spacing w:after="120"/>
      </w:pPr>
      <w:r>
        <w:rPr>
          <w:b/>
          <w:bCs/>
          <w:color w:val="1C2833"/>
        </w:rPr>
        <w:t xml:space="preserve">Donde Costo Total = </w:t>
      </w:r>
      <w:r>
        <w:rPr>
          <w:color w:val="1C2833"/>
        </w:rPr>
        <w:t>Σ(Insumos consumidos) + Σ(Servicios proporcionales) + Σ(Nómina proporcional)</w:t>
      </w:r>
    </w:p>
    <w:p/>
    <w:p>
      <w:pPr>
        <w:pStyle w:val="4"/>
        <w:pBdr>
          <w:bottom w:val="single" w:color="1B4F8A" w:sz="4" w:space="0"/>
        </w:pBdr>
        <w:spacing w:before="200" w:after="120"/>
      </w:pPr>
      <w:r>
        <w:rPr>
          <w:b/>
          <w:bCs/>
          <w:color w:val="1B4F8A"/>
          <w:sz w:val="26"/>
          <w:szCs w:val="26"/>
        </w:rPr>
        <w:t>RF-07 — Precio Dinámico / Estático</w:t>
      </w:r>
    </w:p>
    <w:p>
      <w:pPr>
        <w:spacing w:after="120"/>
      </w:pPr>
      <w:r>
        <w:rPr>
          <w:color w:val="1C2833"/>
          <w:sz w:val="22"/>
          <w:szCs w:val="22"/>
        </w:rPr>
        <w:t>Cada cotización almacenada puede ser:</w:t>
      </w:r>
    </w:p>
    <w:p>
      <w:pPr>
        <w:pStyle w:val="16"/>
        <w:numPr>
          <w:ilvl w:val="0"/>
          <w:numId w:val="2"/>
        </w:numPr>
        <w:spacing w:after="80"/>
      </w:pPr>
      <w:r>
        <w:rPr>
          <w:color w:val="1C2833"/>
          <w:sz w:val="22"/>
          <w:szCs w:val="22"/>
        </w:rPr>
        <w:t>[object Object]</w:t>
      </w:r>
    </w:p>
    <w:p>
      <w:pPr>
        <w:pStyle w:val="16"/>
        <w:numPr>
          <w:ilvl w:val="0"/>
          <w:numId w:val="2"/>
        </w:numPr>
        <w:spacing w:after="80"/>
      </w:pPr>
      <w:r>
        <w:rPr>
          <w:color w:val="1C2833"/>
          <w:sz w:val="22"/>
          <w:szCs w:val="22"/>
        </w:rPr>
        <w:t>[object Object]</w:t>
      </w:r>
    </w:p>
    <w:p>
      <w:pPr>
        <w:spacing w:after="120"/>
      </w:pPr>
      <w:r>
        <w:rPr>
          <w:color w:val="1C2833"/>
          <w:sz w:val="22"/>
          <w:szCs w:val="22"/>
        </w:rPr>
        <w:t>Este comportamiento se configura por cotización individual.</w:t>
      </w:r>
    </w:p>
    <w:p/>
    <w:p>
      <w:pPr>
        <w:pStyle w:val="4"/>
        <w:pBdr>
          <w:bottom w:val="single" w:color="1B4F8A" w:sz="4" w:space="0"/>
        </w:pBdr>
        <w:spacing w:before="200" w:after="120"/>
      </w:pPr>
      <w:r>
        <w:rPr>
          <w:b/>
          <w:bCs/>
          <w:color w:val="1B4F8A"/>
          <w:sz w:val="26"/>
          <w:szCs w:val="26"/>
        </w:rPr>
        <w:t>RF-08 — Multilenguaje</w:t>
      </w:r>
    </w:p>
    <w:p>
      <w:pPr>
        <w:spacing w:after="120"/>
      </w:pPr>
      <w:r>
        <w:rPr>
          <w:color w:val="1C2833"/>
          <w:sz w:val="22"/>
          <w:szCs w:val="22"/>
        </w:rPr>
        <w:t>La interfaz debe soportar los siguientes idiomas:</w:t>
      </w:r>
    </w:p>
    <w:p>
      <w:pPr>
        <w:pStyle w:val="16"/>
        <w:numPr>
          <w:ilvl w:val="0"/>
          <w:numId w:val="2"/>
        </w:numPr>
        <w:spacing w:after="80"/>
      </w:pPr>
      <w:r>
        <w:rPr>
          <w:color w:val="1C2833"/>
          <w:sz w:val="22"/>
          <w:szCs w:val="22"/>
        </w:rPr>
        <w:t>Español (idioma base)</w:t>
      </w:r>
    </w:p>
    <w:p>
      <w:pPr>
        <w:pStyle w:val="16"/>
        <w:numPr>
          <w:ilvl w:val="0"/>
          <w:numId w:val="2"/>
        </w:numPr>
        <w:spacing w:after="80"/>
      </w:pPr>
      <w:r>
        <w:rPr>
          <w:color w:val="1C2833"/>
          <w:sz w:val="22"/>
          <w:szCs w:val="22"/>
        </w:rPr>
        <w:t>Inglés</w:t>
      </w:r>
    </w:p>
    <w:p>
      <w:pPr>
        <w:pStyle w:val="16"/>
        <w:numPr>
          <w:ilvl w:val="0"/>
          <w:numId w:val="2"/>
        </w:numPr>
        <w:spacing w:after="80"/>
      </w:pPr>
      <w:r>
        <w:rPr>
          <w:color w:val="1C2833"/>
          <w:sz w:val="22"/>
          <w:szCs w:val="22"/>
        </w:rPr>
        <w:t>Portugués</w:t>
      </w:r>
    </w:p>
    <w:p>
      <w:pPr>
        <w:pStyle w:val="16"/>
        <w:numPr>
          <w:ilvl w:val="0"/>
          <w:numId w:val="2"/>
        </w:numPr>
        <w:spacing w:after="80"/>
      </w:pPr>
      <w:r>
        <w:rPr>
          <w:color w:val="1C2833"/>
          <w:sz w:val="22"/>
          <w:szCs w:val="22"/>
        </w:rPr>
        <w:t>Francés</w:t>
      </w:r>
    </w:p>
    <w:p>
      <w:pPr>
        <w:spacing w:after="120"/>
      </w:pPr>
      <w:r>
        <w:rPr>
          <w:color w:val="1C2833"/>
          <w:sz w:val="22"/>
          <w:szCs w:val="22"/>
        </w:rPr>
        <w:t>La selección de idioma se realiza en la pantalla de Configuración y persiste entre sesiones.</w:t>
      </w:r>
    </w:p>
    <w:p/>
    <w:p>
      <w:pPr>
        <w:pStyle w:val="4"/>
        <w:pBdr>
          <w:bottom w:val="single" w:color="1B4F8A" w:sz="4" w:space="0"/>
        </w:pBdr>
        <w:spacing w:before="200" w:after="120"/>
      </w:pPr>
      <w:r>
        <w:rPr>
          <w:b/>
          <w:bCs/>
          <w:color w:val="1B4F8A"/>
          <w:sz w:val="26"/>
          <w:szCs w:val="26"/>
        </w:rPr>
        <w:t>RF-09 — Configuración General</w:t>
      </w:r>
    </w:p>
    <w:p>
      <w:pPr>
        <w:spacing w:after="120"/>
      </w:pPr>
      <w:r>
        <w:rPr>
          <w:color w:val="1C2833"/>
          <w:sz w:val="22"/>
          <w:szCs w:val="22"/>
        </w:rPr>
        <w:t>Pantalla de configuración con las siguientes opciones:</w:t>
      </w:r>
    </w:p>
    <w:p>
      <w:pPr>
        <w:pStyle w:val="16"/>
        <w:numPr>
          <w:ilvl w:val="0"/>
          <w:numId w:val="2"/>
        </w:numPr>
        <w:spacing w:after="80"/>
      </w:pPr>
      <w:r>
        <w:rPr>
          <w:color w:val="1C2833"/>
          <w:sz w:val="22"/>
          <w:szCs w:val="22"/>
        </w:rPr>
        <w:t>Idioma de la interfaz</w:t>
      </w:r>
    </w:p>
    <w:p>
      <w:pPr>
        <w:pStyle w:val="16"/>
        <w:numPr>
          <w:ilvl w:val="0"/>
          <w:numId w:val="2"/>
        </w:numPr>
        <w:spacing w:after="80"/>
      </w:pPr>
      <w:r>
        <w:rPr>
          <w:color w:val="1C2833"/>
          <w:sz w:val="22"/>
          <w:szCs w:val="22"/>
        </w:rPr>
        <w:t>Moneda (símbolo y código: COP, USD, EUR, BRL, etc.)</w:t>
      </w:r>
    </w:p>
    <w:p>
      <w:pPr>
        <w:pStyle w:val="16"/>
        <w:numPr>
          <w:ilvl w:val="0"/>
          <w:numId w:val="2"/>
        </w:numPr>
        <w:spacing w:after="80"/>
      </w:pPr>
      <w:r>
        <w:rPr>
          <w:color w:val="1C2833"/>
          <w:sz w:val="22"/>
          <w:szCs w:val="22"/>
        </w:rPr>
        <w:t>Sistema de unidades: Internacional (SI) / Imperial (Inglés)</w:t>
      </w:r>
    </w:p>
    <w:p/>
    <w:p>
      <w:pPr>
        <w:pStyle w:val="3"/>
        <w:shd w:val="clear" w:fill="2E86C1"/>
        <w:spacing w:before="300" w:after="160"/>
        <w:ind w:left="120"/>
      </w:pPr>
      <w:r>
        <w:rPr>
          <w:b/>
          <w:bCs/>
          <w:color w:val="FFFFFF"/>
          <w:sz w:val="28"/>
          <w:szCs w:val="28"/>
        </w:rPr>
        <w:t>4.2 Requerimientos No Funcionales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RNF-01</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Todos los datos residen en base de datos SQLite local en el dispositivo. Sin sincronización en nube.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RNF-02</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Fase 1: Windows. Fase 2: Android. Fase 3 (futura): macOS, 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RNF-03</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Stack: React + TypeScript + TailwindCSS + SQLite (vía Tauri para desktop).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RNF-04</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La app debe funcionar sin conexión a internet en todo momento.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RNF-05</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La interfaz debe ser usable por personas sin conocimiento técnico ni contable.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RNF-06</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Tiempo de respuesta en cálculos menor a 1 segundo con hasta 500 insumos registrados.</w:t>
            </w:r>
          </w:p>
        </w:tc>
      </w:tr>
    </w:tbl>
    <w:p/>
    <w:p>
      <w:pPr>
        <w:pStyle w:val="3"/>
        <w:shd w:val="clear" w:fill="2E86C1"/>
        <w:spacing w:before="300" w:after="160"/>
        <w:ind w:left="120"/>
      </w:pPr>
      <w:r>
        <w:rPr>
          <w:b/>
          <w:bCs/>
          <w:color w:val="FFFFFF"/>
          <w:sz w:val="28"/>
          <w:szCs w:val="28"/>
        </w:rPr>
        <w:t>4.3 Análisis de Viabilidad Técnica</w:t>
      </w:r>
    </w:p>
    <w:p>
      <w:pPr>
        <w:spacing w:after="120"/>
      </w:pPr>
      <w:r>
        <w:rPr>
          <w:color w:val="1C2833"/>
          <w:sz w:val="22"/>
          <w:szCs w:val="22"/>
        </w:rPr>
        <w:t>Los requerimientos son técnicamente viables. A continuación se detalla el stack recomendado:</w:t>
      </w:r>
    </w:p>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Tecnología</w:t>
            </w:r>
          </w:p>
        </w:tc>
        <w:tc>
          <w:tcPr>
            <w:tcW w:w="70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Justificación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Framework UI</w:t>
            </w:r>
          </w:p>
        </w:tc>
        <w:tc>
          <w:tcPr>
            <w:tcW w:w="7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React 18 + TypeScript — ecosistema maduro, gran comunidad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Estilos</w:t>
            </w:r>
          </w:p>
        </w:tc>
        <w:tc>
          <w:tcPr>
            <w:tcW w:w="7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TailwindCSS — productividad alta, clases utilitarias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Desktop</w:t>
            </w:r>
          </w:p>
        </w:tc>
        <w:tc>
          <w:tcPr>
            <w:tcW w:w="7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Tauri 2.0 (Rust) — más liviano que Electron, soporte Windows/macOS/Linux/Android/iOS desde un solo código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Base de datos</w:t>
            </w:r>
          </w:p>
        </w:tc>
        <w:tc>
          <w:tcPr>
            <w:tcW w:w="7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SQLite vía plugin tauri-plugin-sql — funciona en todos los targets de Tauri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Internacionalización</w:t>
            </w:r>
          </w:p>
        </w:tc>
        <w:tc>
          <w:tcPr>
            <w:tcW w:w="7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i18next — estándar de la industria para React multilenguaje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State Management</w:t>
            </w:r>
          </w:p>
        </w:tc>
        <w:tc>
          <w:tcPr>
            <w:tcW w:w="7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Zustand o Context API — para manejo de estado liviano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Build / Empaquetado</w:t>
            </w:r>
          </w:p>
        </w:tc>
        <w:tc>
          <w:tcPr>
            <w:tcW w:w="7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Vite + Tauri CLI — compilación rápida y bundles optimizados</w:t>
            </w:r>
          </w:p>
        </w:tc>
      </w:tr>
    </w:tbl>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86C1" w:sz="4" w:space="0"/>
              <w:left w:val="single" w:color="E67E22" w:sz="16" w:space="0"/>
              <w:bottom w:val="single" w:color="2E86C1" w:sz="4" w:space="0"/>
              <w:right w:val="single" w:color="2E86C1" w:sz="4" w:space="0"/>
            </w:tcBorders>
            <w:shd w:val="clear" w:color="auto" w:fill="D5F5E3"/>
            <w:tcMar>
              <w:top w:w="120" w:type="dxa"/>
              <w:left w:w="200" w:type="dxa"/>
              <w:bottom w:w="120" w:type="dxa"/>
              <w:right w:w="200" w:type="dxa"/>
            </w:tcMar>
          </w:tcPr>
          <w:p>
            <w:r>
              <w:rPr>
                <w:b/>
                <w:bCs/>
                <w:color w:val="1E8449"/>
                <w:sz w:val="22"/>
                <w:szCs w:val="22"/>
              </w:rPr>
              <w:t>C-08 Aplicado — Login social eliminado (Pantalla 1)</w:t>
            </w:r>
          </w:p>
          <w:p>
            <w:pPr>
              <w:spacing w:before="60"/>
            </w:pPr>
            <w:r>
              <w:rPr>
                <w:color w:val="1C2833"/>
                <w:sz w:val="20"/>
                <w:szCs w:val="20"/>
              </w:rPr>
              <w:t>Los botones "Iniciar con Google / Facebook" del mockup han sido eliminados. La pantalla de inicio se reemplaza por un perfil local simple: el usuario ingresa su nombre y un PIN opcional al instalar la app por primera vez. No se requiere conexión a internet ni cuenta en la nube, en coherencia con el requerimiento RNF-01 de datos 100% locales.</w:t>
            </w:r>
          </w:p>
        </w:tc>
      </w:tr>
    </w:tbl>
    <w:p>
      <w:r>
        <w:br w:type="page"/>
      </w:r>
    </w:p>
    <w:p/>
    <w:p>
      <w:pPr>
        <w:pStyle w:val="2"/>
        <w:shd w:val="clear" w:fill="1B4F8A"/>
        <w:spacing w:before="400" w:after="200"/>
        <w:ind w:left="200"/>
      </w:pPr>
      <w:r>
        <w:rPr>
          <w:b/>
          <w:bCs/>
          <w:color w:val="FFFFFF"/>
          <w:sz w:val="36"/>
          <w:szCs w:val="36"/>
        </w:rPr>
        <w:t>5. Mockup de Pantallas</w:t>
      </w:r>
    </w:p>
    <w:p>
      <w:pPr>
        <w:spacing w:after="120"/>
        <w:rPr>
          <w:color w:val="1C2833"/>
          <w:sz w:val="22"/>
          <w:szCs w:val="22"/>
        </w:rPr>
      </w:pPr>
      <w:r>
        <w:rPr>
          <w:color w:val="1C2833"/>
          <w:sz w:val="22"/>
          <w:szCs w:val="22"/>
        </w:rPr>
        <w:t>A continuación se presentan los diseños de las pantallas principales de la aplicación PrecioJusto en su versión de escritorio Windows. Cada pantalla muestra la ventana completa con barra lateral de navegación, barra de título y área de contenido principal.</w:t>
      </w:r>
    </w:p>
    <w:p>
      <w:pPr>
        <w:spacing w:after="120"/>
        <w:rPr>
          <w:color w:val="1C2833"/>
          <w:sz w:val="22"/>
          <w:szCs w:val="22"/>
        </w:rPr>
      </w:pPr>
    </w:p>
    <w:p/>
    <w:p>
      <w:pPr>
        <w:spacing w:before="160" w:after="80"/>
      </w:pPr>
      <w:r>
        <w:rPr>
          <w:rFonts w:ascii="Calibri" w:hAnsi="Calibri" w:eastAsia="Calibri" w:cs="Calibri"/>
          <w:b/>
          <w:bCs/>
          <w:color w:val="1B4F8A"/>
          <w:sz w:val="24"/>
          <w:szCs w:val="24"/>
        </w:rPr>
        <w:t>Pantalla 1 — Catálogo de Insumos</w:t>
      </w:r>
    </w:p>
    <w:p>
      <w:pPr>
        <w:spacing w:after="80"/>
        <w:jc w:val="center"/>
      </w:pPr>
      <w:r>
        <w:drawing>
          <wp:inline distT="0" distB="0" distL="0" distR="0">
            <wp:extent cx="5905500" cy="351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905500" cy="3514725"/>
                    </a:xfrm>
                    <a:prstGeom prst="rect">
                      <a:avLst/>
                    </a:prstGeom>
                  </pic:spPr>
                </pic:pic>
              </a:graphicData>
            </a:graphic>
          </wp:inline>
        </w:drawing>
      </w:r>
    </w:p>
    <w:p>
      <w:pPr>
        <w:spacing w:after="200"/>
      </w:pPr>
      <w:r>
        <w:rPr>
          <w:rFonts w:ascii="Calibri" w:hAnsi="Calibri" w:eastAsia="Calibri" w:cs="Calibri"/>
          <w:i/>
          <w:iCs/>
          <w:color w:val="555555"/>
          <w:sz w:val="19"/>
          <w:szCs w:val="19"/>
        </w:rPr>
        <w:t>Vista principal del catálogo de materias primas. Muestra todas las tarjetas de insumos registrados con búsqueda en tiempo real, costos, unidades y acciones rápidas de editar/eliminar. Botón de agregar en la esquina superior derecha.</w:t>
      </w:r>
    </w:p>
    <w:p/>
    <w:p>
      <w:pPr>
        <w:spacing w:before="160" w:after="80"/>
        <w:rPr>
          <w:rFonts w:ascii="Calibri" w:hAnsi="Calibri" w:eastAsia="Calibri" w:cs="Calibri"/>
          <w:b/>
          <w:bCs/>
          <w:color w:val="1B4F8A"/>
          <w:sz w:val="24"/>
          <w:szCs w:val="24"/>
        </w:rPr>
      </w:pPr>
    </w:p>
    <w:p>
      <w:pPr>
        <w:rPr>
          <w:rFonts w:ascii="Calibri" w:hAnsi="Calibri" w:eastAsia="Calibri" w:cs="Calibri"/>
          <w:b/>
          <w:bCs/>
          <w:color w:val="1B4F8A"/>
          <w:sz w:val="24"/>
          <w:szCs w:val="24"/>
        </w:rPr>
      </w:pPr>
      <w:r>
        <w:rPr>
          <w:rFonts w:ascii="Calibri" w:hAnsi="Calibri" w:eastAsia="Calibri" w:cs="Calibri"/>
          <w:b/>
          <w:bCs/>
          <w:color w:val="1B4F8A"/>
          <w:sz w:val="24"/>
          <w:szCs w:val="24"/>
        </w:rPr>
        <w:br w:type="page"/>
      </w:r>
    </w:p>
    <w:p>
      <w:pPr>
        <w:spacing w:before="160" w:after="80"/>
      </w:pPr>
      <w:r>
        <w:rPr>
          <w:rFonts w:ascii="Calibri" w:hAnsi="Calibri" w:eastAsia="Calibri" w:cs="Calibri"/>
          <w:b/>
          <w:bCs/>
          <w:color w:val="1B4F8A"/>
          <w:sz w:val="24"/>
          <w:szCs w:val="24"/>
        </w:rPr>
        <w:t>Pantalla 2 — Formulario Agregar Insumo</w:t>
      </w:r>
    </w:p>
    <w:p>
      <w:pPr>
        <w:spacing w:after="80"/>
        <w:jc w:val="center"/>
      </w:pPr>
      <w:r>
        <w:drawing>
          <wp:inline distT="0" distB="0" distL="0" distR="0">
            <wp:extent cx="5905500" cy="351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905500" cy="3514725"/>
                    </a:xfrm>
                    <a:prstGeom prst="rect">
                      <a:avLst/>
                    </a:prstGeom>
                  </pic:spPr>
                </pic:pic>
              </a:graphicData>
            </a:graphic>
          </wp:inline>
        </w:drawing>
      </w:r>
    </w:p>
    <w:p>
      <w:pPr>
        <w:spacing w:after="200"/>
      </w:pPr>
      <w:r>
        <w:rPr>
          <w:rFonts w:ascii="Calibri" w:hAnsi="Calibri" w:eastAsia="Calibri" w:cs="Calibri"/>
          <w:i/>
          <w:iCs/>
          <w:color w:val="555555"/>
          <w:sz w:val="19"/>
          <w:szCs w:val="19"/>
        </w:rPr>
        <w:t>Modal superpuesto para registrar un nuevo insumo. Incluye campos de nombre, tipo de medida, unidad, cantidad de referencia y costo. Muestra el cálculo del precio unitario en tiempo real mientras el usuario escribe.</w:t>
      </w:r>
    </w:p>
    <w:p>
      <w:r>
        <w:br w:type="page"/>
      </w:r>
    </w:p>
    <w:p/>
    <w:p>
      <w:pPr>
        <w:spacing w:before="160" w:after="80"/>
      </w:pPr>
      <w:r>
        <w:rPr>
          <w:rFonts w:ascii="Calibri" w:hAnsi="Calibri" w:eastAsia="Calibri" w:cs="Calibri"/>
          <w:b/>
          <w:bCs/>
          <w:color w:val="1B4F8A"/>
          <w:sz w:val="24"/>
          <w:szCs w:val="24"/>
        </w:rPr>
        <w:t>Pantalla 3 — Wizard Cotización (Paso 1: Insumos)</w:t>
      </w:r>
    </w:p>
    <w:p>
      <w:pPr>
        <w:spacing w:after="80"/>
        <w:jc w:val="center"/>
      </w:pPr>
      <w:r>
        <w:drawing>
          <wp:inline distT="0" distB="0" distL="0" distR="0">
            <wp:extent cx="5905500" cy="3514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5905500" cy="3514725"/>
                    </a:xfrm>
                    <a:prstGeom prst="rect">
                      <a:avLst/>
                    </a:prstGeom>
                  </pic:spPr>
                </pic:pic>
              </a:graphicData>
            </a:graphic>
          </wp:inline>
        </w:drawing>
      </w:r>
    </w:p>
    <w:p>
      <w:pPr>
        <w:spacing w:after="200"/>
      </w:pPr>
      <w:r>
        <w:rPr>
          <w:rFonts w:ascii="Calibri" w:hAnsi="Calibri" w:eastAsia="Calibri" w:cs="Calibri"/>
          <w:i/>
          <w:iCs/>
          <w:color w:val="555555"/>
          <w:sz w:val="19"/>
          <w:szCs w:val="19"/>
        </w:rPr>
        <w:t>Primer paso del asistente de cotización. Panel izquierdo para seleccionar los insumos usados con checkbox; panel derecho para ingresar la cantidad consumida de cada uno. Subtotal calculado en tiempo real.</w:t>
      </w:r>
    </w:p>
    <w:p/>
    <w:p>
      <w:pPr>
        <w:rPr>
          <w:rFonts w:ascii="Calibri" w:hAnsi="Calibri" w:eastAsia="Calibri" w:cs="Calibri"/>
          <w:b/>
          <w:bCs/>
          <w:color w:val="1B4F8A"/>
          <w:sz w:val="24"/>
          <w:szCs w:val="24"/>
        </w:rPr>
      </w:pPr>
      <w:r>
        <w:rPr>
          <w:rFonts w:ascii="Calibri" w:hAnsi="Calibri" w:eastAsia="Calibri" w:cs="Calibri"/>
          <w:b/>
          <w:bCs/>
          <w:color w:val="1B4F8A"/>
          <w:sz w:val="24"/>
          <w:szCs w:val="24"/>
        </w:rPr>
        <w:br w:type="page"/>
      </w:r>
    </w:p>
    <w:p>
      <w:pPr>
        <w:spacing w:before="160" w:after="80"/>
      </w:pPr>
      <w:r>
        <w:rPr>
          <w:rFonts w:ascii="Calibri" w:hAnsi="Calibri" w:eastAsia="Calibri" w:cs="Calibri"/>
          <w:b/>
          <w:bCs/>
          <w:color w:val="1B4F8A"/>
          <w:sz w:val="24"/>
          <w:szCs w:val="24"/>
        </w:rPr>
        <w:t>Pantalla 4 — Wizard Cotización (Paso 5: Precio Final)</w:t>
      </w:r>
    </w:p>
    <w:p>
      <w:pPr>
        <w:spacing w:after="80"/>
        <w:jc w:val="center"/>
      </w:pPr>
      <w:r>
        <w:drawing>
          <wp:inline distT="0" distB="0" distL="0" distR="0">
            <wp:extent cx="5905500" cy="3514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905500" cy="3514725"/>
                    </a:xfrm>
                    <a:prstGeom prst="rect">
                      <a:avLst/>
                    </a:prstGeom>
                  </pic:spPr>
                </pic:pic>
              </a:graphicData>
            </a:graphic>
          </wp:inline>
        </w:drawing>
      </w:r>
    </w:p>
    <w:p>
      <w:pPr>
        <w:spacing w:after="200"/>
      </w:pPr>
      <w:r>
        <w:rPr>
          <w:rFonts w:ascii="Calibri" w:hAnsi="Calibri" w:eastAsia="Calibri" w:cs="Calibri"/>
          <w:i/>
          <w:iCs/>
          <w:color w:val="555555"/>
          <w:sz w:val="19"/>
          <w:szCs w:val="19"/>
        </w:rPr>
        <w:t>Último paso del asistente. Panel izquierdo con nombre del producto, slider de margen de ganancia y selector de tipo de precio (estático/dinámico). Panel derecho con precio de venta destacado y barras de composición del precio.</w:t>
      </w:r>
    </w:p>
    <w:p/>
    <w:p>
      <w:pPr>
        <w:rPr>
          <w:rFonts w:ascii="Calibri" w:hAnsi="Calibri" w:eastAsia="Calibri" w:cs="Calibri"/>
          <w:b/>
          <w:bCs/>
          <w:color w:val="1B4F8A"/>
          <w:sz w:val="24"/>
          <w:szCs w:val="24"/>
        </w:rPr>
      </w:pPr>
      <w:r>
        <w:rPr>
          <w:rFonts w:ascii="Calibri" w:hAnsi="Calibri" w:eastAsia="Calibri" w:cs="Calibri"/>
          <w:b/>
          <w:bCs/>
          <w:color w:val="1B4F8A"/>
          <w:sz w:val="24"/>
          <w:szCs w:val="24"/>
        </w:rPr>
        <w:br w:type="page"/>
      </w:r>
    </w:p>
    <w:p>
      <w:pPr>
        <w:spacing w:before="160" w:after="80"/>
      </w:pPr>
      <w:r>
        <w:rPr>
          <w:rFonts w:ascii="Calibri" w:hAnsi="Calibri" w:eastAsia="Calibri" w:cs="Calibri"/>
          <w:b/>
          <w:bCs/>
          <w:color w:val="1B4F8A"/>
          <w:sz w:val="24"/>
          <w:szCs w:val="24"/>
        </w:rPr>
        <w:t>Pantalla 5 — Configuración</w:t>
      </w:r>
    </w:p>
    <w:p>
      <w:pPr>
        <w:spacing w:after="80"/>
        <w:jc w:val="center"/>
      </w:pPr>
      <w:r>
        <w:drawing>
          <wp:inline distT="0" distB="0" distL="0" distR="0">
            <wp:extent cx="5905500" cy="3514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905500" cy="3514725"/>
                    </a:xfrm>
                    <a:prstGeom prst="rect">
                      <a:avLst/>
                    </a:prstGeom>
                  </pic:spPr>
                </pic:pic>
              </a:graphicData>
            </a:graphic>
          </wp:inline>
        </w:drawing>
      </w:r>
    </w:p>
    <w:p>
      <w:pPr>
        <w:spacing w:after="200"/>
      </w:pPr>
      <w:r>
        <w:rPr>
          <w:rFonts w:ascii="Calibri" w:hAnsi="Calibri" w:eastAsia="Calibri" w:cs="Calibri"/>
          <w:i/>
          <w:iCs/>
          <w:color w:val="555555"/>
          <w:sz w:val="19"/>
          <w:szCs w:val="19"/>
        </w:rPr>
        <w:t>Panel de ajustes globales: idioma (ES/EN/PT/FR), moneda local, sistema de unidades y perfil de usuario. Columna derecha con estadísticas de uso y gestión de la base de datos local.</w:t>
      </w:r>
    </w:p>
    <w:p>
      <w:r>
        <w:br w:type="page"/>
      </w:r>
    </w:p>
    <w:p/>
    <w:p>
      <w:pPr>
        <w:pStyle w:val="2"/>
        <w:shd w:val="clear" w:fill="1B4F8A"/>
        <w:spacing w:before="400" w:after="200"/>
        <w:ind w:left="200"/>
      </w:pPr>
      <w:r>
        <w:rPr>
          <w:b/>
          <w:bCs/>
          <w:color w:val="FFFFFF"/>
          <w:sz w:val="36"/>
          <w:szCs w:val="36"/>
        </w:rPr>
        <w:t>6. Diagrama de Clases</w:t>
      </w:r>
    </w:p>
    <w:p>
      <w:pPr>
        <w:pStyle w:val="3"/>
        <w:shd w:val="clear" w:fill="2E86C1"/>
        <w:spacing w:before="300" w:after="160"/>
        <w:ind w:left="120"/>
      </w:pPr>
      <w:r>
        <w:rPr>
          <w:b/>
          <w:bCs/>
          <w:color w:val="FFFFFF"/>
          <w:sz w:val="28"/>
          <w:szCs w:val="28"/>
        </w:rPr>
        <w:t>6.1 Evaluación General</w:t>
      </w:r>
    </w:p>
    <w:p>
      <w:pPr>
        <w:spacing w:after="120"/>
      </w:pPr>
      <w:r>
        <w:rPr>
          <w:color w:val="1C2833"/>
          <w:sz w:val="22"/>
          <w:szCs w:val="22"/>
        </w:rPr>
        <w:t>El diagrama original está bien conceptualizado y captura correctamente las entidades principales del dominio. Sin embargo, se identificaron los siguientes puntos a revisar:</w:t>
      </w:r>
    </w:p>
    <w:p/>
    <w:p>
      <w:pPr>
        <w:pStyle w:val="3"/>
        <w:shd w:val="clear" w:fill="2E86C1"/>
        <w:spacing w:before="300" w:after="160"/>
        <w:ind w:left="120"/>
      </w:pPr>
      <w:r>
        <w:rPr>
          <w:b/>
          <w:bCs/>
          <w:color w:val="FFFFFF"/>
          <w:sz w:val="28"/>
          <w:szCs w:val="28"/>
        </w:rPr>
        <w:t>6.2 Correcciones Aplicadas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86C1" w:sz="4" w:space="0"/>
              <w:left w:val="single" w:color="E67E22" w:sz="16" w:space="0"/>
              <w:bottom w:val="single" w:color="2E86C1" w:sz="4" w:space="0"/>
              <w:right w:val="single" w:color="2E86C1" w:sz="4" w:space="0"/>
            </w:tcBorders>
            <w:shd w:val="clear" w:color="auto" w:fill="D5F5E3"/>
            <w:tcMar>
              <w:top w:w="120" w:type="dxa"/>
              <w:left w:w="200" w:type="dxa"/>
              <w:bottom w:w="120" w:type="dxa"/>
              <w:right w:w="200" w:type="dxa"/>
            </w:tcMar>
          </w:tcPr>
          <w:p>
            <w:r>
              <w:rPr>
                <w:b/>
                <w:bCs/>
                <w:color w:val="1E8449"/>
                <w:sz w:val="22"/>
                <w:szCs w:val="22"/>
              </w:rPr>
              <w:t>✅ Cambios aprobados y aplicados</w:t>
            </w:r>
          </w:p>
          <w:p>
            <w:pPr>
              <w:spacing w:before="60"/>
            </w:pPr>
            <w:r>
              <w:rPr>
                <w:color w:val="1C2833"/>
                <w:sz w:val="20"/>
                <w:szCs w:val="20"/>
              </w:rPr>
              <w:t>Todas las correcciones listadas a continuación fueron revisadas y aceptadas por el autor del proyecto. El diagrama de clases y los requerimientos de las secciones siguientes ya reflejan estos cambios.</w:t>
            </w:r>
          </w:p>
        </w:tc>
      </w:tr>
    </w:tbl>
    <w:p/>
    <w:p/>
    <w:p/>
    <w:p/>
    <w:p/>
    <w:p>
      <w:r>
        <w:br w:type="page"/>
      </w:r>
    </w:p>
    <w:p/>
    <w:p>
      <w:pPr>
        <w:pStyle w:val="3"/>
        <w:shd w:val="clear" w:fill="2E86C1"/>
        <w:spacing w:before="300" w:after="160"/>
        <w:ind w:left="120"/>
      </w:pPr>
      <w:r>
        <w:rPr>
          <w:b/>
          <w:bCs/>
          <w:color w:val="FFFFFF"/>
          <w:sz w:val="28"/>
          <w:szCs w:val="28"/>
        </w:rPr>
        <w:t>6.3 Diagrama Visual</w:t>
      </w:r>
    </w:p>
    <w:p>
      <w:pPr>
        <w:spacing w:after="120"/>
      </w:pPr>
      <w:r>
        <w:rPr>
          <w:color w:val="1C2833"/>
          <w:sz w:val="22"/>
          <w:szCs w:val="22"/>
        </w:rPr>
        <w:t>El siguiente diagrama representa gráficamente la estructura de clases del sistema con todas las correcciones aplicadas:</w:t>
      </w:r>
    </w:p>
    <w:p/>
    <w:p>
      <w:pPr>
        <w:spacing w:after="200"/>
        <w:jc w:val="center"/>
      </w:pPr>
      <w:r>
        <w:drawing>
          <wp:inline distT="0" distB="0" distL="0" distR="0">
            <wp:extent cx="5905500" cy="424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5905500" cy="4248150"/>
                    </a:xfrm>
                    <a:prstGeom prst="rect">
                      <a:avLst/>
                    </a:prstGeom>
                  </pic:spPr>
                </pic:pic>
              </a:graphicData>
            </a:graphic>
          </wp:inline>
        </w:drawing>
      </w:r>
    </w:p>
    <w:p/>
    <w:p/>
    <w:p>
      <w:r>
        <w:br w:type="page"/>
      </w:r>
    </w:p>
    <w:p/>
    <w:p>
      <w:pPr>
        <w:pStyle w:val="3"/>
        <w:shd w:val="clear" w:fill="2E86C1"/>
        <w:spacing w:before="300" w:after="160"/>
        <w:ind w:left="120"/>
      </w:pPr>
      <w:r>
        <w:rPr>
          <w:b/>
          <w:bCs/>
          <w:color w:val="FFFFFF"/>
          <w:sz w:val="28"/>
          <w:szCs w:val="28"/>
        </w:rPr>
        <w:t>6.4 Clases del Dominio</w:t>
      </w:r>
    </w:p>
    <w:p>
      <w:pPr>
        <w:spacing w:after="120"/>
      </w:pPr>
      <w:r>
        <w:rPr>
          <w:color w:val="1C2833"/>
          <w:sz w:val="22"/>
          <w:szCs w:val="22"/>
        </w:rPr>
        <w:t>Descripción detallada de atributos y métodos de cada clase:</w:t>
      </w:r>
    </w:p>
    <w:p>
      <w:pPr>
        <w:rPr>
          <w:b/>
          <w:bCs/>
          <w:color w:val="1B4F8A"/>
          <w:sz w:val="26"/>
          <w:szCs w:val="26"/>
        </w:rPr>
      </w:pPr>
    </w:p>
    <w:p>
      <w:r>
        <w:rPr>
          <w:b/>
          <w:bCs/>
          <w:color w:val="1B4F8A"/>
          <w:sz w:val="26"/>
          <w:szCs w:val="26"/>
        </w:rPr>
        <w:t xml:space="preserve">Clase: Cotizacion </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Atributo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Tipo y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 — Identificador único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Nombre del producto o servicio cotizado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tipoPrecio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enum(DINAMICO, ESTATICO) — Comportamiento de actualización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costos</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number — Costo total calculado (readonly)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impuestosTotal</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float — Valor total de impuestos aplicados (readonly)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ganancia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float — Margen de ganancia calculado (readonly)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precioVenta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 — Precio final de venta (readonly)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fechaCreacion</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Date — Fecha de creación de la cotización</w:t>
            </w:r>
          </w:p>
        </w:tc>
      </w:tr>
    </w:tbl>
    <w:p/>
    <w:p>
      <w:pPr>
        <w:rPr>
          <w:b/>
          <w:bCs/>
          <w:color w:val="1B4F8A"/>
          <w:sz w:val="26"/>
          <w:szCs w:val="26"/>
        </w:rPr>
      </w:pPr>
      <w:r>
        <w:rPr>
          <w:b/>
          <w:bCs/>
          <w:color w:val="1B4F8A"/>
          <w:sz w:val="26"/>
          <w:szCs w:val="26"/>
        </w:rPr>
        <w:br w:type="page"/>
      </w:r>
    </w:p>
    <w:p>
      <w:pPr>
        <w:pStyle w:val="4"/>
        <w:pBdr>
          <w:bottom w:val="single" w:color="1B4F8A" w:sz="4" w:space="0"/>
        </w:pBdr>
        <w:spacing w:before="200" w:after="120"/>
      </w:pPr>
      <w:r>
        <w:rPr>
          <w:b/>
          <w:bCs/>
          <w:color w:val="1B4F8A"/>
          <w:sz w:val="26"/>
          <w:szCs w:val="26"/>
        </w:rPr>
        <w:t>Clase: Insumo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Atributo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Tipo y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 — Precio por cantidadCotizada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tipoMedida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Categoría: peso, volumen, área, unidades,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unidad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string — Unidad específica: kg, g, L, cm²,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cantidadCotizada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float — Cantidad de referencia para calcular precio unitario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cantidadConsumida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float — Cantidad real usada en el producto (en cotización)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Observación opcional</w:t>
            </w:r>
          </w:p>
        </w:tc>
      </w:tr>
    </w:tbl>
    <w:p/>
    <w:p>
      <w:pPr>
        <w:pStyle w:val="4"/>
        <w:pBdr>
          <w:bottom w:val="single" w:color="1B4F8A" w:sz="4" w:space="0"/>
        </w:pBdr>
        <w:spacing w:before="200" w:after="120"/>
      </w:pPr>
      <w:r>
        <w:rPr>
          <w:b/>
          <w:bCs/>
          <w:color w:val="1B4F8A"/>
          <w:sz w:val="26"/>
          <w:szCs w:val="26"/>
        </w:rPr>
        <w:t>Clase: Servicio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Atributo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Tipo y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 — Costo del servicio en el período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tipoMedida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tiempo, vatios, litros, valor económico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unidad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string — Unidad específica: hora, kWh, L,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cantidadCotizada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float — Cantidad de referencia del período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cantidadConsumida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float — Cantidad consumida imputable al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Observación opcional</w:t>
            </w:r>
          </w:p>
        </w:tc>
      </w:tr>
    </w:tbl>
    <w:p/>
    <w:p>
      <w:pPr>
        <w:rPr>
          <w:b/>
          <w:bCs/>
          <w:color w:val="1B4F8A"/>
          <w:sz w:val="26"/>
          <w:szCs w:val="26"/>
        </w:rPr>
      </w:pPr>
      <w:r>
        <w:rPr>
          <w:b/>
          <w:bCs/>
          <w:color w:val="1B4F8A"/>
          <w:sz w:val="26"/>
          <w:szCs w:val="26"/>
        </w:rPr>
        <w:br w:type="page"/>
      </w:r>
    </w:p>
    <w:p>
      <w:pPr>
        <w:pStyle w:val="4"/>
        <w:pBdr>
          <w:bottom w:val="single" w:color="1B4F8A" w:sz="4" w:space="0"/>
        </w:pBdr>
        <w:spacing w:before="200" w:after="120"/>
      </w:pPr>
      <w:r>
        <w:rPr>
          <w:b/>
          <w:bCs/>
          <w:color w:val="1B4F8A"/>
          <w:sz w:val="26"/>
          <w:szCs w:val="26"/>
        </w:rPr>
        <w:t>Clase: Nomina</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Atributo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Tipo y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Nombre del colaborador o 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 — Salario en el período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periodo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quincenal, mensual, semanal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tiempoCotizado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float — Horas/días totales del período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tiempoLaborado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float — Tiempo imputado a este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string? — Observación opcional</w:t>
            </w:r>
          </w:p>
        </w:tc>
      </w:tr>
    </w:tbl>
    <w:p>
      <w:pPr>
        <w:pStyle w:val="4"/>
        <w:pBdr>
          <w:bottom w:val="single" w:color="1B4F8A" w:sz="4" w:space="0"/>
        </w:pBdr>
        <w:spacing w:before="200" w:after="120"/>
      </w:pPr>
      <w:r>
        <w:rPr>
          <w:b/>
          <w:bCs/>
          <w:color w:val="1B4F8A"/>
          <w:sz w:val="26"/>
          <w:szCs w:val="26"/>
        </w:rPr>
        <w:t>Clase: Impuesto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Atributo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Tipo y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Nombre del impuesto (IVA, ICA,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tipo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enum(PORCENTAJE, FIJO) — Forma de cálculo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valor</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float — Porcentaje (0-100) o valor fijo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string? — Observación opcional</w:t>
            </w:r>
          </w:p>
        </w:tc>
      </w:tr>
    </w:tbl>
    <w:p>
      <w:pPr>
        <w:pStyle w:val="4"/>
        <w:pBdr>
          <w:bottom w:val="single" w:color="1B4F8A" w:sz="4" w:space="0"/>
        </w:pBdr>
        <w:spacing w:before="200" w:after="120"/>
      </w:pPr>
      <w:r>
        <w:rPr>
          <w:b/>
          <w:bCs/>
          <w:color w:val="1B4F8A"/>
          <w:sz w:val="26"/>
          <w:szCs w:val="26"/>
        </w:rPr>
        <w:t>Clase: Configuracion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Atributo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Tipo y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number — Siempre será 1 (singleton)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idioma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es, en, pt, fr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moneda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string — COP, USD, EUR, BRL,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simboloMoneda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string — $, €, R$,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sistemaUnidades</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enum(INTERNACIONAL, IMPERIAL)</w:t>
            </w:r>
          </w:p>
        </w:tc>
      </w:tr>
    </w:tbl>
    <w:p/>
    <w:p>
      <w:pPr>
        <w:pStyle w:val="2"/>
        <w:shd w:val="clear" w:fill="1B4F8A"/>
        <w:spacing w:before="400" w:after="200"/>
        <w:ind w:left="200"/>
      </w:pPr>
      <w:r>
        <w:rPr>
          <w:b/>
          <w:bCs/>
          <w:color w:val="FFFFFF"/>
          <w:sz w:val="36"/>
          <w:szCs w:val="36"/>
        </w:rPr>
        <w:t>7. Modelo de Entidad-Relación (Base de Datos)</w:t>
      </w:r>
    </w:p>
    <w:p>
      <w:pPr>
        <w:spacing w:after="120"/>
      </w:pPr>
      <w:r>
        <w:rPr>
          <w:color w:val="1C2833"/>
          <w:sz w:val="22"/>
          <w:szCs w:val="22"/>
        </w:rPr>
        <w:t>El siguiente diagrama muestra las tablas SQLite y sus relaciones:</w:t>
      </w:r>
    </w:p>
    <w:p/>
    <w:p>
      <w:pPr>
        <w:spacing w:after="200"/>
        <w:jc w:val="center"/>
      </w:pPr>
      <w:r>
        <w:drawing>
          <wp:inline distT="0" distB="0" distL="0" distR="0">
            <wp:extent cx="5905500" cy="4095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905500" cy="4095750"/>
                    </a:xfrm>
                    <a:prstGeom prst="rect">
                      <a:avLst/>
                    </a:prstGeom>
                  </pic:spPr>
                </pic:pic>
              </a:graphicData>
            </a:graphic>
          </wp:inline>
        </w:drawing>
      </w:r>
    </w:p>
    <w:p/>
    <w:p>
      <w:pPr>
        <w:pStyle w:val="3"/>
        <w:shd w:val="clear" w:fill="2E86C1"/>
        <w:spacing w:before="300" w:after="160"/>
        <w:ind w:left="120"/>
      </w:pPr>
      <w:r>
        <w:rPr>
          <w:b/>
          <w:bCs/>
          <w:color w:val="FFFFFF"/>
          <w:sz w:val="28"/>
          <w:szCs w:val="28"/>
        </w:rPr>
        <w:t>7.1 Descripción de las Tablas</w:t>
      </w:r>
    </w:p>
    <w:p>
      <w:pPr>
        <w:spacing w:after="120"/>
      </w:pPr>
      <w:r>
        <w:rPr>
          <w:color w:val="1C2833"/>
          <w:sz w:val="22"/>
          <w:szCs w:val="22"/>
        </w:rPr>
        <w:t>El modelo de base de datos SQLite se compone de 10 tablas principales:</w:t>
      </w:r>
    </w:p>
    <w:p/>
    <w:p>
      <w:pPr>
        <w:pStyle w:val="4"/>
        <w:pBdr>
          <w:bottom w:val="single" w:color="1B4F8A" w:sz="4" w:space="0"/>
        </w:pBdr>
        <w:spacing w:before="200" w:after="120"/>
      </w:pPr>
      <w:r>
        <w:rPr>
          <w:b/>
          <w:bCs/>
          <w:color w:val="1B4F8A"/>
          <w:sz w:val="26"/>
          <w:szCs w:val="26"/>
        </w:rPr>
        <w:t>Tabla: cotizaciones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tipo_precio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NOT NULL CHECK(tipo_precio IN ("DINAMICO","ESTATICO")) DEFAULT "ESTATICO"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costo_total</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impuestos_total</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ganancia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precio_venta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margen_ganancia_pct</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 Porcentaje de margen definido por el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fecha_creacion</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(ISO 8601)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fecha_actualizacion</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(ISO 8601)</w:t>
            </w:r>
          </w:p>
        </w:tc>
      </w:tr>
    </w:tbl>
    <w:p/>
    <w:p>
      <w:pPr>
        <w:pStyle w:val="4"/>
        <w:pBdr>
          <w:bottom w:val="single" w:color="1B4F8A" w:sz="4" w:space="0"/>
        </w:pBdr>
        <w:spacing w:before="200" w:after="120"/>
      </w:pPr>
      <w:r>
        <w:rPr>
          <w:b/>
          <w:bCs/>
          <w:color w:val="1B4F8A"/>
          <w:sz w:val="26"/>
          <w:szCs w:val="26"/>
        </w:rPr>
        <w:t>Tabla: insumos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tipo_medida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unidad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cantidad_cotizada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NOT NULL DEFAULT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activo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DEFAULT 1 (0=archivado, 1=activo)</w:t>
            </w:r>
          </w:p>
        </w:tc>
      </w:tr>
    </w:tbl>
    <w:p/>
    <w:p>
      <w:pPr>
        <w:pStyle w:val="4"/>
        <w:pBdr>
          <w:bottom w:val="single" w:color="1B4F8A" w:sz="4" w:space="0"/>
        </w:pBdr>
        <w:spacing w:before="200" w:after="120"/>
      </w:pPr>
      <w:r>
        <w:rPr>
          <w:b/>
          <w:bCs/>
          <w:color w:val="1B4F8A"/>
          <w:sz w:val="26"/>
          <w:szCs w:val="26"/>
        </w:rPr>
        <w:t>Tabla: cotizacion_insumos (tabla de unión)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cotizacion_id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NOT NULL REFERENCES cotizaciones(id)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insumo_id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NOT NULL REFERENCES insumos(id)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cantidad_consumida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costo_snapshot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 — Copia del costo en el momento de la cotización (para precios estáticos)</w:t>
            </w:r>
          </w:p>
        </w:tc>
      </w:tr>
    </w:tbl>
    <w:p/>
    <w:p>
      <w:pPr>
        <w:pStyle w:val="4"/>
        <w:pBdr>
          <w:bottom w:val="single" w:color="1B4F8A" w:sz="4" w:space="0"/>
        </w:pBdr>
        <w:spacing w:before="200" w:after="120"/>
      </w:pPr>
      <w:r>
        <w:rPr>
          <w:b/>
          <w:bCs/>
          <w:color w:val="1B4F8A"/>
          <w:sz w:val="26"/>
          <w:szCs w:val="26"/>
        </w:rPr>
        <w:t>Tabla: servicios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tipo_medida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unidad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cantidad_cotizada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NOT NULL DEFAULT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activo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DEFAULT 1</w:t>
            </w:r>
          </w:p>
        </w:tc>
      </w:tr>
    </w:tbl>
    <w:p/>
    <w:p>
      <w:pPr>
        <w:pStyle w:val="4"/>
        <w:pBdr>
          <w:bottom w:val="single" w:color="1B4F8A" w:sz="4" w:space="0"/>
        </w:pBdr>
        <w:spacing w:before="200" w:after="120"/>
      </w:pPr>
      <w:r>
        <w:rPr>
          <w:b/>
          <w:bCs/>
          <w:color w:val="1B4F8A"/>
          <w:sz w:val="26"/>
          <w:szCs w:val="26"/>
        </w:rPr>
        <w:t>Tabla: cotizacion_servicios (tabla de unión)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cotizacion_id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NOT NULL REFERENCES cotizaciones(id)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servicio_id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NOT NULL REFERENCES servicios(id)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cantidad_consumida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costo_snapshot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w:t>
            </w:r>
          </w:p>
        </w:tc>
      </w:tr>
    </w:tbl>
    <w:p/>
    <w:p>
      <w:pPr>
        <w:pStyle w:val="4"/>
        <w:pBdr>
          <w:bottom w:val="single" w:color="1B4F8A" w:sz="4" w:space="0"/>
        </w:pBdr>
        <w:spacing w:before="200" w:after="120"/>
      </w:pPr>
      <w:r>
        <w:rPr>
          <w:b/>
          <w:bCs/>
          <w:color w:val="1B4F8A"/>
          <w:sz w:val="26"/>
          <w:szCs w:val="26"/>
        </w:rPr>
        <w:t>Tabla: nomina</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periodo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tiempo_cotizado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activo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DEFAULT 1</w:t>
            </w:r>
          </w:p>
        </w:tc>
      </w:tr>
    </w:tbl>
    <w:p/>
    <w:p>
      <w:pPr>
        <w:pStyle w:val="4"/>
        <w:pBdr>
          <w:bottom w:val="single" w:color="1B4F8A" w:sz="4" w:space="0"/>
        </w:pBdr>
        <w:spacing w:before="200" w:after="120"/>
      </w:pPr>
      <w:r>
        <w:rPr>
          <w:b/>
          <w:bCs/>
          <w:color w:val="1B4F8A"/>
          <w:sz w:val="26"/>
          <w:szCs w:val="26"/>
        </w:rPr>
        <w:t>Tabla: cotizacion_nomina (tabla de unión)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cotizacion_id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NOT NULL REFERENCES cotizaciones(id)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nomina_id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NOT NULL REFERENCES nomina(id)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tiempo_laborado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NOT NULL</w:t>
            </w:r>
          </w:p>
        </w:tc>
      </w:tr>
      <w:tr>
        <w:tblPrEx>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costo_snapshot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REAL</w:t>
            </w:r>
          </w:p>
        </w:tc>
      </w:tr>
    </w:tbl>
    <w:p/>
    <w:p>
      <w:pPr>
        <w:pStyle w:val="4"/>
        <w:pBdr>
          <w:bottom w:val="single" w:color="1B4F8A" w:sz="4" w:space="0"/>
        </w:pBdr>
        <w:spacing w:before="200" w:after="120"/>
      </w:pPr>
      <w:r>
        <w:rPr>
          <w:b/>
          <w:bCs/>
          <w:color w:val="1B4F8A"/>
          <w:sz w:val="26"/>
          <w:szCs w:val="26"/>
        </w:rPr>
        <w:t>Tabla: impuestos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nombre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tipo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NOT NULL CHECK(tipo IN ("PORCENTAJE","FIJO"))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valor</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detalle</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activo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DEFAULT 1</w:t>
            </w:r>
          </w:p>
        </w:tc>
      </w:tr>
    </w:tbl>
    <w:p/>
    <w:p>
      <w:pPr>
        <w:pStyle w:val="4"/>
        <w:pBdr>
          <w:bottom w:val="single" w:color="1B4F8A" w:sz="4" w:space="0"/>
        </w:pBdr>
        <w:spacing w:before="200" w:after="120"/>
      </w:pPr>
      <w:r>
        <w:rPr>
          <w:b/>
          <w:bCs/>
          <w:color w:val="1B4F8A"/>
          <w:sz w:val="26"/>
          <w:szCs w:val="26"/>
        </w:rPr>
        <w:t>Tabla: cotizacion_impuestos (tabla de unión)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AUTOINCREMENT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cotizacion_id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INTEGER NOT NULL REFERENCES cotizaciones(id)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impuesto_id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NOT NULL REFERENCES impuestos(id)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valor_snapshot</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REAL — Valor/tasa al momento de la cotización</w:t>
            </w:r>
          </w:p>
        </w:tc>
      </w:tr>
    </w:tbl>
    <w:p/>
    <w:p>
      <w:pPr>
        <w:pStyle w:val="4"/>
        <w:pBdr>
          <w:bottom w:val="single" w:color="1B4F8A" w:sz="4" w:space="0"/>
        </w:pBdr>
        <w:spacing w:before="200" w:after="120"/>
      </w:pPr>
      <w:r>
        <w:rPr>
          <w:b/>
          <w:bCs/>
          <w:color w:val="1B4F8A"/>
          <w:sz w:val="26"/>
          <w:szCs w:val="26"/>
        </w:rPr>
        <w:t>Tabla: configuracion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Columna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INTEGER PRIMARY KEY DEFAULT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idioma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 DEFAULT "es"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moneda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NOT NULL DEFAULT "COP"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simbolo_moneda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TEXT NOT NULL DEFAULT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sistema_unidades</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TEXT NOT NULL DEFAULT "INTERNACIONAL"</w:t>
            </w:r>
          </w:p>
        </w:tc>
      </w:tr>
    </w:tbl>
    <w:p/>
    <w:p>
      <w:pPr>
        <w:pStyle w:val="3"/>
        <w:shd w:val="clear" w:fill="2E86C1"/>
        <w:spacing w:before="300" w:after="160"/>
        <w:ind w:left="120"/>
      </w:pPr>
      <w:r>
        <w:rPr>
          <w:b/>
          <w:bCs/>
          <w:color w:val="FFFFFF"/>
          <w:sz w:val="28"/>
          <w:szCs w:val="28"/>
        </w:rPr>
        <w:t>7.2 Relaciones Principales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Relación</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Cardinalidad / Notas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cotizaciones — insumos</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N:M a través de cotizacion_insumos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cotizaciones — servicios</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N:M a través de cotizacion_servicios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cotizaciones — nomina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N:M a través de cotizacion_nomina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cotizaciones — impuestos</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N:M a través de cotizacion_impuestos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configuracion</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Tabla singleton (1 sola fila, id=1)</w:t>
            </w:r>
          </w:p>
        </w:tc>
      </w:tr>
    </w:tbl>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86C1" w:sz="4" w:space="0"/>
              <w:left w:val="single" w:color="E67E22" w:sz="16" w:space="0"/>
              <w:bottom w:val="single" w:color="2E86C1" w:sz="4" w:space="0"/>
              <w:right w:val="single" w:color="2E86C1" w:sz="4" w:space="0"/>
            </w:tcBorders>
            <w:shd w:val="clear" w:color="auto" w:fill="D6EAF8"/>
            <w:tcMar>
              <w:top w:w="120" w:type="dxa"/>
              <w:left w:w="200" w:type="dxa"/>
              <w:bottom w:w="120" w:type="dxa"/>
              <w:right w:w="200" w:type="dxa"/>
            </w:tcMar>
          </w:tcPr>
          <w:p>
            <w:r>
              <w:rPr>
                <w:b/>
                <w:bCs/>
                <w:color w:val="1B4F8A"/>
                <w:sz w:val="22"/>
                <w:szCs w:val="22"/>
              </w:rPr>
              <w:t>💡 Patrón costo_snapshot</w:t>
            </w:r>
          </w:p>
          <w:p>
            <w:pPr>
              <w:spacing w:before="60"/>
            </w:pPr>
            <w:r>
              <w:rPr>
                <w:color w:val="1C2833"/>
                <w:sz w:val="20"/>
                <w:szCs w:val="20"/>
              </w:rPr>
              <w:t>Las tablas de unión incluyen una columna costo_snapshot. Esto permite que las cotizaciones de tipo ESTATICO preserven el precio al momento de su creación, aunque luego el insumo cambie de precio. Para cotizaciones DINAMICO, el costo se recalcula usando el valor actual del insumo.</w:t>
            </w:r>
          </w:p>
        </w:tc>
      </w:tr>
    </w:tbl>
    <w:p/>
    <w:p>
      <w:pPr>
        <w:pStyle w:val="2"/>
        <w:shd w:val="clear" w:fill="1B4F8A"/>
        <w:spacing w:before="400" w:after="200"/>
        <w:ind w:left="200"/>
      </w:pPr>
      <w:r>
        <w:rPr>
          <w:b/>
          <w:bCs/>
          <w:color w:val="FFFFFF"/>
          <w:sz w:val="36"/>
          <w:szCs w:val="36"/>
        </w:rPr>
        <w:t>8. Arquitectura Técnica</w:t>
      </w:r>
    </w:p>
    <w:p>
      <w:pPr>
        <w:pStyle w:val="3"/>
        <w:shd w:val="clear" w:fill="2E86C1"/>
        <w:spacing w:before="300" w:after="160"/>
        <w:ind w:left="120"/>
      </w:pPr>
      <w:r>
        <w:rPr>
          <w:b/>
          <w:bCs/>
          <w:color w:val="FFFFFF"/>
          <w:sz w:val="28"/>
          <w:szCs w:val="28"/>
        </w:rPr>
        <w:t>8.1 Stack Tecnológico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Tecnología</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Rol en el Proyecto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React 18 + TypeScript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Framework UI con tipado estático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TailwindCSS</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Sistema de estilos utilitario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Tauri 2.0 (Rust)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Framework desktop/móvil — empaquetado nativo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SQLite + tauri-plugin-sql</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Base de datos local persistente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i18next + react-i18next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Internacionalización (ES/EN/PT/FR)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Zustand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Manejo de estado global liviano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Vite</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Bundler y servidor de desarrollo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React Hook Form + Zod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Formularios y validación de datos</w:t>
            </w:r>
          </w:p>
        </w:tc>
      </w:tr>
    </w:tbl>
    <w:p/>
    <w:p>
      <w:pPr>
        <w:pStyle w:val="3"/>
        <w:shd w:val="clear" w:fill="2E86C1"/>
        <w:spacing w:before="300" w:after="160"/>
        <w:ind w:left="120"/>
      </w:pPr>
      <w:r>
        <w:rPr>
          <w:b/>
          <w:bCs/>
          <w:color w:val="FFFFFF"/>
          <w:sz w:val="28"/>
          <w:szCs w:val="28"/>
        </w:rPr>
        <w:t>8.2 Estructura de Carpetas Sugerida</w:t>
      </w:r>
    </w:p>
    <w:p>
      <w:pPr>
        <w:spacing w:after="120"/>
      </w:pPr>
      <w:r>
        <w:rPr>
          <w:color w:val="1C2833"/>
          <w:sz w:val="22"/>
          <w:szCs w:val="22"/>
        </w:rPr>
        <w:t>Organización recomendada del proyecto:</w:t>
      </w:r>
    </w:p>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C2833" w:sz="4" w:space="0"/>
              <w:left w:val="single" w:color="1C2833" w:sz="4" w:space="0"/>
              <w:bottom w:val="single" w:color="1C2833" w:sz="4" w:space="0"/>
              <w:right w:val="single" w:color="1C2833" w:sz="4" w:space="0"/>
            </w:tcBorders>
            <w:shd w:val="clear" w:color="auto" w:fill="1C2833"/>
            <w:tcMar>
              <w:top w:w="80" w:type="dxa"/>
              <w:left w:w="120" w:type="dxa"/>
              <w:bottom w:w="80" w:type="dxa"/>
              <w:right w:w="120" w:type="dxa"/>
            </w:tcMar>
          </w:tcPr>
          <w:p>
            <w:r>
              <w:rPr>
                <w:rFonts w:ascii="Courier New" w:hAnsi="Courier New" w:eastAsia="Courier New" w:cs="Courier New"/>
                <w:b/>
                <w:bCs/>
                <w:color w:val="FFFFFF"/>
                <w:sz w:val="20"/>
                <w:szCs w:val="20"/>
              </w:rPr>
              <w:t>Ruta</w:t>
            </w:r>
          </w:p>
        </w:tc>
        <w:tc>
          <w:tcPr>
            <w:tcW w:w="6000" w:type="dxa"/>
            <w:tcBorders>
              <w:top w:val="single" w:color="1C2833" w:sz="4" w:space="0"/>
              <w:left w:val="single" w:color="1C2833" w:sz="4" w:space="0"/>
              <w:bottom w:val="single" w:color="1C2833" w:sz="4" w:space="0"/>
              <w:right w:val="single" w:color="1C2833" w:sz="4" w:space="0"/>
            </w:tcBorders>
            <w:shd w:val="clear" w:color="auto" w:fill="1C2833"/>
            <w:tcMar>
              <w:top w:w="80" w:type="dxa"/>
              <w:left w:w="120" w:type="dxa"/>
              <w:bottom w:w="80" w:type="dxa"/>
              <w:right w:w="120" w:type="dxa"/>
            </w:tcMar>
          </w:tcPr>
          <w:p>
            <w:r>
              <w:rPr>
                <w:b/>
                <w:bCs/>
                <w:color w:val="FFFFFF"/>
                <w:sz w:val="20"/>
                <w:szCs w:val="20"/>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rFonts w:ascii="Courier New" w:hAnsi="Courier New" w:eastAsia="Courier New" w:cs="Courier New"/>
                <w:color w:val="4EC9B0"/>
                <w:sz w:val="18"/>
                <w:szCs w:val="18"/>
              </w:rPr>
              <w:t>src/components/</w:t>
            </w:r>
          </w:p>
        </w:tc>
        <w:tc>
          <w:tcPr>
            <w:tcW w:w="60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color w:val="D4D4D4"/>
                <w:sz w:val="18"/>
                <w:szCs w:val="18"/>
              </w:rPr>
              <w:t>Componentes React reutilizables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rFonts w:ascii="Courier New" w:hAnsi="Courier New" w:eastAsia="Courier New" w:cs="Courier New"/>
                <w:color w:val="4EC9B0"/>
                <w:sz w:val="18"/>
                <w:szCs w:val="18"/>
              </w:rPr>
              <w:t>src/pages/</w:t>
            </w:r>
          </w:p>
        </w:tc>
        <w:tc>
          <w:tcPr>
            <w:tcW w:w="60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color w:val="D4D4D4"/>
                <w:sz w:val="18"/>
                <w:szCs w:val="18"/>
              </w:rPr>
              <w:t>Páginas principales (Insumos, Servicios, Nómina,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rFonts w:ascii="Courier New" w:hAnsi="Courier New" w:eastAsia="Courier New" w:cs="Courier New"/>
                <w:color w:val="4EC9B0"/>
                <w:sz w:val="18"/>
                <w:szCs w:val="18"/>
              </w:rPr>
              <w:t>src/pages/cotizacion/</w:t>
            </w:r>
          </w:p>
        </w:tc>
        <w:tc>
          <w:tcPr>
            <w:tcW w:w="60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color w:val="D4D4D4"/>
                <w:sz w:val="18"/>
                <w:szCs w:val="18"/>
              </w:rPr>
              <w:t>Wizard de cotización (5 pasos)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rFonts w:ascii="Courier New" w:hAnsi="Courier New" w:eastAsia="Courier New" w:cs="Courier New"/>
                <w:color w:val="4EC9B0"/>
                <w:sz w:val="18"/>
                <w:szCs w:val="18"/>
              </w:rPr>
              <w:t>src/db/</w:t>
            </w:r>
          </w:p>
        </w:tc>
        <w:tc>
          <w:tcPr>
            <w:tcW w:w="60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color w:val="D4D4D4"/>
                <w:sz w:val="18"/>
                <w:szCs w:val="18"/>
              </w:rPr>
              <w:t>Módulo de acceso a SQLite (queries, migrations)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rFonts w:ascii="Courier New" w:hAnsi="Courier New" w:eastAsia="Courier New" w:cs="Courier New"/>
                <w:color w:val="4EC9B0"/>
                <w:sz w:val="18"/>
                <w:szCs w:val="18"/>
              </w:rPr>
              <w:t>src/store/</w:t>
            </w:r>
          </w:p>
        </w:tc>
        <w:tc>
          <w:tcPr>
            <w:tcW w:w="60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color w:val="D4D4D4"/>
                <w:sz w:val="18"/>
                <w:szCs w:val="18"/>
              </w:rPr>
              <w:t>Stores de Zustand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rFonts w:ascii="Courier New" w:hAnsi="Courier New" w:eastAsia="Courier New" w:cs="Courier New"/>
                <w:color w:val="4EC9B0"/>
                <w:sz w:val="18"/>
                <w:szCs w:val="18"/>
              </w:rPr>
              <w:t>src/i18n/</w:t>
            </w:r>
          </w:p>
        </w:tc>
        <w:tc>
          <w:tcPr>
            <w:tcW w:w="60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color w:val="D4D4D4"/>
                <w:sz w:val="18"/>
                <w:szCs w:val="18"/>
              </w:rPr>
              <w:t>Archivos de traducción JSON (es, en, pt, fr)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rFonts w:ascii="Courier New" w:hAnsi="Courier New" w:eastAsia="Courier New" w:cs="Courier New"/>
                <w:color w:val="4EC9B0"/>
                <w:sz w:val="18"/>
                <w:szCs w:val="18"/>
              </w:rPr>
              <w:t>src/types/</w:t>
            </w:r>
          </w:p>
        </w:tc>
        <w:tc>
          <w:tcPr>
            <w:tcW w:w="60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color w:val="D4D4D4"/>
                <w:sz w:val="18"/>
                <w:szCs w:val="18"/>
              </w:rPr>
              <w:t>Tipos TypeScript del dominio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rFonts w:ascii="Courier New" w:hAnsi="Courier New" w:eastAsia="Courier New" w:cs="Courier New"/>
                <w:color w:val="4EC9B0"/>
                <w:sz w:val="18"/>
                <w:szCs w:val="18"/>
              </w:rPr>
              <w:t>src/utils/</w:t>
            </w:r>
          </w:p>
        </w:tc>
        <w:tc>
          <w:tcPr>
            <w:tcW w:w="6000" w:type="dxa"/>
            <w:tcBorders>
              <w:top w:val="single" w:color="333333" w:sz="4" w:space="0"/>
              <w:left w:val="single" w:color="333333" w:sz="4" w:space="0"/>
              <w:bottom w:val="single" w:color="333333" w:sz="4" w:space="0"/>
              <w:right w:val="single" w:color="333333" w:sz="4" w:space="0"/>
            </w:tcBorders>
            <w:shd w:val="clear" w:color="auto" w:fill="252D32"/>
            <w:tcMar>
              <w:top w:w="60" w:type="dxa"/>
              <w:left w:w="120" w:type="dxa"/>
              <w:bottom w:w="60" w:type="dxa"/>
              <w:right w:w="120" w:type="dxa"/>
            </w:tcMar>
          </w:tcPr>
          <w:p>
            <w:r>
              <w:rPr>
                <w:color w:val="D4D4D4"/>
                <w:sz w:val="18"/>
                <w:szCs w:val="18"/>
              </w:rPr>
              <w:t>Funciones de cálculo y helpers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rFonts w:ascii="Courier New" w:hAnsi="Courier New" w:eastAsia="Courier New" w:cs="Courier New"/>
                <w:color w:val="4EC9B0"/>
                <w:sz w:val="18"/>
                <w:szCs w:val="18"/>
              </w:rPr>
              <w:t>src-tauri/</w:t>
            </w:r>
          </w:p>
        </w:tc>
        <w:tc>
          <w:tcPr>
            <w:tcW w:w="6000" w:type="dxa"/>
            <w:tcBorders>
              <w:top w:val="single" w:color="333333" w:sz="4" w:space="0"/>
              <w:left w:val="single" w:color="333333" w:sz="4" w:space="0"/>
              <w:bottom w:val="single" w:color="333333" w:sz="4" w:space="0"/>
              <w:right w:val="single" w:color="333333" w:sz="4" w:space="0"/>
            </w:tcBorders>
            <w:shd w:val="clear" w:color="auto" w:fill="1E2428"/>
            <w:tcMar>
              <w:top w:w="60" w:type="dxa"/>
              <w:left w:w="120" w:type="dxa"/>
              <w:bottom w:w="60" w:type="dxa"/>
              <w:right w:w="120" w:type="dxa"/>
            </w:tcMar>
          </w:tcPr>
          <w:p>
            <w:r>
              <w:rPr>
                <w:color w:val="D4D4D4"/>
                <w:sz w:val="18"/>
                <w:szCs w:val="18"/>
              </w:rPr>
              <w:t>Backend Rust (configuración Tauri, permisos)</w:t>
            </w:r>
          </w:p>
        </w:tc>
      </w:tr>
    </w:tbl>
    <w:p/>
    <w:p>
      <w:pPr>
        <w:pStyle w:val="3"/>
        <w:shd w:val="clear" w:fill="2E86C1"/>
        <w:spacing w:before="300" w:after="160"/>
        <w:ind w:left="120"/>
      </w:pPr>
      <w:r>
        <w:rPr>
          <w:b/>
          <w:bCs/>
          <w:color w:val="FFFFFF"/>
          <w:sz w:val="28"/>
          <w:szCs w:val="28"/>
        </w:rPr>
        <w:t>8.3 Hoja de Ruta por Fases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Fase</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Alcance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Fase 1 (MVP)</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App Windows: CRUD insumos/servicios/nómina/impuestos + Wizard cotización + Cálculo precio + Precio estático. Idioma: Español.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Fase 2</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Multilenguaje (EN, PT, FR) + Precio dinámico + Gráficas de costos + Exportar cotización a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Fase 3</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Android (Tauri mobile) + sincronización opcional en nube + Historial de cotizaciones.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Fase 4</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macOS + iOS + marketplace / tienda en app stores.</w:t>
            </w:r>
          </w:p>
        </w:tc>
      </w:tr>
    </w:tbl>
    <w:p/>
    <w:p>
      <w:pPr>
        <w:pStyle w:val="2"/>
        <w:shd w:val="clear" w:fill="1B4F8A"/>
        <w:spacing w:before="400" w:after="200"/>
        <w:ind w:left="200"/>
      </w:pPr>
      <w:r>
        <w:rPr>
          <w:b/>
          <w:bCs/>
          <w:color w:val="FFFFFF"/>
          <w:sz w:val="36"/>
          <w:szCs w:val="36"/>
        </w:rPr>
        <w:t>9. Diccionario de Términos</w:t>
      </w:r>
    </w:p>
    <w:p>
      <w:pPr>
        <w:spacing w:after="120"/>
      </w:pPr>
      <w:r>
        <w:rPr>
          <w:color w:val="1C2833"/>
          <w:sz w:val="22"/>
          <w:szCs w:val="22"/>
        </w:rPr>
        <w:t>Este glosario unifica la terminología del proyecto para garantizar que todos los documentos, el código y las conversaciones usen el mismo vocabulario.</w:t>
      </w:r>
    </w:p>
    <w:p/>
    <w:p>
      <w:pPr>
        <w:pStyle w:val="3"/>
        <w:shd w:val="clear" w:fill="2E86C1"/>
        <w:spacing w:before="300" w:after="160"/>
        <w:ind w:left="120"/>
      </w:pPr>
      <w:r>
        <w:rPr>
          <w:b/>
          <w:bCs/>
          <w:color w:val="FFFFFF"/>
          <w:sz w:val="28"/>
          <w:szCs w:val="28"/>
        </w:rPr>
        <w:t>9.1 Entidades del Dominio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500"/>
        <w:gridCol w:w="1500"/>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Nombre en UI</w:t>
            </w:r>
          </w:p>
        </w:tc>
        <w:tc>
          <w:tcPr>
            <w:tcW w:w="1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Nombre en Código</w:t>
            </w:r>
          </w:p>
        </w:tc>
        <w:tc>
          <w:tcPr>
            <w:tcW w:w="15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Tabla en BD</w:t>
            </w:r>
          </w:p>
        </w:tc>
        <w:tc>
          <w:tcPr>
            <w:tcW w:w="15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Inglés</w:t>
            </w:r>
          </w:p>
        </w:tc>
        <w:tc>
          <w:tcPr>
            <w:tcW w:w="30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80" w:type="dxa"/>
              <w:bottom w:w="100" w:type="dxa"/>
              <w:right w:w="80" w:type="dxa"/>
            </w:tcMar>
          </w:tcPr>
          <w:p>
            <w:r>
              <w:rPr>
                <w:b/>
                <w:bCs/>
                <w:color w:val="FFFFFF"/>
                <w:sz w:val="18"/>
                <w:szCs w:val="18"/>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Cotización</w:t>
            </w:r>
          </w:p>
        </w:tc>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Cotizacion</w:t>
            </w:r>
          </w:p>
        </w:tc>
        <w:tc>
          <w:tcPr>
            <w:tcW w:w="15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cotizaciones</w:t>
            </w:r>
          </w:p>
        </w:tc>
        <w:tc>
          <w:tcPr>
            <w:tcW w:w="15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Quote / Estimate</w:t>
            </w:r>
          </w:p>
        </w:tc>
        <w:tc>
          <w:tcPr>
            <w:tcW w:w="3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Cálculo completo del precio de venta de un producto. Contiene insumos, servicios, nómina, impuestos y margen.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Insumo</w:t>
            </w:r>
          </w:p>
        </w:tc>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Insumo</w:t>
            </w:r>
          </w:p>
        </w:tc>
        <w:tc>
          <w:tcPr>
            <w:tcW w:w="15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insumos</w:t>
            </w:r>
          </w:p>
        </w:tc>
        <w:tc>
          <w:tcPr>
            <w:tcW w:w="15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Ingredient / Supply</w:t>
            </w:r>
          </w:p>
        </w:tc>
        <w:tc>
          <w:tcPr>
            <w:tcW w:w="3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Materia prima o material usado en la fabricación del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Servicio</w:t>
            </w:r>
          </w:p>
        </w:tc>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Servicio</w:t>
            </w:r>
          </w:p>
        </w:tc>
        <w:tc>
          <w:tcPr>
            <w:tcW w:w="15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servicios</w:t>
            </w:r>
          </w:p>
        </w:tc>
        <w:tc>
          <w:tcPr>
            <w:tcW w:w="15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Utility / Service</w:t>
            </w:r>
          </w:p>
        </w:tc>
        <w:tc>
          <w:tcPr>
            <w:tcW w:w="3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Costo de servicio público o externo (energía, agua, gas, internet) que se imputa parcialmente al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Nómina</w:t>
            </w:r>
          </w:p>
        </w:tc>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Nomina</w:t>
            </w:r>
          </w:p>
        </w:tc>
        <w:tc>
          <w:tcPr>
            <w:tcW w:w="15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nomina</w:t>
            </w:r>
          </w:p>
        </w:tc>
        <w:tc>
          <w:tcPr>
            <w:tcW w:w="15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Payroll / Labor</w:t>
            </w:r>
          </w:p>
        </w:tc>
        <w:tc>
          <w:tcPr>
            <w:tcW w:w="3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Costo de mano de obra de un colaborador, distribuido proporcionalmente en el tiempo laborado por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Impuesto</w:t>
            </w:r>
          </w:p>
        </w:tc>
        <w:tc>
          <w:tcPr>
            <w:tcW w:w="1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Impuesto</w:t>
            </w:r>
          </w:p>
        </w:tc>
        <w:tc>
          <w:tcPr>
            <w:tcW w:w="15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impuestos</w:t>
            </w:r>
          </w:p>
        </w:tc>
        <w:tc>
          <w:tcPr>
            <w:tcW w:w="15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Tax</w:t>
            </w:r>
          </w:p>
        </w:tc>
        <w:tc>
          <w:tcPr>
            <w:tcW w:w="30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80" w:type="dxa"/>
              <w:bottom w:w="80" w:type="dxa"/>
              <w:right w:w="80" w:type="dxa"/>
            </w:tcMar>
          </w:tcPr>
          <w:p>
            <w:r>
              <w:rPr>
                <w:color w:val="1C2833"/>
                <w:sz w:val="18"/>
                <w:szCs w:val="18"/>
              </w:rPr>
              <w:t>Tributo legal aplicado al precio de venta, ya sea como porcentaje o valor fijo.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Configuración</w:t>
            </w:r>
          </w:p>
        </w:tc>
        <w:tc>
          <w:tcPr>
            <w:tcW w:w="1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Configuracion</w:t>
            </w:r>
          </w:p>
        </w:tc>
        <w:tc>
          <w:tcPr>
            <w:tcW w:w="15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configuracion</w:t>
            </w:r>
          </w:p>
        </w:tc>
        <w:tc>
          <w:tcPr>
            <w:tcW w:w="15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Settings</w:t>
            </w:r>
          </w:p>
        </w:tc>
        <w:tc>
          <w:tcPr>
            <w:tcW w:w="30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80" w:type="dxa"/>
              <w:bottom w:w="80" w:type="dxa"/>
              <w:right w:w="80" w:type="dxa"/>
            </w:tcMar>
          </w:tcPr>
          <w:p>
            <w:r>
              <w:rPr>
                <w:color w:val="1C2833"/>
                <w:sz w:val="18"/>
                <w:szCs w:val="18"/>
              </w:rPr>
              <w:t>Parámetros globales de la aplicación: idioma, moneda y sistema de unidades.</w:t>
            </w:r>
          </w:p>
        </w:tc>
      </w:tr>
    </w:tbl>
    <w:p/>
    <w:p>
      <w:pPr>
        <w:pStyle w:val="3"/>
        <w:shd w:val="clear" w:fill="2E86C1"/>
        <w:spacing w:before="300" w:after="160"/>
        <w:ind w:left="120"/>
      </w:pPr>
      <w:r>
        <w:rPr>
          <w:b/>
          <w:bCs/>
          <w:color w:val="FFFFFF"/>
          <w:sz w:val="28"/>
          <w:szCs w:val="28"/>
        </w:rPr>
        <w:t>9.2 Conceptos Clave de Cálculo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Término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Cantidad Cotizada (cantidadCotizada)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Cantidad de referencia base registrada en el catálogo de un insumo o servicio. Se usa para calcular el precio por unidad. Ejemplo: "1 kg de azúcar a $4.000" → cantidadCotizada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 Consumida (cantidadConsumida)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Cantidad real del insumo o servicio utilizada para fabricar el producto cotizado. Ejemplo: para un kilo de pan se consumen 0.3 kg de azúcar → cantidadConsumida = 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Tiempo Cotizado (tiempoCotizado)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Horas o días totales del período de pago de la nómina. Permite calcular el costo por hora/día.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Tiempo Laborado (tiempoLaborado)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Horas o días que el colaborador dedicó específicamente a la fabricación del producto cotizado.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Precio Estático (ESTATICO)</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Precio de venta fijo al momento de la creación. No se modifica aunque cambien los costos de los insumos.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Precio Dinámico (DINAMICO)</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Precio de venta que se recalcula automáticamente cuando cambian los precios de los insumos asociados a esa cotización.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Margen de Ganancia</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Porcentaje que se suma al costo total del producto para obtener la ganancia. Fórmula: Ganancia = Costo Total × (margen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Precio de Venta</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Valor final que el emprendedor cobra al cliente. Fórmula: Precio Venta = Costo Total + Impuestos + Ganancia.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Costo Snapshot (costo_snapshot)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Copia del precio del insumo/servicio en el momento de crear la cotización. Usado para mantener intactos los precios estáticos.</w:t>
            </w:r>
          </w:p>
        </w:tc>
      </w:tr>
    </w:tbl>
    <w:p/>
    <w:p>
      <w:pPr>
        <w:pStyle w:val="3"/>
        <w:shd w:val="clear" w:fill="2E86C1"/>
        <w:spacing w:before="300" w:after="160"/>
        <w:ind w:left="120"/>
      </w:pPr>
      <w:r>
        <w:rPr>
          <w:b/>
          <w:bCs/>
          <w:color w:val="FFFFFF"/>
          <w:sz w:val="28"/>
          <w:szCs w:val="28"/>
        </w:rPr>
        <w:t>9.3 Términos Técnicos del Stack</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Término</w:t>
            </w:r>
          </w:p>
        </w:tc>
        <w:tc>
          <w:tcPr>
            <w:tcW w:w="4600" w:type="dxa"/>
            <w:tcBorders>
              <w:top w:val="single" w:color="BFC9CA" w:sz="4" w:space="0"/>
              <w:left w:val="single" w:color="BFC9CA" w:sz="4" w:space="0"/>
              <w:bottom w:val="single" w:color="BFC9CA" w:sz="4" w:space="0"/>
              <w:right w:val="single" w:color="BFC9CA" w:sz="4" w:space="0"/>
            </w:tcBorders>
            <w:shd w:val="clear" w:color="auto" w:fill="1B4F8A"/>
            <w:tcMar>
              <w:top w:w="100" w:type="dxa"/>
              <w:left w:w="120" w:type="dxa"/>
              <w:bottom w:w="100" w:type="dxa"/>
              <w:right w:w="120" w:type="dxa"/>
            </w:tcMar>
          </w:tcPr>
          <w:p>
            <w:r>
              <w:rPr>
                <w:b/>
                <w:bCs/>
                <w:color w:val="FFFFFF"/>
                <w:sz w:val="20"/>
                <w:szCs w:val="20"/>
              </w:rPr>
              <w:t>Definición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Tauri</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Framework de código abierto para construir aplicaciones de escritorio y móvil usando tecnologías web (React, HTML, CSS, JS) con un backend en Rust. Alternativa a Electron, más liviana.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SQLite</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Motor de base de datos relacional que vive en un único archivo local en el dispositivo. No requiere servidor.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i18next</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Librería estándar de internacionalización para React. Gestiona los textos en múltiples idiomas mediante archivos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Zustand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Librería para manejo de estado global en React. Similar a Redux pero mucho más simple.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Wizard</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Flujo de interfaz dividido en pasos secuenciales, guiando al usuario a completar una tarea compleja paso a paso.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CRUD</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Acrónimo de Create, Read, Update, Delete. Las cuatro operaciones básicas de gestión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Singleton</w:t>
            </w:r>
          </w:p>
        </w:tc>
        <w:tc>
          <w:tcPr>
            <w:tcW w:w="4600" w:type="dxa"/>
            <w:tcBorders>
              <w:top w:val="single" w:color="BFC9CA" w:sz="4" w:space="0"/>
              <w:left w:val="single" w:color="BFC9CA" w:sz="4" w:space="0"/>
              <w:bottom w:val="single" w:color="BFC9CA" w:sz="4" w:space="0"/>
              <w:right w:val="single" w:color="BFC9CA" w:sz="4" w:space="0"/>
            </w:tcBorders>
            <w:shd w:val="clear" w:color="auto" w:fill="FFFFFF"/>
            <w:tcMar>
              <w:top w:w="80" w:type="dxa"/>
              <w:left w:w="120" w:type="dxa"/>
              <w:bottom w:w="80" w:type="dxa"/>
              <w:right w:w="120" w:type="dxa"/>
            </w:tcMar>
          </w:tcPr>
          <w:p>
            <w:r>
              <w:rPr>
                <w:color w:val="1C2833"/>
                <w:sz w:val="20"/>
                <w:szCs w:val="20"/>
              </w:rPr>
              <w:t>Patrón de diseño donde solo existe una instancia de una entidad. La tabla configuracion usa este patrón (siempre tiene id=1).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Migration</w:t>
            </w:r>
          </w:p>
        </w:tc>
        <w:tc>
          <w:tcPr>
            <w:tcW w:w="4600" w:type="dxa"/>
            <w:tcBorders>
              <w:top w:val="single" w:color="BFC9CA" w:sz="4" w:space="0"/>
              <w:left w:val="single" w:color="BFC9CA" w:sz="4" w:space="0"/>
              <w:bottom w:val="single" w:color="BFC9CA" w:sz="4" w:space="0"/>
              <w:right w:val="single" w:color="BFC9CA" w:sz="4" w:space="0"/>
            </w:tcBorders>
            <w:shd w:val="clear" w:color="auto" w:fill="F2F3F4"/>
            <w:tcMar>
              <w:top w:w="80" w:type="dxa"/>
              <w:left w:w="120" w:type="dxa"/>
              <w:bottom w:w="80" w:type="dxa"/>
              <w:right w:w="120" w:type="dxa"/>
            </w:tcMar>
          </w:tcPr>
          <w:p>
            <w:r>
              <w:rPr>
                <w:color w:val="1C2833"/>
                <w:sz w:val="20"/>
                <w:szCs w:val="20"/>
              </w:rPr>
              <w:t>Script SQL que define o modifica la estructura de la base de datos. Permite actualizar el esquema de forma controlada.</w:t>
            </w:r>
          </w:p>
        </w:tc>
      </w:tr>
    </w:tbl>
    <w:p/>
    <w:p>
      <w:pPr>
        <w:pStyle w:val="2"/>
        <w:shd w:val="clear" w:fill="1B4F8A"/>
        <w:spacing w:before="400" w:after="200"/>
        <w:ind w:left="200"/>
      </w:pPr>
      <w:r>
        <w:rPr>
          <w:b/>
          <w:bCs/>
          <w:color w:val="FFFFFF"/>
          <w:sz w:val="36"/>
          <w:szCs w:val="36"/>
        </w:rPr>
        <w:t>10. Próximos Pasos</w:t>
      </w:r>
    </w:p>
    <w:p>
      <w:pPr>
        <w:pStyle w:val="16"/>
        <w:numPr>
          <w:ilvl w:val="0"/>
          <w:numId w:val="1"/>
        </w:numPr>
        <w:spacing w:after="80"/>
      </w:pPr>
      <w:r>
        <w:rPr>
          <w:color w:val="1C2833"/>
          <w:sz w:val="22"/>
          <w:szCs w:val="22"/>
        </w:rPr>
        <w:t>Crear el repositorio de código con la estructura de carpetas definida en la sección 6.2.</w:t>
      </w:r>
    </w:p>
    <w:p>
      <w:pPr>
        <w:pStyle w:val="16"/>
        <w:numPr>
          <w:ilvl w:val="0"/>
          <w:numId w:val="1"/>
        </w:numPr>
        <w:spacing w:after="80"/>
      </w:pPr>
      <w:r>
        <w:rPr>
          <w:color w:val="1C2833"/>
          <w:sz w:val="22"/>
          <w:szCs w:val="22"/>
        </w:rPr>
        <w:t>Configurar el proyecto base: Tauri 2.0 + React + TypeScript + TailwindCSS + Vite.</w:t>
      </w:r>
    </w:p>
    <w:p>
      <w:pPr>
        <w:pStyle w:val="16"/>
        <w:numPr>
          <w:ilvl w:val="0"/>
          <w:numId w:val="1"/>
        </w:numPr>
        <w:spacing w:after="80"/>
      </w:pPr>
      <w:r>
        <w:rPr>
          <w:color w:val="1C2833"/>
          <w:sz w:val="22"/>
          <w:szCs w:val="22"/>
        </w:rPr>
        <w:t>Implementar el esquema de base de datos SQLite con las 10 tablas del modelo ER.</w:t>
      </w:r>
    </w:p>
    <w:p>
      <w:pPr>
        <w:pStyle w:val="16"/>
        <w:numPr>
          <w:ilvl w:val="0"/>
          <w:numId w:val="1"/>
        </w:numPr>
        <w:spacing w:after="80"/>
      </w:pPr>
      <w:r>
        <w:rPr>
          <w:color w:val="1C2833"/>
          <w:sz w:val="22"/>
          <w:szCs w:val="22"/>
        </w:rPr>
        <w:t>Desarrollar el módulo de Configuración (idioma, moneda, unidades) como primer módulo base.</w:t>
      </w:r>
    </w:p>
    <w:p>
      <w:pPr>
        <w:pStyle w:val="16"/>
        <w:numPr>
          <w:ilvl w:val="0"/>
          <w:numId w:val="1"/>
        </w:numPr>
        <w:spacing w:after="80"/>
      </w:pPr>
      <w:r>
        <w:rPr>
          <w:color w:val="1C2833"/>
          <w:sz w:val="22"/>
          <w:szCs w:val="22"/>
        </w:rPr>
        <w:t>Desarrollar los 4 CRUD del catálogo: Insumos, Servicios, Nómina, Impuestos.</w:t>
      </w:r>
    </w:p>
    <w:p>
      <w:pPr>
        <w:pStyle w:val="16"/>
        <w:numPr>
          <w:ilvl w:val="0"/>
          <w:numId w:val="1"/>
        </w:numPr>
        <w:spacing w:after="80"/>
      </w:pPr>
      <w:r>
        <w:rPr>
          <w:color w:val="1C2833"/>
          <w:sz w:val="22"/>
          <w:szCs w:val="22"/>
        </w:rPr>
        <w:t>Implementar el Wizard de Cotización (5 pasos) y la lógica de cálculo de precio.</w:t>
      </w:r>
    </w:p>
    <w:p>
      <w:pPr>
        <w:pStyle w:val="16"/>
        <w:numPr>
          <w:ilvl w:val="0"/>
          <w:numId w:val="1"/>
        </w:numPr>
        <w:spacing w:after="80"/>
      </w:pPr>
      <w:r>
        <w:rPr>
          <w:color w:val="1C2833"/>
          <w:sz w:val="22"/>
          <w:szCs w:val="22"/>
        </w:rPr>
        <w:t>Pruebas del MVP en Windows y empaquetado del instalador .exe.</w:t>
      </w:r>
    </w:p>
    <w:p>
      <w:pPr>
        <w:pStyle w:val="16"/>
        <w:numPr>
          <w:ilvl w:val="0"/>
          <w:numId w:val="1"/>
        </w:numPr>
        <w:spacing w:after="80"/>
      </w:pPr>
      <w:r>
        <w:rPr>
          <w:color w:val="1C2833"/>
          <w:sz w:val="22"/>
          <w:szCs w:val="22"/>
        </w:rPr>
        <w:t>Publicar en Gumroad o Lemon Squeezy como app de pago único para comenzar a monetizar.</w:t>
      </w:r>
    </w:p>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86C1" w:sz="4" w:space="0"/>
              <w:left w:val="single" w:color="E67E22" w:sz="16" w:space="0"/>
              <w:bottom w:val="single" w:color="2E86C1" w:sz="4" w:space="0"/>
              <w:right w:val="single" w:color="2E86C1" w:sz="4" w:space="0"/>
            </w:tcBorders>
            <w:shd w:val="clear" w:color="auto" w:fill="D5F5E3"/>
            <w:tcMar>
              <w:top w:w="120" w:type="dxa"/>
              <w:left w:w="200" w:type="dxa"/>
              <w:bottom w:w="120" w:type="dxa"/>
              <w:right w:w="200" w:type="dxa"/>
            </w:tcMar>
          </w:tcPr>
          <w:p>
            <w:r>
              <w:rPr>
                <w:b/>
                <w:bCs/>
                <w:color w:val="1E8449"/>
                <w:sz w:val="22"/>
                <w:szCs w:val="22"/>
              </w:rPr>
              <w:t>🚀 Recomendación para monetizar</w:t>
            </w:r>
          </w:p>
          <w:p>
            <w:pPr>
              <w:spacing w:before="60"/>
            </w:pPr>
            <w:r>
              <w:rPr>
                <w:color w:val="1C2833"/>
                <w:sz w:val="20"/>
                <w:szCs w:val="20"/>
              </w:rPr>
              <w:t>Para generar ingresos adicionales con esta app sin cambiar de profesión, se sugiere publicarla en Gumroad o Lemon Squeezy como app de pago único (~$5-15 USD). El mercado de emprendedores en Latinoamérica es sensible al precio y una app offline de precio justo tiene alta demanda. La construcción puede hacerse en ~8-12 semanas parte-tiempo.</w:t>
            </w:r>
          </w:p>
        </w:tc>
      </w:tr>
    </w:tbl>
    <w:p/>
    <w:sectPr>
      <w:headerReference r:id="rId4" w:type="default"/>
      <w:footerReference r:id="rId5" w:type="default"/>
      <w:pgSz w:w="12240" w:h="15840"/>
      <w:pgMar w:top="1440" w:right="1200" w:bottom="144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微软雅黑"/>
    <w:panose1 w:val="02010600030101010101"/>
    <w:charset w:val="00"/>
    <w:family w:val="auto"/>
    <w:pitch w:val="default"/>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Font Awesome 7 Free">
    <w:panose1 w:val="02000503000000000000"/>
    <w:charset w:val="00"/>
    <w:family w:val="auto"/>
    <w:pitch w:val="default"/>
    <w:sig w:usb0="80000001"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C9CA" w:sz="4" w:space="0"/>
      </w:pBdr>
      <w:spacing w:before="80"/>
      <w:jc w:val="center"/>
    </w:pPr>
    <w:r>
      <w:rPr>
        <w:color w:val="BFC9CA"/>
        <w:sz w:val="16"/>
        <w:szCs w:val="16"/>
      </w:rPr>
      <w:t xml:space="preserve">Confidencial  ·  PrecioJusto App </w:t>
    </w:r>
    <w:r>
      <w:rPr>
        <w:color w:val="1B4F8A"/>
        <w:sz w:val="16"/>
        <w:szCs w:val="16"/>
      </w:rPr>
      <w:fldChar w:fldCharType="begin"/>
    </w:r>
    <w:r>
      <w:rPr>
        <w:color w:val="1B4F8A"/>
        <w:sz w:val="16"/>
        <w:szCs w:val="16"/>
      </w:rPr>
      <w:instrText xml:space="preserve">PAGE</w:instrText>
    </w:r>
    <w:r>
      <w:rPr>
        <w:color w:val="1B4F8A"/>
        <w:sz w:val="16"/>
        <w:szCs w:val="16"/>
      </w:rPr>
      <w:fldChar w:fldCharType="separate"/>
    </w:r>
    <w:r>
      <w:rPr>
        <w:color w:val="1B4F8A"/>
        <w:sz w:val="16"/>
        <w:szCs w:val="16"/>
      </w:rPr>
      <w:fldChar w:fldCharType="end"/>
    </w:r>
    <w:r>
      <w:rPr>
        <w:color w:val="BFC9CA"/>
        <w:sz w:val="16"/>
        <w:szCs w:val="16"/>
      </w:rPr>
      <w:t xml:space="preserve"> / </w:t>
    </w:r>
    <w:r>
      <w:rPr>
        <w:color w:val="1B4F8A"/>
        <w:sz w:val="16"/>
        <w:szCs w:val="16"/>
      </w:rPr>
      <w:fldChar w:fldCharType="begin"/>
    </w:r>
    <w:r>
      <w:rPr>
        <w:color w:val="1B4F8A"/>
        <w:sz w:val="16"/>
        <w:szCs w:val="16"/>
      </w:rPr>
      <w:instrText xml:space="preserve">NUMPAGES</w:instrText>
    </w:r>
    <w:r>
      <w:rPr>
        <w:color w:val="1B4F8A"/>
        <w:sz w:val="16"/>
        <w:szCs w:val="16"/>
      </w:rPr>
      <w:fldChar w:fldCharType="separate"/>
    </w:r>
    <w:r>
      <w:rPr>
        <w:color w:val="1B4F8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86C1" w:sz="6" w:space="0"/>
      </w:pBdr>
      <w:spacing w:after="80"/>
    </w:pPr>
    <w:r>
      <w:rPr>
        <w:color w:val="2E86C1"/>
        <w:sz w:val="18"/>
        <w:szCs w:val="18"/>
      </w:rPr>
      <w:t>PrecioJusto App  |  Documento de Análisis y Requerimientos</w:t>
    </w:r>
    <w:r>
      <w:rPr>
        <w:color w:val="BFC9CA"/>
        <w:sz w:val="16"/>
        <w:szCs w:val="16"/>
      </w:rPr>
      <w:t xml:space="preserve">     v1.2 Final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BD4DA"/>
    <w:multiLevelType w:val="multilevel"/>
    <w:tmpl w:val="9DDBD4DA"/>
    <w:lvl w:ilvl="0" w:tentative="0">
      <w:start w:val="1"/>
      <w:numFmt w:val="bullet"/>
      <w:lvlText w:val="•"/>
      <w:lvlJc w:val="left"/>
      <w:pPr>
        <w:ind w:left="560" w:hanging="280"/>
      </w:pPr>
    </w:lvl>
    <w:lvl w:ilvl="1" w:tentative="0">
      <w:start w:val="1"/>
      <w:numFmt w:val="bullet"/>
      <w:lvlText w:val="◦"/>
      <w:lvlJc w:val="left"/>
      <w:pPr>
        <w:ind w:left="1000" w:hanging="280"/>
      </w:pPr>
    </w:lvl>
  </w:abstractNum>
  <w:abstractNum w:abstractNumId="1">
    <w:nsid w:val="FFFE9501"/>
    <w:multiLevelType w:val="singleLevel"/>
    <w:tmpl w:val="FFFE9501"/>
    <w:lvl w:ilvl="0" w:tentative="0">
      <w:start w:val="1"/>
      <w:numFmt w:val="decimal"/>
      <w:lvlText w:val="%1."/>
      <w:lvlJc w:val="left"/>
      <w:pPr>
        <w:ind w:left="560" w:hanging="28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compat>
    <w:compatSetting w:name="compatibilityMode" w:uri="http://schemas.microsoft.com/office/word" w:val="15"/>
  </w:compat>
  <w:rsids>
    <w:rsidRoot w:val="00000000"/>
    <w:rsid w:val="573FF9FB"/>
    <w:rsid w:val="D7BF80E4"/>
    <w:rsid w:val="DC1F62E6"/>
    <w:rsid w:val="DFF98CF7"/>
    <w:rsid w:val="EFBD66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Calibri" w:hAnsi="Calibri" w:eastAsia="Calibri" w:cs="Calibri"/>
      <w:color w:val="1C2833"/>
      <w:sz w:val="22"/>
      <w:szCs w:val="22"/>
    </w:rPr>
  </w:style>
  <w:style w:type="paragraph" w:styleId="2">
    <w:name w:val="heading 1"/>
    <w:basedOn w:val="1"/>
    <w:next w:val="1"/>
    <w:qFormat/>
    <w:uiPriority w:val="0"/>
    <w:pPr>
      <w:spacing w:before="400" w:after="200"/>
      <w:outlineLvl w:val="0"/>
    </w:pPr>
    <w:rPr>
      <w:rFonts w:ascii="Calibri" w:hAnsi="Calibri" w:eastAsia="Calibri" w:cs="Calibri"/>
      <w:b/>
      <w:bCs/>
      <w:color w:val="FFFFFF"/>
      <w:sz w:val="36"/>
      <w:szCs w:val="36"/>
    </w:rPr>
  </w:style>
  <w:style w:type="paragraph" w:styleId="3">
    <w:name w:val="heading 2"/>
    <w:basedOn w:val="1"/>
    <w:next w:val="1"/>
    <w:qFormat/>
    <w:uiPriority w:val="0"/>
    <w:pPr>
      <w:spacing w:before="300" w:after="160"/>
      <w:outlineLvl w:val="1"/>
    </w:pPr>
    <w:rPr>
      <w:rFonts w:ascii="Calibri" w:hAnsi="Calibri" w:eastAsia="Calibri" w:cs="Calibri"/>
      <w:b/>
      <w:bCs/>
      <w:color w:val="FFFFFF"/>
      <w:sz w:val="28"/>
      <w:szCs w:val="28"/>
    </w:rPr>
  </w:style>
  <w:style w:type="paragraph" w:styleId="4">
    <w:name w:val="heading 3"/>
    <w:basedOn w:val="1"/>
    <w:next w:val="1"/>
    <w:qFormat/>
    <w:uiPriority w:val="0"/>
    <w:pPr>
      <w:spacing w:before="200" w:after="120"/>
      <w:outlineLvl w:val="2"/>
    </w:pPr>
    <w:rPr>
      <w:rFonts w:ascii="Calibri" w:hAnsi="Calibri" w:eastAsia="Calibri" w:cs="Calibri"/>
      <w:b/>
      <w:bCs/>
      <w:color w:val="1B4F8A"/>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60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elan-sk</cp:lastModifiedBy>
  <dcterms:modified xsi:type="dcterms:W3CDTF">2026-07-15T09:46:08Z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