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Poppins" w:cs="Poppins" w:eastAsia="Poppins" w:hAnsi="Poppins"/>
          <w:b/>
          <w:bCs/>
          <w:color w:val="1E1E1C"/>
          <w:sz w:val="44"/>
          <w:szCs w:val="44"/>
        </w:rPr>
        <w:t xml:space="preserve">ACTA DE ENTREGA</w:t>
      </w:r>
    </w:p>
    <w:p>
      <w:pPr>
        <w:spacing w:after="200"/>
      </w:pPr>
      <w:r>
        <w:rPr>
          <w:rFonts w:ascii="Poppins" w:cs="Poppins" w:eastAsia="Poppins" w:hAnsi="Poppins"/>
          <w:b/>
          <w:bCs/>
          <w:color w:val="C2189B"/>
          <w:sz w:val="28"/>
          <w:szCs w:val="28"/>
        </w:rPr>
        <w:t xml:space="preserve">Sitios web Cafexport y Local Partners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6 de octubre de 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Cliente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Cafexport y Local Partners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Entrega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La Paguer — Marketing que transforma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Objeto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Entrega de los dos sitios web desarrollados, con sus contenidos, ajustes solicitados y herramientas de administración.</w:t>
            </w:r>
          </w:p>
        </w:tc>
      </w:tr>
    </w:tbl>
    <w:p>
      <w:pPr>
        <w:keepNext/>
        <w:pBdr>
          <w:left w:val="single" w:color="FF6EE4" w:sz="36" w:space="8"/>
        </w:pBdr>
        <w:spacing w:after="140" w:before="320"/>
      </w:pPr>
      <w:r>
        <w:rPr>
          <w:rFonts w:ascii="Poppins" w:cs="Poppins" w:eastAsia="Poppins" w:hAnsi="Poppins"/>
          <w:b/>
          <w:bCs/>
          <w:color w:val="1E1E1C"/>
          <w:sz w:val="26"/>
          <w:szCs w:val="26"/>
        </w:rPr>
        <w:t xml:space="preserve">1. QUÉ SE ENTREGA</w:t>
      </w:r>
    </w:p>
    <w:p>
      <w:pPr>
        <w:spacing w:after="120" w:line="300"/>
      </w:pPr>
      <w:r>
        <w:rPr>
          <w:rFonts w:ascii="Poppins" w:cs="Poppins" w:eastAsia="Poppins" w:hAnsi="Poppins"/>
        </w:rPr>
        <w:t xml:space="preserve">Se entregan dos sitios web completos, uno para cada marca, con una línea gráfica común y contenidos propios. Ambos sitios se encuentran publicados en un ambiente de prueba, donde pueden revisarse antes de su paso al servidor definitivo: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oppins" w:cs="Poppins" w:eastAsia="Poppins" w:hAnsi="Poppins"/>
          <w:b/>
          <w:bCs/>
        </w:rPr>
        <w:t xml:space="preserve">Cafexport: </w:t>
      </w:r>
      <w:hyperlink w:history="1" r:id="rIdabe6isuvdziwccoasi-fp">
        <w:r>
          <w:rPr>
            <w:rFonts w:ascii="Poppins" w:cs="Poppins" w:eastAsia="Poppins" w:hAnsi="Poppins"/>
            <w:color w:val="C2189B"/>
            <w:u w:val="single"/>
          </w:rPr>
          <w:t xml:space="preserve">https://silver-porpoise-137112.hostingersite.com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oppins" w:cs="Poppins" w:eastAsia="Poppins" w:hAnsi="Poppins"/>
          <w:b/>
          <w:bCs/>
        </w:rPr>
        <w:t xml:space="preserve">Local Partners: </w:t>
      </w:r>
      <w:hyperlink w:history="1" r:id="rId6-ut3mdkqexmgg8atmdwx">
        <w:r>
          <w:rPr>
            <w:rFonts w:ascii="Poppins" w:cs="Poppins" w:eastAsia="Poppins" w:hAnsi="Poppins"/>
            <w:color w:val="C2189B"/>
            <w:u w:val="single"/>
          </w:rPr>
          <w:t xml:space="preserve">https://lavender-gull-353405.hostingersite.com/</w:t>
        </w:r>
      </w:hyperlink>
    </w:p>
    <w:p>
      <w:pPr>
        <w:keepNext/>
        <w:pBdr>
          <w:left w:val="single" w:color="FF6EE4" w:sz="36" w:space="8"/>
        </w:pBdr>
        <w:spacing w:after="140" w:before="320"/>
      </w:pPr>
      <w:r>
        <w:rPr>
          <w:rFonts w:ascii="Poppins" w:cs="Poppins" w:eastAsia="Poppins" w:hAnsi="Poppins"/>
          <w:b/>
          <w:bCs/>
          <w:color w:val="1E1E1C"/>
          <w:sz w:val="26"/>
          <w:szCs w:val="26"/>
        </w:rPr>
        <w:t xml:space="preserve">2. CARACTERÍSTICAS PRINCIPALES</w:t>
      </w:r>
    </w:p>
    <w:p>
      <w:pPr>
        <w:spacing w:after="120" w:line="300"/>
      </w:pPr>
      <w:r>
        <w:rPr>
          <w:rFonts w:ascii="Poppins" w:cs="Poppins" w:eastAsia="Poppins" w:hAnsi="Poppins"/>
        </w:rPr>
        <w:t xml:space="preserve">Los dos sitios comparten las siguientes características: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oppins" w:cs="Poppins" w:eastAsia="Poppins" w:hAnsi="Poppins"/>
          <w:b/>
          <w:bCs/>
        </w:rPr>
        <w:t xml:space="preserve">Fácil de administrar: </w:t>
      </w:r>
      <w:r>
        <w:rPr>
          <w:rFonts w:ascii="Poppins" w:cs="Poppins" w:eastAsia="Poppins" w:hAnsi="Poppins"/>
        </w:rPr>
        <w:t xml:space="preserve">están construidos sobre WordPress, la plataforma de sitios web más usada en el mundo. El contenido se edita desde un panel, sin necesidad de programar.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oppins" w:cs="Poppins" w:eastAsia="Poppins" w:hAnsi="Poppins"/>
          <w:b/>
          <w:bCs/>
        </w:rPr>
        <w:t xml:space="preserve">Páginas armadas por bloques: </w:t>
      </w:r>
      <w:r>
        <w:rPr>
          <w:rFonts w:ascii="Poppins" w:cs="Poppins" w:eastAsia="Poppins" w:hAnsi="Poppins"/>
        </w:rPr>
        <w:t xml:space="preserve">cada página se compone de secciones (banners, cifras, galerías, mosaicos, videos) que pueden editarse, reordenarse o reutilizarse en otras páginas.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oppins" w:cs="Poppins" w:eastAsia="Poppins" w:hAnsi="Poppins"/>
          <w:b/>
          <w:bCs/>
        </w:rPr>
        <w:t xml:space="preserve">Español e inglés: </w:t>
      </w:r>
      <w:r>
        <w:rPr>
          <w:rFonts w:ascii="Poppins" w:cs="Poppins" w:eastAsia="Poppins" w:hAnsi="Poppins"/>
        </w:rPr>
        <w:t xml:space="preserve">cuentan con selector de idioma y el contenido traducido al inglés.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oppins" w:cs="Poppins" w:eastAsia="Poppins" w:hAnsi="Poppins"/>
          <w:b/>
          <w:bCs/>
        </w:rPr>
        <w:t xml:space="preserve">Se ven bien en cualquier pantalla: </w:t>
      </w:r>
      <w:r>
        <w:rPr>
          <w:rFonts w:ascii="Poppins" w:cs="Poppins" w:eastAsia="Poppins" w:hAnsi="Poppins"/>
        </w:rPr>
        <w:t xml:space="preserve">el diseño se adapta a celulares, tabletas y computadores.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oppins" w:cs="Poppins" w:eastAsia="Poppins" w:hAnsi="Poppins"/>
          <w:b/>
          <w:bCs/>
        </w:rPr>
        <w:t xml:space="preserve">Videos que cargan rápido: </w:t>
      </w:r>
      <w:r>
        <w:rPr>
          <w:rFonts w:ascii="Poppins" w:cs="Poppins" w:eastAsia="Poppins" w:hAnsi="Poppins"/>
        </w:rPr>
        <w:t xml:space="preserve">los videos (por ejemplo, el Manifiesto y las entrevistas) se muestran desde YouTube, lo que mantiene el sitio liviano.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oppins" w:cs="Poppins" w:eastAsia="Poppins" w:hAnsi="Poppins"/>
          <w:b/>
          <w:bCs/>
        </w:rPr>
        <w:t xml:space="preserve">Imágenes optimizadas: </w:t>
      </w:r>
      <w:r>
        <w:rPr>
          <w:rFonts w:ascii="Poppins" w:cs="Poppins" w:eastAsia="Poppins" w:hAnsi="Poppins"/>
        </w:rPr>
        <w:t xml:space="preserve">las imágenes se comprimen de forma automática para que las páginas carguen más rápido.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oppins" w:cs="Poppins" w:eastAsia="Poppins" w:hAnsi="Poppins"/>
          <w:b/>
          <w:bCs/>
        </w:rPr>
        <w:t xml:space="preserve">Contacto directo: </w:t>
      </w:r>
      <w:r>
        <w:rPr>
          <w:rFonts w:ascii="Poppins" w:cs="Poppins" w:eastAsia="Poppins" w:hAnsi="Poppins"/>
        </w:rPr>
        <w:t xml:space="preserve">formulario de contacto que envía los mensajes al correo, y botón flotante de contacto.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oppins" w:cs="Poppins" w:eastAsia="Poppins" w:hAnsi="Poppins"/>
          <w:b/>
          <w:bCs/>
        </w:rPr>
        <w:t xml:space="preserve">Historias: </w:t>
      </w:r>
      <w:r>
        <w:rPr>
          <w:rFonts w:ascii="Poppins" w:cs="Poppins" w:eastAsia="Poppins" w:hAnsi="Poppins"/>
        </w:rPr>
        <w:t xml:space="preserve">sección de historias que se alimenta desde el panel, sin necesidad de diseñar cada publicación.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oppins" w:cs="Poppins" w:eastAsia="Poppins" w:hAnsi="Poppins"/>
          <w:b/>
          <w:bCs/>
        </w:rPr>
        <w:t xml:space="preserve">Compartir en redes: </w:t>
      </w:r>
      <w:r>
        <w:rPr>
          <w:rFonts w:ascii="Poppins" w:cs="Poppins" w:eastAsia="Poppins" w:hAnsi="Poppins"/>
        </w:rPr>
        <w:t xml:space="preserve">botones para compartir los contenidos en redes sociales.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Poppins" w:cs="Poppins" w:eastAsia="Poppins" w:hAnsi="Poppins"/>
          <w:b/>
          <w:bCs/>
        </w:rPr>
        <w:t xml:space="preserve">Informes descargables: </w:t>
      </w:r>
      <w:r>
        <w:rPr>
          <w:rFonts w:ascii="Poppins" w:cs="Poppins" w:eastAsia="Poppins" w:hAnsi="Poppins"/>
        </w:rPr>
        <w:t xml:space="preserve">los informes de gestión y documentos quedan disponibles para consulta y descarga.</w:t>
      </w:r>
    </w:p>
    <w:p>
      <w:pPr>
        <w:keepNext/>
        <w:pBdr>
          <w:left w:val="single" w:color="FF6EE4" w:sz="36" w:space="8"/>
        </w:pBdr>
        <w:spacing w:after="140" w:before="320"/>
      </w:pPr>
      <w:r>
        <w:rPr>
          <w:rFonts w:ascii="Poppins" w:cs="Poppins" w:eastAsia="Poppins" w:hAnsi="Poppins"/>
          <w:b/>
          <w:bCs/>
          <w:color w:val="1E1E1C"/>
          <w:sz w:val="26"/>
          <w:szCs w:val="26"/>
        </w:rPr>
        <w:t xml:space="preserve">3. SECCIONES DE CADA SITIO</w:t>
      </w:r>
    </w:p>
    <w:p>
      <w:pPr>
        <w:keepNext/>
        <w:spacing w:after="80" w:before="200"/>
      </w:pPr>
      <w:r>
        <w:rPr>
          <w:rFonts w:ascii="Poppins" w:cs="Poppins" w:eastAsia="Poppins" w:hAnsi="Poppins"/>
          <w:b/>
          <w:bCs/>
          <w:color w:val="C2189B"/>
          <w:sz w:val="22"/>
          <w:szCs w:val="22"/>
        </w:rPr>
        <w:t xml:space="preserve">Cafexport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shd w:fill="1E1E1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FBE105"/>
                <w:sz w:val="19"/>
                <w:szCs w:val="19"/>
              </w:rPr>
              <w:t xml:space="preserve">Página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shd w:fill="1E1E1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FBE105"/>
                <w:sz w:val="19"/>
                <w:szCs w:val="19"/>
              </w:rPr>
              <w:t xml:space="preserve">Qué encuentra el visitante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Inicio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Banner principal con imágenes, cifras de impacto, cómo trabajamos, video del Manifiesto, mosaico de origen, proceso y llamado a la acción.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Así trabajamos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El recorrido del café «del origen al destino», mapa de presencia en Colombia y aliados.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Impacto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El ecosistema que transforma la caficultura, informes de gestión y la relación con Local Partners.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Historias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Historias de productores (5 publicadas) y el video del Manifiesto.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Nosotros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Quiénes son, cifras, la visión «pensamos global, somos local» y el equipo.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Origen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Galería de las regiones de origen del café.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Certificaciones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Certificaciones, reconocimientos, registros, normas y acreditaciones.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Contacto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Formulario de contacto y datos de la empresa.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Términos y condiciones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Información legal del sitio.</w:t>
            </w:r>
          </w:p>
        </w:tc>
      </w:tr>
    </w:tbl>
    <w:p>
      <w:pPr>
        <w:keepNext/>
        <w:spacing w:after="80" w:before="200"/>
      </w:pPr>
      <w:r>
        <w:rPr>
          <w:rFonts w:ascii="Poppins" w:cs="Poppins" w:eastAsia="Poppins" w:hAnsi="Poppins"/>
          <w:b/>
          <w:bCs/>
          <w:color w:val="C2189B"/>
          <w:sz w:val="22"/>
          <w:szCs w:val="22"/>
        </w:rPr>
        <w:t xml:space="preserve">Local Partners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shd w:fill="1E1E1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FBE105"/>
                <w:sz w:val="19"/>
                <w:szCs w:val="19"/>
              </w:rPr>
              <w:t xml:space="preserve">Página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shd w:fill="1E1E1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FBE105"/>
                <w:sz w:val="19"/>
                <w:szCs w:val="19"/>
              </w:rPr>
              <w:t xml:space="preserve">Qué encuentra el visitante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Inicio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Banner principal, cifras de impacto, cómo trabajamos, video, mosaicos de origen, pilares y llamado a la acción.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Así trabajamos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Del conocimiento a la acción, regiones impactadas, resultados y aliados.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Impacto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Impacto en cifras, programas, proyectos y la Unidad de Investigación y Desarrollo.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Historias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Historias de productores (3 publicadas).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Nosotros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La Fundación en cifras y su forma de trabajo.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Origen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Galería de las regiones de origen.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Certificaciones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Certificaciones, verificaciones e indicadores de integridad y trazabilidad.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Documentos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Documentos legales, tributarios y financieros para descarga.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Noticias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Espacio para publicar noticias de la Fundación.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Contacto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Formulario de contacto y datos de la Fundación.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1E1E1C"/>
                <w:sz w:val="19"/>
                <w:szCs w:val="19"/>
              </w:rPr>
              <w:t xml:space="preserve">Términos y condiciones</w:t>
            </w:r>
          </w:p>
        </w:tc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Información legal del sitio.</w:t>
            </w:r>
          </w:p>
        </w:tc>
      </w:tr>
    </w:tbl>
    <w:p>
      <w:pPr>
        <w:keepNext/>
        <w:pBdr>
          <w:left w:val="single" w:color="FF6EE4" w:sz="36" w:space="8"/>
        </w:pBdr>
        <w:spacing w:after="140" w:before="320"/>
      </w:pPr>
      <w:r>
        <w:rPr>
          <w:rFonts w:ascii="Poppins" w:cs="Poppins" w:eastAsia="Poppins" w:hAnsi="Poppins"/>
          <w:b/>
          <w:bCs/>
          <w:color w:val="1E1E1C"/>
          <w:sz w:val="26"/>
          <w:szCs w:val="26"/>
        </w:rPr>
        <w:t xml:space="preserve">4. AJUSTES REALIZADOS</w:t>
      </w:r>
    </w:p>
    <w:p>
      <w:pPr>
        <w:spacing w:after="120" w:line="300"/>
      </w:pPr>
      <w:r>
        <w:rPr>
          <w:rFonts w:ascii="Poppins" w:cs="Poppins" w:eastAsia="Poppins" w:hAnsi="Poppins"/>
        </w:rPr>
        <w:t xml:space="preserve">Durante el proyecto se atendieron los ajustes solicitados. Todos se encuentran terminados: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60"/>
        <w:gridCol w:w="2600"/>
      </w:tblGrid>
      <w:tr>
        <w:trPr>
          <w:tblHeader/>
        </w:trPr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shd w:fill="1E1E1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FBE105"/>
                <w:sz w:val="19"/>
                <w:szCs w:val="19"/>
              </w:rPr>
              <w:t xml:space="preserve">Ajuste</w:t>
            </w:r>
          </w:p>
        </w:tc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shd w:fill="1E1E1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/>
                <w:bCs/>
                <w:color w:val="FBE105"/>
                <w:sz w:val="19"/>
                <w:szCs w:val="19"/>
              </w:rPr>
              <w:t xml:space="preserve">Estado</w:t>
            </w:r>
          </w:p>
        </w:tc>
      </w:tr>
      <w:tr>
        <w:trPr>
          <w:tblHeader w:val="off"/>
        </w:trPr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Ajustes visuales del diseño (versión 3) en Inicio, Así trabajamos, Impacto, Historias, Contacto y Certificaciones</w:t>
            </w:r>
          </w:p>
        </w:tc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Terminado</w:t>
            </w:r>
          </w:p>
        </w:tc>
      </w:tr>
      <w:tr>
        <w:trPr>
          <w:tblHeader w:val="off"/>
        </w:trPr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Ajustes de diseño en Figma para Cafexport y Local Partners, con visto bueno de diseño</w:t>
            </w:r>
          </w:p>
        </w:tc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Terminado</w:t>
            </w:r>
          </w:p>
        </w:tc>
      </w:tr>
      <w:tr>
        <w:trPr>
          <w:tblHeader w:val="off"/>
        </w:trPr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Réplica del diseño de texturas en Local Partners</w:t>
            </w:r>
          </w:p>
        </w:tc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Terminado</w:t>
            </w:r>
          </w:p>
        </w:tc>
      </w:tr>
      <w:tr>
        <w:trPr>
          <w:tblHeader w:val="off"/>
        </w:trPr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Traducción del contenido al inglés en ambos sitios y selector de idioma</w:t>
            </w:r>
          </w:p>
        </w:tc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Terminado</w:t>
            </w:r>
          </w:p>
        </w:tc>
      </w:tr>
      <w:tr>
        <w:trPr>
          <w:tblHeader w:val="off"/>
        </w:trPr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Videos del Manifiesto y de entrevistas integrados desde YouTube</w:t>
            </w:r>
          </w:p>
        </w:tc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Terminado</w:t>
            </w:r>
          </w:p>
        </w:tc>
      </w:tr>
      <w:tr>
        <w:trPr>
          <w:tblHeader w:val="off"/>
        </w:trPr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Carga de informes de gestión y actualización de cifras con base en ellos</w:t>
            </w:r>
          </w:p>
        </w:tc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Terminado</w:t>
            </w:r>
          </w:p>
        </w:tc>
      </w:tr>
      <w:tr>
        <w:trPr>
          <w:tblHeader w:val="off"/>
        </w:trPr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Historias e impacto construidos a partir de los documentos entregados</w:t>
            </w:r>
          </w:p>
        </w:tc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Terminado</w:t>
            </w:r>
          </w:p>
        </w:tc>
      </w:tr>
      <w:tr>
        <w:trPr>
          <w:tblHeader w:val="off"/>
        </w:trPr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Actualización de las tarjetas de impacto en Inicio y de la imagen de Origen</w:t>
            </w:r>
          </w:p>
        </w:tc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Terminado</w:t>
            </w:r>
          </w:p>
        </w:tc>
      </w:tr>
      <w:tr>
        <w:trPr>
          <w:tblHeader w:val="off"/>
        </w:trPr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Sección Equipo ajustada</w:t>
            </w:r>
          </w:p>
        </w:tc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Terminado</w:t>
            </w:r>
          </w:p>
        </w:tc>
      </w:tr>
      <w:tr>
        <w:trPr>
          <w:tblHeader w:val="off"/>
        </w:trPr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Enlace entre la página de Impacto y Local Partners</w:t>
            </w:r>
          </w:p>
        </w:tc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Terminado</w:t>
            </w:r>
          </w:p>
        </w:tc>
      </w:tr>
      <w:tr>
        <w:trPr>
          <w:tblHeader w:val="off"/>
        </w:trPr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Aliados agregados en Así trabajamos</w:t>
            </w:r>
          </w:p>
        </w:tc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Terminado</w:t>
            </w:r>
          </w:p>
        </w:tc>
      </w:tr>
      <w:tr>
        <w:trPr>
          <w:tblHeader w:val="off"/>
        </w:trPr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Sección de documentos en Local Partners</w:t>
            </w:r>
          </w:p>
        </w:tc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Terminado</w:t>
            </w:r>
          </w:p>
        </w:tc>
      </w:tr>
      <w:tr>
        <w:trPr>
          <w:tblHeader w:val="off"/>
        </w:trPr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Cambio del botón flotante de contacto</w:t>
            </w:r>
          </w:p>
        </w:tc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Terminado</w:t>
            </w:r>
          </w:p>
        </w:tc>
      </w:tr>
      <w:tr>
        <w:trPr>
          <w:tblHeader w:val="off"/>
        </w:trPr>
        <w:tc>
          <w:tcPr>
            <w:tcW w:type="dxa" w:w="676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Actualización de imágenes en ambos sitios</w:t>
            </w:r>
          </w:p>
        </w:tc>
        <w:tc>
          <w:tcPr>
            <w:tcW w:type="dxa" w:w="2600"/>
            <w:tcBorders>
              <w:top w:val="single" w:color="E4E1DA" w:sz="4"/>
              <w:left w:val="single" w:color="E4E1DA" w:sz="4"/>
              <w:bottom w:val="single" w:color="E4E1DA" w:sz="4"/>
              <w:right w:val="single" w:color="E4E1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Poppins" w:cs="Poppins" w:eastAsia="Poppins" w:hAnsi="Poppins"/>
                <w:b w:val="false"/>
                <w:bCs w:val="false"/>
                <w:color w:val="1E1E1C"/>
                <w:sz w:val="19"/>
                <w:szCs w:val="19"/>
              </w:rPr>
              <w:t xml:space="preserve">Terminado</w:t>
            </w:r>
          </w:p>
        </w:tc>
      </w:tr>
    </w:tbl>
    <w:p>
      <w:pPr>
        <w:keepNext/>
        <w:pBdr>
          <w:left w:val="single" w:color="FF6EE4" w:sz="36" w:space="8"/>
        </w:pBdr>
        <w:spacing w:after="140" w:before="320"/>
      </w:pPr>
      <w:r>
        <w:rPr>
          <w:rFonts w:ascii="Poppins" w:cs="Poppins" w:eastAsia="Poppins" w:hAnsi="Poppins"/>
          <w:b/>
          <w:bCs/>
          <w:color w:val="1E1E1C"/>
          <w:sz w:val="26"/>
          <w:szCs w:val="26"/>
        </w:rPr>
        <w:t xml:space="preserve">5. SIGUIENTE PASO: PUBLICACIÓN DEFINITIVA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BE105" w:sz="36"/>
              <w:bottom w:val="none" w:color="FFFFFF" w:sz="0"/>
              <w:right w:val="none" w:color="FFFFFF" w:sz="0"/>
            </w:tcBorders>
            <w:shd w:fill="FFF7D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>Para publicar los sitios en su dirección definitiva se prepara un </w:t>
            </w:r>
            <w:r>
              <w:rPr>
                <w:rFonts w:ascii="Poppins" w:cs="Poppins" w:eastAsia="Poppins" w:hAnsi="Poppins"/>
                <w:b/>
                <w:bCs/>
                <w:sz w:val="20"/>
                <w:szCs w:val="20"/>
              </w:rPr>
              <w:t xml:space="preserve">paquete de migración</w:t>
            </w:r>
            <w:r>
              <w:rPr>
                <w:rFonts w:ascii="Poppins" w:cs="Poppins" w:eastAsia="Poppins" w:hAnsi="Poppins"/>
                <w:sz w:val="20"/>
                <w:szCs w:val="20"/>
              </w:rPr>
              <w:t xml:space="preserve">. Se solicita amablemente confirmar si la publicación se hará en los servidores de La Paguer o en los servidores propios del cliente, para preparar el paquete según el caso.</w:t>
            </w:r>
          </w:p>
        </w:tc>
      </w:tr>
    </w:tbl>
    <w:p>
      <w:pPr>
        <w:keepNext/>
        <w:pBdr>
          <w:left w:val="single" w:color="FF6EE4" w:sz="36" w:space="8"/>
        </w:pBdr>
        <w:spacing w:after="140" w:before="320"/>
      </w:pPr>
      <w:r>
        <w:rPr>
          <w:rFonts w:ascii="Poppins" w:cs="Poppins" w:eastAsia="Poppins" w:hAnsi="Poppins"/>
          <w:b/>
          <w:bCs/>
          <w:color w:val="1E1E1C"/>
          <w:sz w:val="26"/>
          <w:szCs w:val="26"/>
        </w:rPr>
        <w:t xml:space="preserve">6. CONSTANCIA</w:t>
      </w:r>
    </w:p>
    <w:p>
      <w:pPr>
        <w:spacing w:after="120" w:line="300"/>
      </w:pPr>
      <w:r>
        <w:rPr>
          <w:rFonts w:ascii="Poppins" w:cs="Poppins" w:eastAsia="Poppins" w:hAnsi="Poppins"/>
        </w:rPr>
        <w:t xml:space="preserve">Con la presente acta se deja constancia de la entrega de los sitios web de Cafexport y Local Partners con las secciones, características y ajustes descritos. Agradecemos de antemano su revisión y quedamos atentos a sus comentarios.</w:t>
      </w:r>
    </w:p>
    <w:sectPr>
      <w:headerReference w:type="default" r:id="rId6"/>
      <w:footerReference w:type="default" r:id="rId7"/>
      <w:pgSz w:w="12240" w:h="15840" w:orient="portrait"/>
      <w:pgMar w:top="1700" w:right="1440" w:bottom="1300" w:left="144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BE105" w:sz="6" w:space="6"/>
      </w:pBdr>
      <w:tabs>
        <w:tab w:val="right" w:pos="9360"/>
      </w:tabs>
    </w:pPr>
    <w:r>
      <w:rPr>
        <w:rFonts w:ascii="Poppins" w:cs="Poppins" w:eastAsia="Poppins" w:hAnsi="Poppins"/>
        <w:color w:val="5B5750"/>
        <w:sz w:val="15"/>
        <w:szCs w:val="15"/>
      </w:rPr>
      <w:t xml:space="preserve">lapaguer.com  ·  Quibdó, Chocó  ·  david@depura-creatividad.com</w:t>
    </w:r>
    <w:r>
      <w:rPr>
        <w:rFonts w:ascii="Poppins" w:cs="Poppins" w:eastAsia="Poppins" w:hAnsi="Poppins"/>
      </w:rPr>
      <w:t xml:space="preserve">	</w:t>
    </w:r>
    <w:r>
      <w:rPr>
        <w:rFonts w:ascii="Poppins" w:cs="Poppins" w:eastAsia="Poppins" w:hAnsi="Poppins"/>
        <w:color w:val="5B5750"/>
        <w:sz w:val="15"/>
        <w:szCs w:val="15"/>
      </w:rPr>
      <w:t xml:space="preserve">Página </w:t>
    </w:r>
    <w:r>
      <w:rPr>
        <w:rFonts w:ascii="Poppins" w:cs="Poppins" w:eastAsia="Poppins" w:hAnsi="Poppins"/>
        <w:color w:val="5B5750"/>
        <w:sz w:val="15"/>
        <w:szCs w:val="15"/>
      </w:rPr>
      <w:fldChar w:fldCharType="begin"/>
      <w:instrText xml:space="preserve">PAGE</w:instrText>
      <w:fldChar w:fldCharType="separate"/>
      <w:fldChar w:fldCharType="end"/>
    </w:r>
  </w:p>
  <w:p>
    <w:r>
      <w:rPr>
        <w:rFonts w:ascii="Poppins" w:cs="Poppins" w:eastAsia="Poppins" w:hAnsi="Poppins"/>
        <w:i/>
        <w:iCs/>
        <w:color w:val="C2189B"/>
        <w:sz w:val="15"/>
        <w:szCs w:val="15"/>
      </w:rPr>
      <w:t xml:space="preserve">Al que le gusta, le sabe.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EE4" w:sz="12" w:space="6"/>
      </w:pBdr>
      <w:tabs>
        <w:tab w:val="right" w:pos="9360"/>
      </w:tabs>
    </w:pPr>
    <w:r>
      <w:drawing>
        <wp:inline distT="0" distB="0" distL="0" distR="0">
          <wp:extent cx="914400" cy="609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Poppins" w:cs="Poppins" w:eastAsia="Poppins" w:hAnsi="Poppins"/>
      </w:rPr>
      <w:t xml:space="preserve">	</w:t>
    </w:r>
    <w:r>
      <w:rPr>
        <w:rFonts w:ascii="Poppins" w:cs="Poppins" w:eastAsia="Poppins" w:hAnsi="Poppins"/>
        <w:b/>
        <w:bCs/>
        <w:color w:val="1E1E1C"/>
        <w:spacing w:val="40"/>
        <w:sz w:val="16"/>
        <w:szCs w:val="16"/>
      </w:rPr>
      <w:t xml:space="preserve">MARKETING QUE TRANSFORMA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color w:val="C2189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E1E1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abe6isuvdziwccoasi-fp" Type="http://schemas.openxmlformats.org/officeDocument/2006/relationships/hyperlink" Target="https://silver-porpoise-137112.hostingersite.com" TargetMode="External"/><Relationship Id="rId6-ut3mdkqexmgg8atmdwx" Type="http://schemas.openxmlformats.org/officeDocument/2006/relationships/hyperlink" Target="https://lavender-gull-353405.hostingersite.com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bfd5ab1d9ac4db2ba28f80e1cc575cca92342c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entrega — Cafexport y Local Partners</dc:title>
  <dc:creator>La Paguer</dc:creator>
  <cp:lastModifiedBy>Un-named</cp:lastModifiedBy>
  <cp:revision>1</cp:revision>
  <dcterms:created xsi:type="dcterms:W3CDTF">2026-10-06T21:31:11.211Z</dcterms:created>
  <dcterms:modified xsi:type="dcterms:W3CDTF">2026-10-06T21:31:11.211Z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