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ptos" w:cs="Aptos" w:eastAsia="Aptos" w:hAnsi="Aptos"/>
          <w:color w:val="000066"/>
          <w:sz w:val="36"/>
          <w:szCs w:val="36"/>
        </w:rPr>
      </w:pPr>
      <w:r w:rsidDel="00000000" w:rsidR="00000000" w:rsidRPr="00000000">
        <w:rPr>
          <w:rFonts w:ascii="Aptos" w:cs="Aptos" w:eastAsia="Aptos" w:hAnsi="Aptos"/>
          <w:color w:val="000066"/>
          <w:sz w:val="36"/>
          <w:szCs w:val="36"/>
          <w:rtl w:val="0"/>
        </w:rPr>
        <w:t xml:space="preserve">ESCOPO DE SERVIÇOS</w:t>
      </w:r>
    </w:p>
    <w:p w:rsidR="00000000" w:rsidDel="00000000" w:rsidP="00000000" w:rsidRDefault="00000000" w:rsidRPr="00000000" w14:paraId="00000002">
      <w:pPr>
        <w:rPr>
          <w:rFonts w:ascii="Aptos" w:cs="Aptos" w:eastAsia="Aptos" w:hAnsi="Aptos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8477568" cy="5416224"/>
                <wp:effectExtent b="0" l="0" r="0" t="0"/>
                <wp:docPr id="186113477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568" cy="5416224"/>
                          <a:chOff x="0" y="0"/>
                          <a:chExt cx="8918975" cy="56955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915400" cy="5695512"/>
                            <a:chOff x="0" y="0"/>
                            <a:chExt cx="8915400" cy="4600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915400" cy="460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2786" y="61897"/>
                              <a:ext cx="2716410" cy="40320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1" name="Shape 61"/>
                          <wps:spPr>
                            <a:xfrm>
                              <a:off x="2786" y="61897"/>
                              <a:ext cx="2716410" cy="40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Desenvolvimento de Formulações</w:t>
                                </w:r>
                              </w:p>
                            </w:txbxContent>
                          </wps:txbx>
                          <wps:bodyPr anchorCtr="0" anchor="ctr" bIns="56875" lIns="99550" spcFirstLastPara="1" rIns="99550" wrap="square" tIns="5687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2786" y="465097"/>
                              <a:ext cx="2716410" cy="4073579"/>
                            </a:xfrm>
                            <a:prstGeom prst="rect">
                              <a:avLst/>
                            </a:prstGeom>
                            <a:solidFill>
                              <a:srgbClr val="CCD3EA">
                                <a:alpha val="89803"/>
                              </a:srgbClr>
                            </a:solidFill>
                            <a:ln cap="flat" cmpd="sng" w="12700">
                              <a:solidFill>
                                <a:srgbClr val="CCD3EA">
                                  <a:alpha val="89803"/>
                                </a:srgbClr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3" name="Shape 63"/>
                          <wps:spPr>
                            <a:xfrm>
                              <a:off x="2786" y="465097"/>
                              <a:ext cx="2716410" cy="4073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Cosméticos: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Home Care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Skin Care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Capilar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Dermocosméticos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Protetor solar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Maquiagem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Linha Pet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Deo colônia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Shampoo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Condicionador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Máscara de hidratação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3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Domissanitário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Fármacos</w:t>
                                </w:r>
                              </w:p>
                            </w:txbxContent>
                          </wps:txbx>
                          <wps:bodyPr anchorCtr="0" anchor="t" bIns="112000" lIns="74675" spcFirstLastPara="1" rIns="99550" wrap="square" tIns="7467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3099494" y="61897"/>
                              <a:ext cx="2716410" cy="40320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5" name="Shape 65"/>
                          <wps:spPr>
                            <a:xfrm>
                              <a:off x="3099494" y="61897"/>
                              <a:ext cx="2716410" cy="40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Ajuste de Formulações existentes</w:t>
                                </w:r>
                              </w:p>
                            </w:txbxContent>
                          </wps:txbx>
                          <wps:bodyPr anchorCtr="0" anchor="ctr" bIns="56875" lIns="99550" spcFirstLastPara="1" rIns="99550" wrap="square" tIns="5687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3099494" y="465097"/>
                              <a:ext cx="2716410" cy="4073579"/>
                            </a:xfrm>
                            <a:prstGeom prst="rect">
                              <a:avLst/>
                            </a:prstGeom>
                            <a:solidFill>
                              <a:srgbClr val="CCD3EA">
                                <a:alpha val="89803"/>
                              </a:srgbClr>
                            </a:solidFill>
                            <a:ln cap="flat" cmpd="sng" w="12700">
                              <a:solidFill>
                                <a:srgbClr val="CCD3EA">
                                  <a:alpha val="89803"/>
                                </a:srgbClr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7" name="Shape 67"/>
                          <wps:spPr>
                            <a:xfrm>
                              <a:off x="3099494" y="465097"/>
                              <a:ext cx="2716410" cy="4073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180" w:right="0" w:firstLine="14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Objetivo: realizar testes envolvendo a formulação e matérias-primas do cliente, objetivando melhorar a performance do produto</w:t>
                                </w:r>
                              </w:p>
                            </w:txbxContent>
                          </wps:txbx>
                          <wps:bodyPr anchorCtr="0" anchor="t" bIns="112000" lIns="74675" spcFirstLastPara="1" rIns="99550" wrap="square" tIns="7467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6196202" y="61897"/>
                              <a:ext cx="2716410" cy="40320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9" name="Shape 69"/>
                          <wps:spPr>
                            <a:xfrm>
                              <a:off x="6196202" y="61897"/>
                              <a:ext cx="2716410" cy="40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Planos de serviços </w:t>
                                </w:r>
                              </w:p>
                            </w:txbxContent>
                          </wps:txbx>
                          <wps:bodyPr anchorCtr="0" anchor="ctr" bIns="56875" lIns="99550" spcFirstLastPara="1" rIns="99550" wrap="square" tIns="5687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6196202" y="465097"/>
                              <a:ext cx="2716410" cy="4073579"/>
                            </a:xfrm>
                            <a:prstGeom prst="rect">
                              <a:avLst/>
                            </a:prstGeom>
                            <a:solidFill>
                              <a:srgbClr val="CCD3EA">
                                <a:alpha val="89803"/>
                              </a:srgbClr>
                            </a:solidFill>
                            <a:ln cap="flat" cmpd="sng" w="12700">
                              <a:solidFill>
                                <a:srgbClr val="CCD3EA">
                                  <a:alpha val="89803"/>
                                </a:srgbClr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1" name="Shape 71"/>
                          <wps:spPr>
                            <a:xfrm>
                              <a:off x="6196202" y="465097"/>
                              <a:ext cx="2716410" cy="4073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Formulações standart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992.1260070800781" w:right="0" w:firstLine="632.1260070800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Teste microbiológico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992.1260070800781" w:right="0" w:firstLine="632.1260070800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Teste físico-químico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1.99999809265137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Formulações premium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992.1260070800781" w:right="0" w:firstLine="632.1260070800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Teste microbiológico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992.1260070800781" w:right="0" w:firstLine="632.1260070800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Teste físico-químico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992.1260070800781" w:right="0" w:firstLine="632.1260070800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Estabilidade acelerada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Escalo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nam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eto industrial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Treinamentos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1.99999809265137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Regularização do produto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1.99999809265137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Treinamento de equipe comercial/vendas;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1.99999809265137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Treinamentos de equipe técnica: P&amp;D, controle e garantia de qualidade;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1.99999809265137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Treinamento de manipulação cosmética, magistral e industrial (reatores, misturadores e fusores);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1.99999809265137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Gestão ESG (aplicação e adequação)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2.00000286102295" w:line="215.9999942779541"/>
                                  <w:ind w:left="18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Suporte Farmacotécnico de medicamentos, cosméticos e domissanitários</w:t>
                                </w:r>
                              </w:p>
                            </w:txbxContent>
                          </wps:txbx>
                          <wps:bodyPr anchorCtr="0" anchor="t" bIns="112000" lIns="74675" spcFirstLastPara="1" rIns="99550" wrap="square" tIns="746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477568" cy="5416224"/>
                <wp:effectExtent b="0" l="0" r="0" t="0"/>
                <wp:docPr id="186113477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568" cy="54162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9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mc:AlternateContent>
          <mc:Choice Requires="wpg">
            <w:drawing>
              <wp:inline distB="0" distT="0" distL="0" distR="0">
                <wp:extent cx="9839325" cy="2847975"/>
                <wp:effectExtent b="0" l="0" r="0" t="0"/>
                <wp:docPr id="18611347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9325" cy="2847975"/>
                          <a:chOff x="0" y="0"/>
                          <a:chExt cx="9839325" cy="28479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839325" cy="2847975"/>
                            <a:chOff x="0" y="0"/>
                            <a:chExt cx="9839325" cy="2847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839325" cy="2847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7996" y="500264"/>
                              <a:ext cx="2367067" cy="278478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996" y="604849"/>
                              <a:ext cx="173893" cy="173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996" y="0"/>
                              <a:ext cx="2367067" cy="500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7996" y="0"/>
                              <a:ext cx="2367067" cy="500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FORMULAÇÃO STANDART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90.9999942779541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Fórmulas básicas</w:t>
                                </w:r>
                              </w:p>
                            </w:txbxContent>
                          </wps:txbx>
                          <wps:bodyPr anchorCtr="0" anchor="ctr" bIns="16500" lIns="24750" spcFirstLastPara="1" rIns="24750" wrap="square" tIns="165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996" y="1010189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73691" y="894466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173691" y="894466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Fórmula quati e qualitativa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7996" y="1415525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73691" y="1299802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73691" y="1299802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Modo de fabricação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996" y="1820861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73691" y="1705138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" name="Shape 16"/>
                          <wps:spPr>
                            <a:xfrm>
                              <a:off x="173691" y="1705138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Especificações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493418" y="500264"/>
                              <a:ext cx="2367067" cy="278478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493418" y="604849"/>
                              <a:ext cx="173893" cy="173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493418" y="0"/>
                              <a:ext cx="2367067" cy="500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2493418" y="0"/>
                              <a:ext cx="2367067" cy="500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FORMULAÇÕES PREMIUM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90.9999942779541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Fórmulas exclusivas</w:t>
                                </w:r>
                              </w:p>
                            </w:txbxContent>
                          </wps:txbx>
                          <wps:bodyPr anchorCtr="0" anchor="ctr" bIns="16500" lIns="24750" spcFirstLastPara="1" rIns="24750" wrap="square" tIns="165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493418" y="1010189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659112" y="894466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2659112" y="894466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Fórmula quati e qualitativa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493418" y="1415525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659112" y="1299802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2659112" y="1299802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Modo de fabricação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493418" y="1820861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659112" y="1705138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2659112" y="1705138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Especificações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978839" y="500264"/>
                              <a:ext cx="2367067" cy="278478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978839" y="604849"/>
                              <a:ext cx="173893" cy="173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978839" y="0"/>
                              <a:ext cx="2367067" cy="500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4978839" y="0"/>
                              <a:ext cx="2367067" cy="500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ESCALONAMENTO INDUSTRIAL</w:t>
                                </w:r>
                              </w:p>
                            </w:txbxContent>
                          </wps:txbx>
                          <wps:bodyPr anchorCtr="0" anchor="ctr" bIns="16500" lIns="24750" spcFirstLastPara="1" rIns="24750" wrap="square" tIns="165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978839" y="1010189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144533" y="894466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5144533" y="894466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Visita técnica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978839" y="1415525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144533" y="1299802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5144533" y="1299802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Verificação dos equipamentos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4978839" y="1820861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5144533" y="1705138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5144533" y="1705138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Acompanhamento do processo produtivo da formulação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978839" y="2226197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5144533" y="2110473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5144533" y="2110473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Possíveis ajustes de formulação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7464260" y="500264"/>
                              <a:ext cx="2367067" cy="278478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7464260" y="604849"/>
                              <a:ext cx="173893" cy="173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7464260" y="0"/>
                              <a:ext cx="2367067" cy="500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9" name="Shape 49"/>
                          <wps:spPr>
                            <a:xfrm>
                              <a:off x="7464260" y="0"/>
                              <a:ext cx="2367067" cy="500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REGULARIZAÇÃO DO PRODUTO</w:t>
                                </w:r>
                              </w:p>
                            </w:txbxContent>
                          </wps:txbx>
                          <wps:bodyPr anchorCtr="0" anchor="ctr" bIns="16500" lIns="24750" spcFirstLastPara="1" rIns="24750" wrap="square" tIns="165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464260" y="1010189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7629955" y="894466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7629955" y="894466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Envio dos dizeres de rotulagem, de acordo com a RDC vigente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7464260" y="1415525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7629955" y="1299802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5" name="Shape 55"/>
                          <wps:spPr>
                            <a:xfrm>
                              <a:off x="7629955" y="1299802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Notificação do produto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7464260" y="1820861"/>
                              <a:ext cx="173889" cy="17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7629955" y="1705138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7629955" y="1705138"/>
                              <a:ext cx="2201372" cy="405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Registro do produto</w:t>
                                </w:r>
                              </w:p>
                            </w:txbxContent>
                          </wps:txbx>
                          <wps:bodyPr anchorCtr="0" anchor="ctr" bIns="64000" lIns="64000" spcFirstLastPara="1" rIns="64000" wrap="square" tIns="640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9839325" cy="2847975"/>
                <wp:effectExtent b="0" l="0" r="0" t="0"/>
                <wp:docPr id="186113477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9325" cy="2847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09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9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9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9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9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09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09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9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09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ptos" w:cs="Aptos" w:eastAsia="Aptos" w:hAnsi="Aptos"/>
          <w:b w:val="1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66"/>
          <w:sz w:val="24"/>
          <w:szCs w:val="24"/>
          <w:rtl w:val="0"/>
        </w:rPr>
        <w:t xml:space="preserve">MISSÃO</w:t>
      </w:r>
    </w:p>
    <w:p w:rsidR="00000000" w:rsidDel="00000000" w:rsidP="00000000" w:rsidRDefault="00000000" w:rsidRPr="00000000" w14:paraId="0000000F">
      <w:pPr>
        <w:jc w:val="both"/>
        <w:rPr>
          <w:rFonts w:ascii="Aptos" w:cs="Aptos" w:eastAsia="Aptos" w:hAnsi="Aptos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66"/>
          <w:sz w:val="24"/>
          <w:szCs w:val="24"/>
          <w:rtl w:val="0"/>
        </w:rPr>
        <w:t xml:space="preserve">Desenvolver formulações inovadoras que elevem a performance dos produtos, garantindo qualidade superior e maior lucratividade para nossos parceiros, sempre atuando com respeito às legislações e acompanhando todo o processo de produção até a entrega do produto final.</w:t>
      </w:r>
    </w:p>
    <w:p w:rsidR="00000000" w:rsidDel="00000000" w:rsidP="00000000" w:rsidRDefault="00000000" w:rsidRPr="00000000" w14:paraId="00000010">
      <w:pPr>
        <w:jc w:val="both"/>
        <w:rPr>
          <w:rFonts w:ascii="Aptos" w:cs="Aptos" w:eastAsia="Aptos" w:hAnsi="Aptos"/>
          <w:b w:val="1"/>
          <w:color w:val="0000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ptos" w:cs="Aptos" w:eastAsia="Aptos" w:hAnsi="Aptos"/>
          <w:b w:val="1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66"/>
          <w:sz w:val="24"/>
          <w:szCs w:val="24"/>
          <w:rtl w:val="0"/>
        </w:rPr>
        <w:t xml:space="preserve">VISÃO</w:t>
      </w:r>
    </w:p>
    <w:p w:rsidR="00000000" w:rsidDel="00000000" w:rsidP="00000000" w:rsidRDefault="00000000" w:rsidRPr="00000000" w14:paraId="00000012">
      <w:pPr>
        <w:jc w:val="both"/>
        <w:rPr>
          <w:rFonts w:ascii="Aptos" w:cs="Aptos" w:eastAsia="Aptos" w:hAnsi="Aptos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66"/>
          <w:sz w:val="24"/>
          <w:szCs w:val="24"/>
          <w:rtl w:val="0"/>
        </w:rPr>
        <w:t xml:space="preserve">Ser referência nacional em pesquisa e desenvolvimento de formulações, expandindo nossa atuação para o fornecimento de bases e terceirização de produtos, sempre na vanguarda das inovações tecnológicas e sustentáveis, entregando soluções de alta qualidade e custo-benefício.</w:t>
      </w:r>
    </w:p>
    <w:p w:rsidR="00000000" w:rsidDel="00000000" w:rsidP="00000000" w:rsidRDefault="00000000" w:rsidRPr="00000000" w14:paraId="00000013">
      <w:pPr>
        <w:jc w:val="both"/>
        <w:rPr>
          <w:rFonts w:ascii="Aptos" w:cs="Aptos" w:eastAsia="Aptos" w:hAnsi="Aptos"/>
          <w:b w:val="1"/>
          <w:color w:val="0000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ptos" w:cs="Aptos" w:eastAsia="Aptos" w:hAnsi="Aptos"/>
          <w:b w:val="1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66"/>
          <w:sz w:val="24"/>
          <w:szCs w:val="24"/>
          <w:rtl w:val="0"/>
        </w:rPr>
        <w:t xml:space="preserve">VALORES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6" w:hanging="426"/>
        <w:jc w:val="both"/>
        <w:rPr>
          <w:rFonts w:ascii="Aptos" w:cs="Aptos" w:eastAsia="Aptos" w:hAnsi="Aptos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66"/>
          <w:sz w:val="24"/>
          <w:szCs w:val="24"/>
          <w:rtl w:val="0"/>
        </w:rPr>
        <w:t xml:space="preserve">Eficiência:</w:t>
      </w:r>
      <w:r w:rsidDel="00000000" w:rsidR="00000000" w:rsidRPr="00000000">
        <w:rPr>
          <w:rFonts w:ascii="Aptos" w:cs="Aptos" w:eastAsia="Aptos" w:hAnsi="Aptos"/>
          <w:color w:val="000066"/>
          <w:sz w:val="24"/>
          <w:szCs w:val="24"/>
          <w:rtl w:val="0"/>
        </w:rPr>
        <w:t xml:space="preserve"> Agir com rapidez e precisão em todas as etapas do desenvolvimento e produção.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6" w:hanging="426"/>
        <w:jc w:val="both"/>
        <w:rPr>
          <w:rFonts w:ascii="Aptos" w:cs="Aptos" w:eastAsia="Aptos" w:hAnsi="Aptos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66"/>
          <w:sz w:val="24"/>
          <w:szCs w:val="24"/>
          <w:rtl w:val="0"/>
        </w:rPr>
        <w:t xml:space="preserve">Respeito:</w:t>
      </w:r>
      <w:r w:rsidDel="00000000" w:rsidR="00000000" w:rsidRPr="00000000">
        <w:rPr>
          <w:rFonts w:ascii="Aptos" w:cs="Aptos" w:eastAsia="Aptos" w:hAnsi="Aptos"/>
          <w:color w:val="000066"/>
          <w:sz w:val="24"/>
          <w:szCs w:val="24"/>
          <w:rtl w:val="0"/>
        </w:rPr>
        <w:t xml:space="preserve"> Valorizar cada parceiro e colaborador, promovendo um ambiente de trabalho saudável e inclusivo.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6" w:hanging="426"/>
        <w:jc w:val="both"/>
        <w:rPr>
          <w:rFonts w:ascii="Aptos" w:cs="Aptos" w:eastAsia="Aptos" w:hAnsi="Aptos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66"/>
          <w:sz w:val="24"/>
          <w:szCs w:val="24"/>
          <w:rtl w:val="0"/>
        </w:rPr>
        <w:t xml:space="preserve">Humildade:</w:t>
      </w:r>
      <w:r w:rsidDel="00000000" w:rsidR="00000000" w:rsidRPr="00000000">
        <w:rPr>
          <w:rFonts w:ascii="Aptos" w:cs="Aptos" w:eastAsia="Aptos" w:hAnsi="Aptos"/>
          <w:color w:val="000066"/>
          <w:sz w:val="24"/>
          <w:szCs w:val="24"/>
          <w:rtl w:val="0"/>
        </w:rPr>
        <w:t xml:space="preserve"> Manter a mente aberta para aprender e crescer continuamente.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6" w:hanging="426"/>
        <w:jc w:val="both"/>
        <w:rPr>
          <w:rFonts w:ascii="Aptos" w:cs="Aptos" w:eastAsia="Aptos" w:hAnsi="Aptos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66"/>
          <w:sz w:val="24"/>
          <w:szCs w:val="24"/>
          <w:rtl w:val="0"/>
        </w:rPr>
        <w:t xml:space="preserve">Qualidade:</w:t>
      </w:r>
      <w:r w:rsidDel="00000000" w:rsidR="00000000" w:rsidRPr="00000000">
        <w:rPr>
          <w:rFonts w:ascii="Aptos" w:cs="Aptos" w:eastAsia="Aptos" w:hAnsi="Aptos"/>
          <w:color w:val="000066"/>
          <w:sz w:val="24"/>
          <w:szCs w:val="24"/>
          <w:rtl w:val="0"/>
        </w:rPr>
        <w:t xml:space="preserve"> Entregar serviços e produtos que atendam e superem as expectativas dos clientes e consumidores finais.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6" w:hanging="426"/>
        <w:jc w:val="both"/>
        <w:rPr>
          <w:rFonts w:ascii="Aptos" w:cs="Aptos" w:eastAsia="Aptos" w:hAnsi="Aptos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66"/>
          <w:sz w:val="24"/>
          <w:szCs w:val="24"/>
          <w:rtl w:val="0"/>
        </w:rPr>
        <w:t xml:space="preserve">Sustentabilidade:</w:t>
      </w:r>
      <w:r w:rsidDel="00000000" w:rsidR="00000000" w:rsidRPr="00000000">
        <w:rPr>
          <w:rFonts w:ascii="Aptos" w:cs="Aptos" w:eastAsia="Aptos" w:hAnsi="Aptos"/>
          <w:color w:val="000066"/>
          <w:sz w:val="24"/>
          <w:szCs w:val="24"/>
          <w:rtl w:val="0"/>
        </w:rPr>
        <w:t xml:space="preserve"> Adotar práticas que minimizem impactos ambientais, assegurando uma produção limpa e responsável.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6" w:hanging="426"/>
        <w:jc w:val="both"/>
        <w:rPr>
          <w:rFonts w:ascii="Aptos" w:cs="Aptos" w:eastAsia="Aptos" w:hAnsi="Aptos"/>
          <w:color w:val="0000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66"/>
          <w:sz w:val="24"/>
          <w:szCs w:val="24"/>
          <w:rtl w:val="0"/>
        </w:rPr>
        <w:t xml:space="preserve">Companheirismo:</w:t>
      </w:r>
      <w:r w:rsidDel="00000000" w:rsidR="00000000" w:rsidRPr="00000000">
        <w:rPr>
          <w:rFonts w:ascii="Aptos" w:cs="Aptos" w:eastAsia="Aptos" w:hAnsi="Aptos"/>
          <w:color w:val="000066"/>
          <w:sz w:val="24"/>
          <w:szCs w:val="24"/>
          <w:rtl w:val="0"/>
        </w:rPr>
        <w:t xml:space="preserve"> Cultivar uma cultura de apoio mútuo e responsabilidade compartilhada entre equipe e parceiros.</w:t>
      </w:r>
    </w:p>
    <w:p w:rsidR="00000000" w:rsidDel="00000000" w:rsidP="00000000" w:rsidRDefault="00000000" w:rsidRPr="00000000" w14:paraId="0000001B">
      <w:pPr>
        <w:ind w:left="-709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1906" w:w="16838" w:orient="landscape"/>
      <w:pgMar w:bottom="426" w:top="1701" w:left="1417" w:right="2185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3956115" cy="1321642"/>
          <wp:effectExtent b="0" l="0" r="0" t="0"/>
          <wp:docPr id="186113477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6115" cy="1321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FF1D5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F1D56"/>
  </w:style>
  <w:style w:type="paragraph" w:styleId="Rodap">
    <w:name w:val="footer"/>
    <w:basedOn w:val="Normal"/>
    <w:link w:val="RodapChar"/>
    <w:uiPriority w:val="99"/>
    <w:unhideWhenUsed w:val="1"/>
    <w:rsid w:val="00FF1D5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F1D56"/>
  </w:style>
  <w:style w:type="paragraph" w:styleId="PargrafodaLista">
    <w:name w:val="List Paragraph"/>
    <w:basedOn w:val="Normal"/>
    <w:uiPriority w:val="34"/>
    <w:qFormat w:val="1"/>
    <w:rsid w:val="00FF1D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bPHZd3TJYeADC6uU/v+8GMsqg==">CgMxLjA4AHIhMXRxU3VHdUZYZWZYOUV0V21SQklsaXYzRXF3RDBCdGZo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2024-08-24T01:57:00Z</dcterms:created>
  <dc:creator>Laila Soares</dc:creator>
</cp:coreProperties>
</file>